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217920" cy="1981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rasil_ba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1981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6217920" cy="25648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undo_ba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56489"/>
                    </a:xfrm>
                    <a:prstGeom prst="rect"/>
                  </pic:spPr>
                </pic:pic>
              </a:graphicData>
            </a:graphic>
          </wp:inline>
        </w:drawing>
      </w:r>
    </w:p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  <w:t>Brasil</w:t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Aplicativo já identificou mais de 8 mil focos do Aedes desde 2017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Sigelu Combate Aedes realizou 300 mil vistorias em prédios públicos; São Paulo e Distrito Federal somam mais de 7 mil focos identificados pelo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900000" cy="9000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https://noticias.r7.com/saude/aplicativo-ja-identificou-mais-de-8-mil-focos-do-aedes-desde-2017-21112018</w:t>
            </w:r>
          </w:p>
        </w:tc>
      </w:tr>
    </w:tbl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  <w:t>Paraíba</w:t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Jovem perde prova do Enem para receber transplante de rim, na Paraíba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Outro homem aguardava transplante há oito meses e recebeu fígado da mesma doadora do adolescente. Os dois tiveram alta médica na terça-feira. Renan Andrade tem 17 anos e aguardava um rim há pelo menos sete meses Dani Fechine/G1 A morte e perda de um parente f…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900000" cy="9000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https://g1.globo.com/pb/paraiba/noticia/2018/11/21/jovem-perde-prova-do-enem-para-receber-transplante-de-rim-na-paraiba.ghtml</w:t>
            </w:r>
          </w:p>
        </w:tc>
      </w:tr>
    </w:tbl>
    <w:p/>
    <w:tbl>
      <w:tblPr>
        <w:tblStyle w:val="Table1"/>
        <w:tblW w:w="11300.0" w:type="dxa"/>
        <w:jc w:val="center"/>
        <w:tblLayout w:type="fixed"/>
        <w:tblLook w:val="0400"/>
      </w:tblPr>
      <w:tblGrid>
        <w:gridCol w:w="3900"/>
        <w:gridCol w:w="1470"/>
        <w:gridCol w:w="5850"/>
        <w:gridCol w:w="80"/>
        <w:tblGridChange w:id="0">
          <w:tblGrid>
            <w:gridCol w:w="3900"/>
            <w:gridCol w:w="1470"/>
            <w:gridCol w:w="5850"/>
            <w:gridCol w:w="80"/>
          </w:tblGrid>
        </w:tblGridChange>
      </w:tblGrid>
      <w:tr>
        <w:trPr>
          <w:trHeight w:val="380" w:hRule="atLeast"/>
        </w:trPr>
        <w:tc>
          <w:tcPr>
            <w:gridSpan w:val="3"/>
            <w:tcBorders>
              <w:top w:color="2e74b5" w:space="0" w:sz="18" w:val="single"/>
              <w:left w:color="2e74b5" w:space="0" w:sz="18" w:val="single"/>
              <w:right w:color="2e74b5" w:space="0" w:sz="18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contextualSpacing w:val="0"/>
              <w:jc w:val="center"/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PT Sans" w:cs="PT Sans" w:eastAsia="PT Sans" w:hAnsi="PT Sans"/>
                <w:b w:val="1"/>
                <w:color w:val="ffffff"/>
                <w:sz w:val="28"/>
                <w:szCs w:val="28"/>
                <w:rtl w:val="0"/>
              </w:rPr>
              <w:t xml:space="preserve"> </w:t>
            </w:r>
            <w:r>
              <w:rPr>
                <w:rStyle w:val="regionStyle"/>
                <w:b/>
              </w:rPr>
              <w:t>Estados Unidos da America</w:t>
            </w:r>
          </w:p>
        </w:tc>
      </w:tr>
      <w:tr>
        <w:trPr>
          <w:trHeight w:val="780" w:hRule="atLeast"/>
        </w:trPr>
        <w:tc>
          <w:tcPr>
            <w:gridSpan w:val="3"/>
            <w:tcBorders>
              <w:left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contextualSpacing w:val="0"/>
              <w:jc w:val="center"/>
              <w:rPr>
                <w:rFonts w:ascii="PT Sans" w:cs="PT Sans" w:eastAsia="PT Sans" w:hAnsi="PT Sans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itleStyle"/>
                <w:b/>
              </w:rPr>
              <w:t>Skid Row: como a maior cracolândia dos EUA se mantém há décadas 'nos fundos' de Hollywood</w:t>
            </w:r>
          </w:p>
        </w:tc>
        <w:tc>
          <w:tcPr/>
          <w:p w:rsidR="00000000" w:rsidDel="00000000" w:rsidP="00000000" w:rsidRDefault="00000000" w:rsidRPr="00000000" w14:paraId="0000000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vMerge w:val="restart"/>
            <w:tcBorders>
              <w:lef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color w:val="ff0000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2160000" cy="18000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8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right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contextualSpacing w:val="0"/>
              <w:jc w:val="both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textStyle"/>
              </w:rPr>
              <w:t>Ao menos 4 mil pessoas vivem nas ruas dos 54 quarteirões da área conhecida como Skid Row, em Los Angeles - o dobro da cracolândia do centro de São Paulo.</w:t>
            </w:r>
          </w:p>
        </w:tc>
      </w:tr>
      <w:tr>
        <w:trPr>
          <w:trHeight w:val="1460" w:hRule="atLeast"/>
        </w:trPr>
        <w:tc>
          <w:tcPr>
            <w:vMerge w:val="continue"/>
            <w:tcBorders>
              <w:left w:color="2e74b5" w:space="0" w:sz="18" w:val="single"/>
              <w:bottom w:color="2e74b5" w:space="0" w:sz="18" w:val="single"/>
            </w:tcBorders>
            <w:shd w:fill="d9d9d9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PT Sans" w:cs="PT Sans" w:eastAsia="PT Sans" w:hAnsi="PT San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jc w:val="center"/>
              <w:rPr>
                <w:rFonts w:ascii="Calibri" w:cs="Calibri" w:eastAsia="Calibri" w:hAnsi="Calibri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drawing>
                <wp:inline xmlns:a="http://schemas.openxmlformats.org/drawingml/2006/main" xmlns:pic="http://schemas.openxmlformats.org/drawingml/2006/picture">
                  <wp:extent cx="900000" cy="9000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90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bottom w:color="2e74b5" w:space="0" w:sz="18" w:val="single"/>
              <w:right w:color="2e74b5" w:space="0" w:sz="18" w:val="single"/>
            </w:tcBorders>
            <w:shd w:fill="ededed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contextualSpacing w:val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  <w:r>
              <w:rPr>
                <w:rStyle w:val="urlStyle"/>
              </w:rPr>
              <w:t>https://www.terra.com.br/noticias/mundo/skid-row-como-a-maior-cracolandia-dos-eua-se-mantem-ha-decadas-nos-fundos-de-hollywood,953711423f03d552fa46524d99646731262izr73.html</w:t>
            </w:r>
          </w:p>
        </w:tc>
      </w:tr>
    </w:tbl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20000" cy="7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la_log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footerStyle"/>
        <w:jc w:val="center"/>
      </w:pPr>
      <w:r>
        <w:t>Elaboração</w:t>
      </w:r>
    </w:p>
    <w:p>
      <w:pPr>
        <w:pStyle w:val="footerStyle"/>
        <w:jc w:val="center"/>
      </w:pPr>
      <w:r>
        <w:t>Tradução</w:t>
      </w:r>
    </w:p>
    <w:p>
      <w:pPr>
        <w:pStyle w:val="footerStyle"/>
        <w:jc w:val="center"/>
      </w:pPr>
      <w:r>
        <w:t>Equipe Editorial</w:t>
      </w:r>
    </w:p>
    <w:p>
      <w:pPr>
        <w:pStyle w:val="footerStyle"/>
        <w:jc w:val="center"/>
      </w:pPr>
      <w:r>
        <w:t>Revisão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regionStyle">
    <w:name w:val="regionStyle"/>
    <w:rPr>
      <w:rFonts w:ascii="PT Sans" w:hAnsi="PT Sans"/>
      <w:b w:val="0"/>
      <w:color w:val="686868"/>
      <w:sz w:val="28"/>
    </w:rPr>
  </w:style>
  <w:style w:type="character" w:customStyle="1" w:styleId="titleStyle">
    <w:name w:val="titleStyle"/>
    <w:rPr>
      <w:rFonts w:ascii="PT Sans" w:hAnsi="PT Sans"/>
      <w:b w:val="0"/>
      <w:color w:val="000000"/>
      <w:sz w:val="28"/>
    </w:rPr>
  </w:style>
  <w:style w:type="character" w:customStyle="1" w:styleId="textStyle">
    <w:name w:val="textStyle"/>
    <w:rPr>
      <w:rFonts w:ascii="PT Sans" w:hAnsi="PT Sans"/>
      <w:b w:val="0"/>
      <w:color w:val="000000"/>
      <w:sz w:val="24"/>
    </w:rPr>
  </w:style>
  <w:style w:type="character" w:customStyle="1" w:styleId="urlStyle">
    <w:name w:val="urlStyle"/>
    <w:rPr>
      <w:rFonts w:ascii="PT Sans" w:hAnsi="PT Sans"/>
      <w:b w:val="0"/>
      <w:color w:val="686868"/>
      <w:sz w:val="16"/>
    </w:rPr>
  </w:style>
  <w:style w:type="paragraph" w:customStyle="1" w:styleId="footerStyle">
    <w:name w:val="footerStyle"/>
    <w:rPr>
      <w:rFonts w:ascii="PT Sans" w:hAnsi="PT Sans"/>
      <w:b/>
      <w:color w:val="000000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jpg"/><Relationship Id="rId12" Type="http://schemas.openxmlformats.org/officeDocument/2006/relationships/image" Target="media/image4.png"/><Relationship Id="rId13" Type="http://schemas.openxmlformats.org/officeDocument/2006/relationships/image" Target="media/image5.jpg"/><Relationship Id="rId14" Type="http://schemas.openxmlformats.org/officeDocument/2006/relationships/image" Target="media/image6.png"/><Relationship Id="rId15" Type="http://schemas.openxmlformats.org/officeDocument/2006/relationships/image" Target="media/image7.jp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