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PART I – CORE SPEC ===</w:t>
      </w:r>
    </w:p>
    <w:p>
      <w:r>
        <w:t>PRD-SAAS-MNG-001 – CleanMateX HQ SaaS Platform Management (v1.8)</w:t>
        <w:br/>
        <w:t>Author: Jehad Ali (Jh Apps HQ)</w:t>
        <w:br/>
        <w:t>Date: November 2025</w:t>
        <w:br/>
        <w:t>Status: Initial Draft</w:t>
        <w:br/>
        <w:t>Distribution: Internal – Jh Apps HQ team only</w:t>
        <w:br/>
        <w:t>Language: English</w:t>
        <w:br/>
        <w:t>Format: Developer Spec</w:t>
        <w:br/>
      </w:r>
    </w:p>
    <w:p>
      <w:r>
        <w:t>This document defines the CleanMateX HQ SaaS Platform Management module. It combines all technical, architectural, and operational specifications for managing tenants, plans, subscriptions, workflows, feature flags, catalogs, and global customer identities. All sections are formatted in plain developer-spec style, suitable for Markdown export.</w:t>
      </w:r>
    </w:p>
    <w:p>
      <w:pPr>
        <w:pStyle w:val="Heading2"/>
      </w:pPr>
      <w:r>
        <w:t>Sections 1–24 (Deep Developer Specification)</w:t>
      </w:r>
    </w:p>
    <w:p>
      <w:r>
        <w:t>Contains the following major sections:</w:t>
        <w:br/>
        <w:t>1. System Context (Expanded)</w:t>
        <w:br/>
        <w:t>2. Tenant Lifecycle (Technical Sequences)</w:t>
        <w:br/>
        <w:t>3. Subscription &amp; Plan Engine (Deep)</w:t>
        <w:br/>
        <w:t>4. Workflow Engine – Runtime Mechanics</w:t>
        <w:br/>
        <w:t>5. Catalog Registry Synchronization</w:t>
        <w:br/>
        <w:t>6. Feature Flags – Runtime Enforcement</w:t>
        <w:br/>
        <w:t>7. Automation &amp; Worker Architecture</w:t>
        <w:br/>
        <w:t>8. Observability &amp; SLO Enforcement</w:t>
        <w:br/>
        <w:t>9. Security, RLS &amp; Governance</w:t>
        <w:br/>
        <w:t>10. AI / Automation Layer</w:t>
        <w:br/>
        <w:t>11. CI/CD &amp; Schema Control</w:t>
        <w:br/>
        <w:t>12. Deployment &amp; Ops</w:t>
        <w:br/>
        <w:t>13. Licensing &amp; Entitlements (Internal)</w:t>
        <w:br/>
        <w:t>14. Tenant/Org Customization Layer</w:t>
        <w:br/>
        <w:t>15. Data Residency &amp; Multi-Region (GCC Focus)</w:t>
        <w:br/>
        <w:t>16. Backup, BCDR, and Tenant-Level Restore</w:t>
        <w:br/>
        <w:t>17. Import / Export &amp; Onboarding Tooling</w:t>
        <w:br/>
        <w:t>18. Developer &amp; Integration Portal (Internal)</w:t>
        <w:br/>
        <w:t>19. Support &amp; Impersonation</w:t>
        <w:br/>
        <w:t>20. Performance &amp; Load Guardrails</w:t>
        <w:br/>
        <w:t>21. Testing &amp; QA Matrix</w:t>
        <w:br/>
        <w:t>22. Reporting, Analytics, and Billing Insights</w:t>
        <w:br/>
        <w:t>23. Compliance &amp; Policy Management</w:t>
        <w:br/>
        <w:t>24. Global Customers &amp; Shared Identity</w:t>
        <w:br/>
      </w:r>
    </w:p>
    <w:p>
      <w:r>
        <w:t>Section 24 includes full schema definitions, API endpoints, and flow logic for sys_customers_mst (global) and org_customers_mst (tenant) tables, matching logic, deduplication, propagation rules, and HQ visibility controls.</w:t>
      </w:r>
    </w:p>
    <w:p>
      <w:r>
        <w:t>Each section maintains the CleanMateX architectural conventions: sys_* for platform-wide master data, org_* for tenant-scoped data, and RLS enforced boundaries with HQ bypass under secure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