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=== PART I – CORE SPEC (Sections 1–5) ===</w:t>
      </w:r>
    </w:p>
    <w:p>
      <w:r>
        <w:t>PRD-SAAS-MNG-001 – CleanMateX HQ SaaS Platform Management (v1.8)</w:t>
        <w:br/>
        <w:t>Author: Jehad Ali (Jh Apps HQ)</w:t>
        <w:br/>
        <w:t>Date: November 2025</w:t>
        <w:br/>
        <w:t>Status: Initial Draft</w:t>
        <w:br/>
        <w:t>Distribution: Internal – Jh Apps HQ team only</w:t>
        <w:br/>
        <w:t>Language: English</w:t>
        <w:br/>
        <w:t>Format: Developer Spec (pure text)</w:t>
        <w:br/>
      </w:r>
    </w:p>
    <w:p>
      <w:pPr>
        <w:pStyle w:val="Heading2"/>
      </w:pPr>
      <w:r>
        <w:t>1. System Context (Expanded)</w:t>
      </w:r>
    </w:p>
    <w:p>
      <w:r>
        <w:t>1.1 HQ Platform Layer vs Tenant Business Layer</w:t>
        <w:br/>
        <w:t>The HQ Platform layer manages configuration, catalog data, workflows, plans, and audit control for all tenants.</w:t>
        <w:br/>
        <w:t>The Tenant Business layer operates as isolated organizations under RLS. Tenants consume configurations and execute orders, invoices, and reports.</w:t>
        <w:br/>
        <w:br/>
        <w:t>1.2 Public vs Internal APIs</w:t>
        <w:br/>
        <w:t>Public APIs are exposed to tenants through authenticated endpoints with tenant context headers.</w:t>
        <w:br/>
        <w:t>Internal APIs are HQ-only and run under privileged context with SECURITY DEFINER functions.</w:t>
        <w:br/>
        <w:br/>
        <w:t>1.3 Tenant Context Propagation</w:t>
        <w:br/>
        <w:t>Every API call includes header x-tenant-id. Backend sets app.current_tenant_id in PostgreSQL session to enforce RLS policies.</w:t>
        <w:br/>
        <w:br/>
        <w:t>1.4 Supabase/NestJS Dual Access Pattern</w:t>
        <w:br/>
        <w:t>Supabase manages authentication and row-level isolation at database level.</w:t>
        <w:br/>
        <w:t>NestJS backend applies domain logic, feature flags, and workflow automation above Supabase.</w:t>
        <w:br/>
        <w:br/>
        <w:t>1.5 HQ Namespace</w:t>
        <w:br/>
        <w:t>System tables prefixed with sys_* represent HQ namespace. org_* tables belong to tenants. HQ APIs may write directly to sys_* under secure context bypassing tenant RLS.</w:t>
        <w:br/>
        <w:br/>
        <w:t>1.6 Trust Boundaries</w:t>
        <w:br/>
        <w:t>HQ console and workers communicate via REST and BullMQ queues. Data storage boundaries are enforced by network policies.</w:t>
        <w:br/>
      </w:r>
    </w:p>
    <w:p>
      <w:pPr>
        <w:pStyle w:val="Heading2"/>
      </w:pPr>
      <w:r>
        <w:t>2. Tenant Lifecycle (Technical Sequences)</w:t>
      </w:r>
    </w:p>
    <w:p>
      <w:r>
        <w:t>2.1 Create Tenant (HQ)</w:t>
        <w:br/>
        <w:t>Admin creates new tenant record in org_tenants_mst. Default plan is assigned. Seeding jobs populate default catalogs and workflows.</w:t>
        <w:br/>
        <w:br/>
        <w:t>2.2 Approve and Activate</w:t>
        <w:br/>
        <w:t>Pending tenants require approval. Once approved, tenant status changes to active and feature set is applied.</w:t>
        <w:br/>
        <w:br/>
        <w:t>2.3 Auto-seed</w:t>
        <w:br/>
        <w:t>On activation, background jobs seed default data: workflows, service catalogs, payment methods, and preferences.</w:t>
        <w:br/>
        <w:br/>
        <w:t>2.4 Attach Plan and Feature Set</w:t>
        <w:br/>
        <w:t>Assign plan_id from sys_plan_subscriptions_types_cf and clone associated features and limits into tenant context.</w:t>
        <w:br/>
        <w:br/>
        <w:t>2.5 Suspend and Freeze</w:t>
        <w:br/>
        <w:t>Suspension locks login and disables new orders. Freeze maintains read-only mode for auditing.</w:t>
        <w:br/>
        <w:br/>
        <w:t>2.6 Archive and Partial Delete</w:t>
        <w:br/>
        <w:t>Archived tenants are offloaded to cold storage with essential metadata retained for reporting.</w:t>
        <w:br/>
        <w:br/>
        <w:t>2.7 Reactivate</w:t>
        <w:br/>
        <w:t>Reactivation restores tenant data, re-enables workflows, and resumes plan billing.</w:t>
        <w:br/>
        <w:br/>
        <w:t>2.8 Tenant Impersonation</w:t>
        <w:br/>
        <w:t>HQ support can impersonate tenant admin for debugging. Impersonation is logged with user, timestamp, and reason.</w:t>
        <w:br/>
      </w:r>
    </w:p>
    <w:p>
      <w:pPr>
        <w:pStyle w:val="Heading2"/>
      </w:pPr>
      <w:r>
        <w:t>3. Subscription and Plan Engine (Deep)</w:t>
      </w:r>
    </w:p>
    <w:p>
      <w:r>
        <w:t>3.1 Data Model</w:t>
        <w:br/>
        <w:t>Tables: sys_plan_subscriptions_types_cf, sys_plan_features_cf, sys_plan_limits_cf, org_subscriptions_mst.</w:t>
        <w:br/>
        <w:t>Each plan defines base price, features, and limit set. org_subscriptions_mst records current plan assignment per tenant.</w:t>
        <w:br/>
        <w:br/>
        <w:t>3.2 Effective Feature Set</w:t>
        <w:br/>
        <w:t>Effective features = Plan features union Tenant overrides minus Revoked.</w:t>
        <w:br/>
        <w:br/>
        <w:t>3.3 Limit Types</w:t>
        <w:br/>
        <w:t>Hard limits block actions beyond allowed count. Soft limits warn but allow continuation. Billable overage records usage and triggers billing.</w:t>
        <w:br/>
        <w:br/>
        <w:t>3.4 Plan Change Rules</w:t>
        <w:br/>
        <w:t>Upgrades apply immediately. Downgrades delayed until billing cycle end. Lateral changes validate compatibility.</w:t>
        <w:br/>
        <w:br/>
        <w:t>3.5 Grace and Trial Periods</w:t>
        <w:br/>
        <w:t>Tenants may operate under trial days before billing. Grace period applies after expiry before suspension.</w:t>
        <w:br/>
        <w:br/>
        <w:t>3.6 Dunning Scenarios</w:t>
        <w:br/>
        <w:t>Payment failure triggers retries and warning notifications. After threshold, tenant suspended.</w:t>
        <w:br/>
        <w:br/>
        <w:t>3.7 Plan Audit Log</w:t>
        <w:br/>
        <w:t>Every plan change writes audit row to sys_audit_log with old and new plan data.</w:t>
        <w:br/>
      </w:r>
    </w:p>
    <w:p>
      <w:pPr>
        <w:pStyle w:val="Heading2"/>
      </w:pPr>
      <w:r>
        <w:t>4. Workflow Engine – Runtime Mechanics</w:t>
      </w:r>
    </w:p>
    <w:p>
      <w:r>
        <w:t>4.1 Global Template Store</w:t>
        <w:br/>
        <w:t>Workflow templates are stored in workflow_template_cd, workflow_template_stages, and workflow_template_transitions.</w:t>
        <w:br/>
        <w:br/>
        <w:t>4.2 Tenant Scoped Workflow Config</w:t>
        <w:br/>
        <w:t>Each tenant has tenant_workflow_templates_cf and tenant_workflow_settings_cf referencing base template.</w:t>
        <w:br/>
        <w:br/>
        <w:t>4.3 Per Service Category Override</w:t>
        <w:br/>
        <w:t>Tenants may override workflow per service category. For example, Laundry vs Dry Clean.</w:t>
        <w:br/>
        <w:br/>
        <w:t>4.4 Transition Service</w:t>
        <w:br/>
        <w:t>Transitions enforced by NestJS service. DB functions validate legal from→to pairs.</w:t>
        <w:br/>
        <w:br/>
        <w:t>4.5 Versioning</w:t>
        <w:br/>
        <w:t>Templates use semantic versions. New versions cloned to tenants through patch process.</w:t>
        <w:br/>
        <w:br/>
        <w:t>4.6 Guards</w:t>
        <w:br/>
        <w:t>Transition conditions such as requires_invoice or requires_scan_ok verified before moving state.</w:t>
        <w:br/>
        <w:br/>
        <w:t>4.7 Error Handling</w:t>
        <w:br/>
        <w:t>Illegal transitions raise errors logged in sys_audit_log. Missing or inactive templates disabled at runtime.</w:t>
        <w:br/>
        <w:br/>
        <w:t>4.8 Audit of Transitions</w:t>
        <w:br/>
        <w:t>Every workflow change recorded with from_state, to_state, actor_id, and timestamp.</w:t>
        <w:br/>
      </w:r>
    </w:p>
    <w:p>
      <w:pPr>
        <w:pStyle w:val="Heading2"/>
      </w:pPr>
      <w:r>
        <w:t>5. Catalog Registry Synchronization</w:t>
      </w:r>
    </w:p>
    <w:p>
      <w:r>
        <w:t>5.1 Catalog Families</w:t>
        <w:br/>
        <w:t>Services: DRY_CLEAN, LAUNDRY, IRON_ONLY, REPAIRS, ALTERATION.</w:t>
        <w:br/>
        <w:t>Fabrics, item types, stains, preferences, payments, org types, priorities, colors, icons.</w:t>
        <w:br/>
        <w:br/>
        <w:t>5.2 Versioned Sync</w:t>
        <w:br/>
        <w:t>HQ maintains sys_* catalogs. Tenants maintain local org_* copies. Sync jobs detect hash changes and propagate updates.</w:t>
        <w:br/>
        <w:br/>
        <w:t>5.3 Change Detection</w:t>
        <w:br/>
        <w:t>Each record has updated_at, version_no, and hash for comparison.</w:t>
        <w:br/>
        <w:br/>
        <w:t>5.4 Bulk Import</w:t>
        <w:br/>
        <w:t>HQ admins can import CSV or JSON catalogs via API. Imports validated and version incremented.</w:t>
        <w:br/>
        <w:br/>
        <w:t>5.5 Fallback and Rollback</w:t>
        <w:br/>
        <w:t>Previous versions retained for rollback if sync errors occur.</w:t>
        <w:br/>
        <w:br/>
        <w:t>5.6 Multilingual Fields</w:t>
        <w:br/>
        <w:t>All catalog names stored as name (English) and name2 (Arabic) for i18n support.</w:t>
        <w:br/>
        <w:br/>
        <w:t>5.7 Tenant Shadow Catalogs</w:t>
        <w:br/>
        <w:t>Tenants may maintain local labels mapped to sys_* codes for branding while retaining linkage to HQ master.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