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CleanMateX Edit Order V2 — Frontend / UI / UX Specification v3.0</w:t>
      </w:r>
    </w:p>
    <w:p>
      <w:pPr>
        <w:jc w:val="center"/>
      </w:pPr>
      <w:r>
        <w:rPr>
          <w:i/>
        </w:rPr>
        <w:t>CleanMateX · v3.0 · 2026-10-02</w:t>
      </w:r>
    </w:p>
    <w:p>
      <w:r>
        <w:br w:type="page"/>
      </w:r>
    </w:p>
    <w:p>
      <w:pPr>
        <w:pStyle w:val="Heading1"/>
      </w:pPr>
      <w:r>
        <w:t>CleanMateX Edit Order V2 — Frontend / UI / UX Specification</w:t>
      </w:r>
    </w:p>
    <w:p>
      <w:r>
        <w:t>Version: 3.0</w:t>
      </w:r>
    </w:p>
    <w:p>
      <w:r>
        <w:t>Route: /dashboard/orders/[id]/edit</w:t>
      </w:r>
    </w:p>
    <w:p>
      <w:pPr>
        <w:pStyle w:val="Heading1"/>
      </w:pPr>
      <w:r>
        <w:t>1. UX objective</w:t>
      </w:r>
    </w:p>
    <w:p>
      <w:r>
        <w:t>Keep the familiar New Order workspace but make Edit a separate controller/session. The user edits a local projected order, reviews authoritative server Preview, then explicitly Applies one atomic Change.</w:t>
      </w:r>
    </w:p>
    <w:p>
      <w:pPr>
        <w:pStyle w:val="Heading1"/>
      </w:pPr>
      <w:r>
        <w:t>2. Required screen structure</w:t>
      </w:r>
    </w:p>
    <w:p>
      <w:pPr>
        <w:ind w:left="288"/>
      </w:pPr>
      <w:r>
        <w:rPr>
          <w:rFonts w:ascii="Courier New" w:hAnsi="Courier New"/>
          <w:sz w:val="15"/>
        </w:rPr>
        <w:t>Edit Order Page</w:t>
        <w:br/>
        <w:t xml:space="preserve">  Edit Context Bar</w:t>
        <w:br/>
        <w:t xml:space="preserve">  Shared Customer/Order Header (restricted fields in Edit)</w:t>
        <w:br/>
        <w:t xml:space="preserve">  Shared Product Catalog</w:t>
        <w:br/>
        <w:t xml:space="preserve">  Shared Order Items / Piece / Preference editors</w:t>
        <w:br/>
        <w:t xml:space="preserve">  Shared Order Summary</w:t>
        <w:br/>
        <w:t xml:space="preserve">  Edit-specific Review Changes primary action</w:t>
        <w:br/>
        <w:t xml:space="preserve">  Edit-specific dialogs/sheets:</w:t>
        <w:br/>
        <w:t xml:space="preserve">    Piece Selection</w:t>
        <w:br/>
        <w:t xml:space="preserve">    Review Changes</w:t>
        <w:br/>
        <w:t xml:space="preserve">    Warning/Override/Reason</w:t>
        <w:br/>
        <w:t xml:space="preserve">    Conflict / Reload Latest</w:t>
        <w:br/>
        <w:t xml:space="preserve">    Financial Result / Follow-up</w:t>
      </w:r>
    </w:p>
    <w:p>
      <w:pPr>
        <w:pStyle w:val="Heading1"/>
      </w:pPr>
      <w:r>
        <w:t>3. Controller state</w:t>
      </w:r>
    </w:p>
    <w:p>
      <w:r>
        <w:t>EditOrderController owns:</w:t>
      </w:r>
    </w:p>
    <w:p>
      <w:pPr>
        <w:ind w:left="288"/>
      </w:pPr>
      <w:r>
        <w:rPr>
          <w:rFonts w:ascii="Courier New" w:hAnsi="Courier New"/>
          <w:sz w:val="15"/>
        </w:rPr>
        <w:t>loadStatus: IDLE|LOADING|READY|BLOCKED|ERROR</w:t>
        <w:br/>
        <w:t>originalContext</w:t>
        <w:br/>
        <w:t>workingState</w:t>
        <w:br/>
        <w:t>editStateVersion</w:t>
        <w:br/>
        <w:t>wfStateVersion</w:t>
        <w:br/>
        <w:t>capabilities/configuration</w:t>
        <w:br/>
        <w:t>normalizedPendingOperations</w:t>
        <w:br/>
        <w:t>previewStatus: IDLE|DIRTY|LOADING|READY|STALE|ERROR</w:t>
        <w:br/>
        <w:t>previewResult/reviewProof</w:t>
        <w:br/>
        <w:t>applyStatus: IDLE|SUBMITTING|SUCCEEDED|ERROR</w:t>
        <w:br/>
        <w:t>idempotencyKey</w:t>
        <w:br/>
        <w:t>conflict</w:t>
        <w:br/>
        <w:t>financialFollowUp</w:t>
      </w:r>
    </w:p>
    <w:p>
      <w:r>
        <w:t>Shared presentational components receive callbacks/view models; they do not decide API route based on a sprawling isEditMode branch.</w:t>
      </w:r>
    </w:p>
    <w:p>
      <w:pPr>
        <w:pStyle w:val="Heading1"/>
      </w:pPr>
      <w:r>
        <w:t>4. Stable client identity</w:t>
      </w:r>
    </w:p>
    <w:p>
      <w:pPr>
        <w:pStyle w:val="ListBullet"/>
      </w:pPr>
      <w:r>
        <w:t>existing item: persisted item UUID;</w:t>
      </w:r>
    </w:p>
    <w:p>
      <w:pPr>
        <w:pStyle w:val="ListBullet"/>
      </w:pPr>
      <w:r>
        <w:t>new item: client UUID;</w:t>
      </w:r>
    </w:p>
    <w:p>
      <w:pPr>
        <w:pStyle w:val="ListBullet"/>
      </w:pPr>
      <w:r>
        <w:t>existing piece: persisted piece UUID;</w:t>
      </w:r>
    </w:p>
    <w:p>
      <w:pPr>
        <w:pStyle w:val="ListBullet"/>
      </w:pPr>
      <w:r>
        <w:t>new piece: client UUID;</w:t>
      </w:r>
    </w:p>
    <w:p>
      <w:pPr>
        <w:pStyle w:val="ListBullet"/>
      </w:pPr>
      <w:r>
        <w:t>existing preference: persisted preference row UUID;</w:t>
      </w:r>
    </w:p>
    <w:p>
      <w:pPr>
        <w:pStyle w:val="ListBullet"/>
      </w:pPr>
      <w:r>
        <w:t>new preference: client UUID.</w:t>
      </w:r>
    </w:p>
    <w:p>
      <w:r>
        <w:t>Never use productId as list identity and never replace committed piece identity with temp-${productId}-${index}.</w:t>
      </w:r>
    </w:p>
    <w:p>
      <w:pPr>
        <w:pStyle w:val="Heading1"/>
      </w:pPr>
      <w:r>
        <w:t>5. Local visual state</w:t>
      </w:r>
    </w:p>
    <w:p>
      <w:r>
        <w:t>Every visible target may be:</w:t>
      </w:r>
    </w:p>
    <w:p>
      <w:r>
        <w:t>UNCHANGED, ADDED, CHANGED, REMOVED.</w:t>
      </w:r>
    </w:p>
    <w:p>
      <w:r>
        <w:t>Persisted removed rows remain visible/faded with Undo until Apply. A locally new row removed before Apply disappears and emits no operation.</w:t>
      </w:r>
    </w:p>
    <w:p>
      <w:pPr>
        <w:pStyle w:val="Heading1"/>
      </w:pPr>
      <w:r>
        <w:t>6. Context bar</w:t>
      </w:r>
    </w:p>
    <w:p>
      <w:r>
        <w:t>Display:</w:t>
      </w:r>
    </w:p>
    <w:p>
      <w:pPr>
        <w:pStyle w:val="ListBullet"/>
      </w:pPr>
      <w:r>
        <w:t>`Editing Order #&lt;number&gt;`;</w:t>
      </w:r>
    </w:p>
    <w:p>
      <w:pPr>
        <w:pStyle w:val="ListBullet"/>
      </w:pPr>
      <w:r>
        <w:t>`Revision &lt;editStateVersion&gt;`;</w:t>
      </w:r>
    </w:p>
    <w:p>
      <w:pPr>
        <w:pStyle w:val="ListBullet"/>
      </w:pPr>
      <w:r>
        <w:t>workflow status;</w:t>
      </w:r>
    </w:p>
    <w:p>
      <w:pPr>
        <w:pStyle w:val="ListBullet"/>
      </w:pPr>
      <w:r>
        <w:t>unsaved change count;</w:t>
      </w:r>
    </w:p>
    <w:p>
      <w:pPr>
        <w:pStyle w:val="ListBullet"/>
      </w:pPr>
      <w:r>
        <w:t>Edit blocked/warning indicator where relevant;</w:t>
      </w:r>
    </w:p>
    <w:p>
      <w:pPr>
        <w:pStyle w:val="ListBullet"/>
      </w:pPr>
      <w:r>
        <w:t>`Discard Changes`.</w:t>
      </w:r>
    </w:p>
    <w:p>
      <w:r>
        <w:t>Do not call navigation-away action “Cancel Order”.</w:t>
      </w:r>
    </w:p>
    <w:p>
      <w:pPr>
        <w:pStyle w:val="Heading1"/>
      </w:pPr>
      <w:r>
        <w:t>7. Field behavior</w:t>
      </w:r>
    </w:p>
    <w:p>
      <w:pPr>
        <w:pStyle w:val="Heading2"/>
      </w:pPr>
      <w:r>
        <w:t>Read-only V1</w:t>
      </w:r>
    </w:p>
    <w:p>
      <w:pPr>
        <w:pStyle w:val="ListBullet"/>
      </w:pPr>
      <w:r>
        <w:t>customer identity;</w:t>
      </w:r>
    </w:p>
    <w:p>
      <w:pPr>
        <w:pStyle w:val="ListBullet"/>
      </w:pPr>
      <w:r>
        <w:t>branch;</w:t>
      </w:r>
    </w:p>
    <w:p>
      <w:pPr>
        <w:pStyle w:val="ListBullet"/>
      </w:pPr>
      <w:r>
        <w:t>currency;</w:t>
      </w:r>
    </w:p>
    <w:p>
      <w:pPr>
        <w:pStyle w:val="ListBullet"/>
      </w:pPr>
      <w:r>
        <w:t>order source/type where identity-defining;</w:t>
      </w:r>
    </w:p>
    <w:p>
      <w:pPr>
        <w:pStyle w:val="ListBullet"/>
      </w:pPr>
      <w:r>
        <w:t>POS session/create-time construction fields.</w:t>
      </w:r>
    </w:p>
    <w:p>
      <w:pPr>
        <w:pStyle w:val="Heading2"/>
      </w:pPr>
      <w:r>
        <w:t>Governed editable</w:t>
      </w:r>
    </w:p>
    <w:p>
      <w:r>
        <w:t>According to capability/configuration:</w:t>
      </w:r>
    </w:p>
    <w:p>
      <w:pPr>
        <w:pStyle w:val="ListBullet"/>
      </w:pPr>
      <w:r>
        <w:t>items/quantities;</w:t>
      </w:r>
    </w:p>
    <w:p>
      <w:pPr>
        <w:pStyle w:val="ListBullet"/>
      </w:pPr>
      <w:r>
        <w:t>pieces;</w:t>
      </w:r>
    </w:p>
    <w:p>
      <w:pPr>
        <w:pStyle w:val="ListBullet"/>
      </w:pPr>
      <w:r>
        <w:t>generic preferences;</w:t>
      </w:r>
    </w:p>
    <w:p>
      <w:pPr>
        <w:pStyle w:val="ListBullet"/>
      </w:pPr>
      <w:r>
        <w:t>priority;</w:t>
      </w:r>
    </w:p>
    <w:p>
      <w:pPr>
        <w:pStyle w:val="ListBullet"/>
      </w:pPr>
      <w:r>
        <w:t>service speed;</w:t>
      </w:r>
    </w:p>
    <w:p>
      <w:pPr>
        <w:pStyle w:val="ListBullet"/>
      </w:pPr>
      <w:r>
        <w:t>ready-by customer commitment override;</w:t>
      </w:r>
    </w:p>
    <w:p>
      <w:pPr>
        <w:pStyle w:val="ListBullet"/>
      </w:pPr>
      <w:r>
        <w:t>approved order/customer snapshot notes/contact corrections.</w:t>
      </w:r>
    </w:p>
    <w:p>
      <w:pPr>
        <w:pStyle w:val="Heading1"/>
      </w:pPr>
      <w:r>
        <w:t>8. Quantity/piece UX</w:t>
      </w:r>
    </w:p>
    <w:p>
      <w:r>
        <w:t>For piece-tracked committed items, quantity decrease cannot blindly decrement. Open eligible-piece selection and generate REMOVE_PIECE operations. Add piece increases quantity. Protected/processed pieces show a reason and cannot be selected if denied.</w:t>
      </w:r>
    </w:p>
    <w:p>
      <w:pPr>
        <w:pStyle w:val="Heading1"/>
      </w:pPr>
      <w:r>
        <w:t>9. Estimated money</w:t>
      </w:r>
    </w:p>
    <w:p>
      <w:r>
        <w:t>During local edits show clearly labelled estimate:</w:t>
      </w:r>
    </w:p>
    <w:p>
      <w:pPr>
        <w:pStyle w:val="ListBullet"/>
      </w:pPr>
      <w:r>
        <w:t>Current Total;</w:t>
      </w:r>
    </w:p>
    <w:p>
      <w:pPr>
        <w:pStyle w:val="ListBullet"/>
      </w:pPr>
      <w:r>
        <w:t>Estimated New Total;</w:t>
      </w:r>
    </w:p>
    <w:p>
      <w:pPr>
        <w:pStyle w:val="ListBullet"/>
      </w:pPr>
      <w:r>
        <w:t>Estimated Change.</w:t>
      </w:r>
    </w:p>
    <w:p>
      <w:r>
        <w:t>Do not label estimated delta as “Pay now”. Server Preview is authoritative.</w:t>
      </w:r>
    </w:p>
    <w:p>
      <w:pPr>
        <w:pStyle w:val="Heading1"/>
      </w:pPr>
      <w:r>
        <w:t>10. Review Changes</w:t>
      </w:r>
    </w:p>
    <w:p>
      <w:r>
        <w:t>Primary action: Review Changes.</w:t>
      </w:r>
    </w:p>
    <w:p>
      <w:r>
        <w:t>The review dialog/sheet displays grouped:</w:t>
      </w:r>
    </w:p>
    <w:p>
      <w:pPr>
        <w:pStyle w:val="ListBullet"/>
      </w:pPr>
      <w:r>
        <w:t>items;</w:t>
      </w:r>
    </w:p>
    <w:p>
      <w:pPr>
        <w:pStyle w:val="ListBullet"/>
      </w:pPr>
      <w:r>
        <w:t>pieces;</w:t>
      </w:r>
    </w:p>
    <w:p>
      <w:pPr>
        <w:pStyle w:val="ListBullet"/>
      </w:pPr>
      <w:r>
        <w:t>preferences;</w:t>
      </w:r>
    </w:p>
    <w:p>
      <w:pPr>
        <w:pStyle w:val="ListBullet"/>
      </w:pPr>
      <w:r>
        <w:t>priority/service speed/ready-by/notes;</w:t>
      </w:r>
    </w:p>
    <w:p>
      <w:pPr>
        <w:pStyle w:val="ListBullet"/>
      </w:pPr>
      <w:r>
        <w:t>price/discount/tax/charge effects;</w:t>
      </w:r>
    </w:p>
    <w:p>
      <w:pPr>
        <w:pStyle w:val="ListBullet"/>
      </w:pPr>
      <w:r>
        <w:t>Current Total / New Total / commercial delta;</w:t>
      </w:r>
    </w:p>
    <w:p>
      <w:pPr>
        <w:pStyle w:val="ListBullet"/>
      </w:pPr>
      <w:r>
        <w:t>financial outcome (outstanding/overpayment);</w:t>
      </w:r>
    </w:p>
    <w:p>
      <w:pPr>
        <w:pStyle w:val="ListBullet"/>
      </w:pPr>
      <w:r>
        <w:t>warnings;</w:t>
      </w:r>
    </w:p>
    <w:p>
      <w:pPr>
        <w:pStyle w:val="ListBullet"/>
      </w:pPr>
      <w:r>
        <w:t>required reason;</w:t>
      </w:r>
    </w:p>
    <w:p>
      <w:pPr>
        <w:pStyle w:val="ListBullet"/>
      </w:pPr>
      <w:r>
        <w:t>override requirement;</w:t>
      </w:r>
    </w:p>
    <w:p>
      <w:pPr>
        <w:pStyle w:val="ListBullet"/>
      </w:pPr>
      <w:r>
        <w:t>unsupported/fiscal blocking reason.</w:t>
      </w:r>
    </w:p>
    <w:p>
      <w:r>
        <w:t>Apply is available only from a valid current Preview. Any local edit invalidates the Preview/proof.</w:t>
      </w:r>
    </w:p>
    <w:p>
      <w:pPr>
        <w:pStyle w:val="Heading1"/>
      </w:pPr>
      <w:r>
        <w:t>11. Conflict UX</w:t>
      </w:r>
    </w:p>
    <w:p>
      <w:r>
        <w:t>For edit/workflow/review conflict:</w:t>
      </w:r>
    </w:p>
    <w:p>
      <w:pPr>
        <w:pStyle w:val="ListBullet"/>
      </w:pPr>
      <w:r>
        <w:t>never auto-merge V1;</w:t>
      </w:r>
    </w:p>
    <w:p>
      <w:pPr>
        <w:pStyle w:val="ListBullet"/>
      </w:pPr>
      <w:r>
        <w:t>show what became stale when safe;</w:t>
      </w:r>
    </w:p>
    <w:p>
      <w:pPr>
        <w:pStyle w:val="ListBullet"/>
      </w:pPr>
      <w:r>
        <w:t>primary: `Reload Latest Order`;</w:t>
      </w:r>
    </w:p>
    <w:p>
      <w:pPr>
        <w:pStyle w:val="ListBullet"/>
      </w:pPr>
      <w:r>
        <w:t>secondary: inspect/copy unsaved intent where practical;</w:t>
      </w:r>
    </w:p>
    <w:p>
      <w:pPr>
        <w:pStyle w:val="ListBullet"/>
      </w:pPr>
      <w:r>
        <w:t>do not silently overwrite latest data.</w:t>
      </w:r>
    </w:p>
    <w:p>
      <w:r>
        <w:t>Network failure after unknown Apply result retries with the same idempotency key and identical payload.</w:t>
      </w:r>
    </w:p>
    <w:p>
      <w:pPr>
        <w:pStyle w:val="Heading1"/>
      </w:pPr>
      <w:r>
        <w:t>12. Global edit blocked UI</w:t>
      </w:r>
    </w:p>
    <w:p>
      <w:r>
        <w:t>TEMPORARILY_BLOCKED: show reason and expiry if available; no editing controls.</w:t>
      </w:r>
    </w:p>
    <w:p>
      <w:r>
        <w:t>PERMANENTLY_BLOCKED: show permanent reason; no override button.</w:t>
      </w:r>
    </w:p>
    <w:p>
      <w:r>
        <w:t>Feature disabled/not entitled: route/access contract should prevent normal entry and show established feature/access UI.</w:t>
      </w:r>
    </w:p>
    <w:p>
      <w:pPr>
        <w:pStyle w:val="Heading1"/>
      </w:pPr>
      <w:r>
        <w:t>13. Apply success</w:t>
      </w:r>
    </w:p>
    <w:p>
      <w:r>
        <w:t>Refresh authoritative context/history/financial summary, clear dirty state and show revision. Then:</w:t>
      </w:r>
    </w:p>
    <w:p>
      <w:pPr>
        <w:pStyle w:val="ListBullet"/>
      </w:pPr>
      <w:r>
        <w:t>`NONE` =&gt; return/view order;</w:t>
      </w:r>
    </w:p>
    <w:p>
      <w:pPr>
        <w:pStyle w:val="ListBullet"/>
      </w:pPr>
      <w:r>
        <w:t>`OUTSTANDING_*` =&gt; offer/require supported additional collection according to Finance policy;</w:t>
      </w:r>
    </w:p>
    <w:p>
      <w:pPr>
        <w:pStyle w:val="ListBullet"/>
      </w:pPr>
      <w:r>
        <w:t>`OVERPAYMENT` =&gt; open focused Financial Resolution if the user chooses/needs to resolve now.</w:t>
      </w:r>
    </w:p>
    <w:p>
      <w:r>
        <w:t>Failure in later Finance follow-up does not undo the successful Change.</w:t>
      </w:r>
    </w:p>
    <w:p>
      <w:pPr>
        <w:pStyle w:val="Heading1"/>
      </w:pPr>
      <w:r>
        <w:t>14. Loading/empty/error states</w:t>
      </w:r>
    </w:p>
    <w:p>
      <w:pPr>
        <w:pStyle w:val="ListBullet"/>
      </w:pPr>
      <w:r>
        <w:t>skeleton/loading uses existing Cmx patterns;</w:t>
      </w:r>
    </w:p>
    <w:p>
      <w:pPr>
        <w:pStyle w:val="ListBullet"/>
      </w:pPr>
      <w:r>
        <w:t>order not found/foreign tenant uses generic not-found;</w:t>
      </w:r>
    </w:p>
    <w:p>
      <w:pPr>
        <w:pStyle w:val="ListBullet"/>
      </w:pPr>
      <w:r>
        <w:t>configuration dependency failure is explicit retry/support error, not zero-price/tax fallback;</w:t>
      </w:r>
    </w:p>
    <w:p>
      <w:pPr>
        <w:pStyle w:val="ListBullet"/>
      </w:pPr>
      <w:r>
        <w:t>Quick Drop may legitimately have zero detailed items and shows detailing affordance;</w:t>
      </w:r>
    </w:p>
    <w:p>
      <w:pPr>
        <w:pStyle w:val="ListBullet"/>
      </w:pPr>
      <w:r>
        <w:t>no-change review is disabled or returns a clear “No changes to apply”.</w:t>
      </w:r>
    </w:p>
    <w:p>
      <w:pPr>
        <w:pStyle w:val="Heading1"/>
      </w:pPr>
      <w:r>
        <w:t>15. Accessibility / i18n / RTL</w:t>
      </w:r>
    </w:p>
    <w:p>
      <w:pPr>
        <w:pStyle w:val="ListBullet"/>
      </w:pPr>
      <w:r>
        <w:t>all new text uses existing EN/AR message framework and glossary;</w:t>
      </w:r>
    </w:p>
    <w:p>
      <w:pPr>
        <w:pStyle w:val="ListBullet"/>
      </w:pPr>
      <w:r>
        <w:t>RTL-safe alignment/order/icons;</w:t>
      </w:r>
    </w:p>
    <w:p>
      <w:pPr>
        <w:pStyle w:val="ListBullet"/>
      </w:pPr>
      <w:r>
        <w:t>keyboard operable dialogs, focus trap/return, labelled fields and errors;</w:t>
      </w:r>
    </w:p>
    <w:p>
      <w:pPr>
        <w:pStyle w:val="ListBullet"/>
      </w:pPr>
      <w:r>
        <w:t>do not communicate removed/changed state by color alone;</w:t>
      </w:r>
    </w:p>
    <w:p>
      <w:pPr>
        <w:pStyle w:val="ListBullet"/>
      </w:pPr>
      <w:r>
        <w:t>money formatting follows currency configuration; stored numeric precision is not UI decimal formatting.</w:t>
      </w:r>
    </w:p>
    <w:p>
      <w:pPr>
        <w:pStyle w:val="Heading1"/>
      </w:pPr>
      <w:r>
        <w:t>16. Responsive/POS behavior</w:t>
      </w:r>
    </w:p>
    <w:p>
      <w:r>
        <w:t>Desktop and tablet/POS layouts must keep the Review action reachable without duplicate Save buttons. The review sheet can become full-screen on narrow devices. Do not introduce horizontal overflow in item/piece tables/cards.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