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CleanMateX Edit Order V2 / Order Change — Full Architecture v3.0</w:t>
      </w:r>
    </w:p>
    <w:p>
      <w:pPr>
        <w:jc w:val="center"/>
      </w:pPr>
      <w:r>
        <w:rPr>
          <w:i/>
        </w:rPr>
        <w:t>CleanMateX · v3.0 · 2026-10-02</w:t>
      </w:r>
    </w:p>
    <w:p>
      <w:r>
        <w:br w:type="page"/>
      </w:r>
    </w:p>
    <w:p>
      <w:pPr>
        <w:pStyle w:val="Heading1"/>
      </w:pPr>
      <w:r>
        <w:t>CleanMateX Edit Order V2 / Order Change — Full Architecture Pack</w:t>
      </w:r>
    </w:p>
    <w:p>
      <w:r>
        <w:t>Version: 2.1</w:t>
      </w:r>
    </w:p>
    <w:p>
      <w:r>
        <w:t>Date: 2026-10-02</w:t>
      </w:r>
    </w:p>
    <w:p>
      <w:r>
        <w:t>Status: AUTHORITATIVE TARGET ARCHITECTURE</w:t>
      </w:r>
    </w:p>
    <w:p>
      <w:r>
        <w:t>Supersedes: 2026-10-02 v2.0 and 2026-09-22 Edit Order V2 / Order Change packs</w:t>
      </w:r>
    </w:p>
    <w:p>
      <w:r>
        <w:t>Scope: Post-commit commercial editing of orders in CleanMateX</w:t>
      </w:r>
    </w:p>
    <w:p>
      <w:r>
        <w:t>---</w:t>
      </w:r>
    </w:p>
    <w:p>
      <w:pPr>
        <w:pStyle w:val="Heading1"/>
      </w:pPr>
      <w:r>
        <w:t>1. Purpose</w:t>
      </w:r>
    </w:p>
    <w:p>
      <w:r>
        <w:t>This document is the authoritative architecture for Edit Order V2.</w:t>
      </w:r>
    </w:p>
    <w:p>
      <w:r>
        <w:t>The current production codebase remains the implementation source of truth. This document defines the target business and technical architecture that the implementation must converge toward. Where the current codebase has evolved into a stronger implementation, this pack explicitly reuses that newer capability rather than recreating it.</w:t>
      </w:r>
    </w:p>
    <w:p>
      <w:pPr>
        <w:pStyle w:val="Heading2"/>
      </w:pPr>
      <w:r>
        <w:t>Terminology</w:t>
      </w:r>
    </w:p>
    <w:p>
      <w:pPr>
        <w:pStyle w:val="ListBullet"/>
      </w:pPr>
      <w:r>
        <w:t>**Edit** = user-facing process/capability.</w:t>
      </w:r>
    </w:p>
    <w:p>
      <w:pPr>
        <w:pStyle w:val="ListBullet"/>
      </w:pPr>
      <w:r>
        <w:t>**Change** = committed, auditable business transaction applied to an already committed order.</w:t>
      </w:r>
    </w:p>
    <w:p>
      <w:pPr>
        <w:pStyle w:val="ListBullet"/>
      </w:pPr>
      <w:r>
        <w:t>**Revision** = the resulting commercial version of the order after a Change.</w:t>
      </w:r>
    </w:p>
    <w:p>
      <w:pPr>
        <w:pStyle w:val="ListBullet"/>
      </w:pPr>
      <w:r>
        <w:t>**Workflow transition** = operational status movement. It is not a commercial Change.</w:t>
      </w:r>
    </w:p>
    <w:p>
      <w:pPr>
        <w:pStyle w:val="ListBullet"/>
      </w:pPr>
      <w:r>
        <w:t>**Financial resolution** = payment/refund/credit/wallet/overpayment handling after a Change. It is not the Change itself.</w:t>
      </w:r>
    </w:p>
    <w:p>
      <w:r>
        <w:t>---</w:t>
      </w:r>
    </w:p>
    <w:p>
      <w:pPr>
        <w:pStyle w:val="Heading1"/>
      </w:pPr>
      <w:r>
        <w:t>2. Architecture Goal</w:t>
      </w:r>
    </w:p>
    <w:p>
      <w:r>
        <w:t>The architecture must provide one safe, auditable, future-proof boundary for post-commit commercial order edits while preserving existing mature CleanMateX domains.</w:t>
      </w:r>
    </w:p>
    <w:p>
      <w:pPr>
        <w:pStyle w:val="Heading2"/>
      </w:pPr>
      <w:r>
        <w:t>Core target</w:t>
      </w:r>
    </w:p>
    <w:p>
      <w:pPr>
        <w:ind w:left="288"/>
      </w:pPr>
      <w:r>
        <w:rPr>
          <w:rFonts w:ascii="Courier New" w:hAnsi="Courier New"/>
          <w:sz w:val="15"/>
        </w:rPr>
        <w:t>Shared Order Editor</w:t>
        <w:br/>
        <w:t xml:space="preserve">        |</w:t>
        <w:br/>
        <w:t xml:space="preserve">        +-- Create Controller</w:t>
        <w:br/>
        <w:t xml:space="preserve">        |      -&gt; existing canonical New Order flow</w:t>
        <w:br/>
        <w:t xml:space="preserve">        |</w:t>
        <w:br/>
        <w:t xml:space="preserve">        +-- Edit Controller</w:t>
        <w:br/>
        <w:t xml:space="preserve">               -&gt; Order Change Preview</w:t>
        <w:br/>
        <w:t xml:space="preserve">               -&gt; Review Changes</w:t>
        <w:br/>
        <w:t xml:space="preserve">               -&gt; Order Change Apply</w:t>
        <w:br/>
        <w:t xml:space="preserve">                       |</w:t>
        <w:br/>
        <w:t xml:space="preserve">                       +-- stable-ID operations</w:t>
        <w:br/>
        <w:t xml:space="preserve">                       +-- workflow capability checks</w:t>
        <w:br/>
        <w:t xml:space="preserve">                       +-- pricing/tax/discount reuse</w:t>
        <w:br/>
        <w:t xml:space="preserve">                       +-- financial snapshot reuse</w:t>
        <w:br/>
        <w:t xml:space="preserve">                       +-- audit/change history</w:t>
        <w:br/>
        <w:t xml:space="preserve">                       +-- idempotency</w:t>
        <w:br/>
        <w:t xml:space="preserve">                       +-- outbox</w:t>
      </w:r>
    </w:p>
    <w:p>
      <w:pPr>
        <w:pStyle w:val="Heading2"/>
      </w:pPr>
      <w:r>
        <w:t>Architecture style</w:t>
      </w:r>
    </w:p>
    <w:p>
      <w:pPr>
        <w:pStyle w:val="ListBullet"/>
      </w:pPr>
      <w:r>
        <w:t>Modular monolith.</w:t>
      </w:r>
    </w:p>
    <w:p>
      <w:pPr>
        <w:pStyle w:val="ListBullet"/>
      </w:pPr>
      <w:r>
        <w:t>Transactional database boundary for Change Apply.</w:t>
      </w:r>
    </w:p>
    <w:p>
      <w:pPr>
        <w:pStyle w:val="ListBullet"/>
      </w:pPr>
      <w:r>
        <w:t>Existing domain services remain authoritative.</w:t>
      </w:r>
    </w:p>
    <w:p>
      <w:pPr>
        <w:pStyle w:val="ListBullet"/>
      </w:pPr>
      <w:r>
        <w:t>No event sourcing.</w:t>
      </w:r>
    </w:p>
    <w:p>
      <w:pPr>
        <w:pStyle w:val="ListBullet"/>
      </w:pPr>
      <w:r>
        <w:t>No microservices requirement.</w:t>
      </w:r>
    </w:p>
    <w:p>
      <w:pPr>
        <w:pStyle w:val="ListBullet"/>
      </w:pPr>
      <w:r>
        <w:t>No Edit-specific duplicate pricing engine.</w:t>
      </w:r>
    </w:p>
    <w:p>
      <w:pPr>
        <w:pStyle w:val="ListBullet"/>
      </w:pPr>
      <w:r>
        <w:t>No Edit-specific duplicate finance engine.</w:t>
      </w:r>
    </w:p>
    <w:p>
      <w:pPr>
        <w:pStyle w:val="ListBullet"/>
      </w:pPr>
      <w:r>
        <w:t>No full-order replacement after commitment.</w:t>
      </w:r>
    </w:p>
    <w:p>
      <w:r>
        <w:t>---</w:t>
      </w:r>
    </w:p>
    <w:p>
      <w:pPr>
        <w:pStyle w:val="Heading1"/>
      </w:pPr>
      <w:r>
        <w:t>3. Current Codebase Reconciliation — October 2026</w:t>
      </w:r>
    </w:p>
    <w:p>
      <w:r>
        <w:t>The October 2026 codebase materially improved several domains since the earlier architecture pack.</w:t>
      </w:r>
    </w:p>
    <w:p>
      <w:pPr>
        <w:pStyle w:val="Heading2"/>
      </w:pPr>
      <w:r>
        <w:t>Reuse as authoritative existing capabilities</w:t>
      </w:r>
    </w:p>
    <w:p>
      <w:pPr>
        <w:pStyle w:val="ListBullet"/>
      </w:pPr>
      <w:r>
        <w:t>Canonical New Order submission/orchestration.</w:t>
      </w:r>
    </w:p>
    <w:p>
      <w:pPr>
        <w:pStyle w:val="ListBullet"/>
      </w:pPr>
      <w:r>
        <w:t>Pricing service.</w:t>
      </w:r>
    </w:p>
    <w:p>
      <w:pPr>
        <w:pStyle w:val="ListBullet"/>
      </w:pPr>
      <w:r>
        <w:t>Promotion/discount engine.</w:t>
      </w:r>
    </w:p>
    <w:p>
      <w:pPr>
        <w:pStyle w:val="ListBullet"/>
      </w:pPr>
      <w:r>
        <w:t>Tax engine.</w:t>
      </w:r>
    </w:p>
    <w:p>
      <w:pPr>
        <w:pStyle w:val="ListBullet"/>
      </w:pPr>
      <w:r>
        <w:t>Order calculation service.</w:t>
      </w:r>
    </w:p>
    <w:p>
      <w:pPr>
        <w:pStyle w:val="ListBullet"/>
      </w:pPr>
      <w:r>
        <w:t>Preference catalog/resolution and `org_order_preferences_dtl`.</w:t>
      </w:r>
    </w:p>
    <w:p>
      <w:pPr>
        <w:pStyle w:val="ListBullet"/>
      </w:pPr>
      <w:r>
        <w:t>Workflow semantic runtime, gate evaluation, warning acknowledgement, override decisions, idempotency and workflow OCC.</w:t>
      </w:r>
    </w:p>
    <w:p>
      <w:pPr>
        <w:pStyle w:val="ListBullet"/>
      </w:pPr>
      <w:r>
        <w:t>Financial aggregation and financial snapshot writer.</w:t>
      </w:r>
    </w:p>
    <w:p>
      <w:pPr>
        <w:pStyle w:val="ListBullet"/>
      </w:pPr>
      <w:r>
        <w:t>Payment facts.</w:t>
      </w:r>
    </w:p>
    <w:p>
      <w:pPr>
        <w:pStyle w:val="ListBullet"/>
      </w:pPr>
      <w:r>
        <w:t>Voucher architecture.</w:t>
      </w:r>
    </w:p>
    <w:p>
      <w:pPr>
        <w:pStyle w:val="ListBullet"/>
      </w:pPr>
      <w:r>
        <w:t>Refund services.</w:t>
      </w:r>
    </w:p>
    <w:p>
      <w:pPr>
        <w:pStyle w:val="ListBullet"/>
      </w:pPr>
      <w:r>
        <w:t>Stored-value/wallet/gift-card/AR services.</w:t>
      </w:r>
    </w:p>
    <w:p>
      <w:pPr>
        <w:pStyle w:val="ListBullet"/>
      </w:pPr>
      <w:r>
        <w:t>Overpayment disposition mechanics.</w:t>
      </w:r>
    </w:p>
    <w:p>
      <w:pPr>
        <w:pStyle w:val="ListBullet"/>
      </w:pPr>
      <w:r>
        <w:t>Idempotency utilities.</w:t>
      </w:r>
    </w:p>
    <w:p>
      <w:pPr>
        <w:pStyle w:val="ListBullet"/>
      </w:pPr>
      <w:r>
        <w:t>Transactional outbox.</w:t>
      </w:r>
    </w:p>
    <w:p>
      <w:pPr>
        <w:pStyle w:val="ListBullet"/>
      </w:pPr>
      <w:r>
        <w:t>Shared New Order/Edit Order workspace.</w:t>
      </w:r>
    </w:p>
    <w:p>
      <w:pPr>
        <w:pStyle w:val="Heading2"/>
      </w:pPr>
      <w:r>
        <w:t>Current architecture that must be replaced for V2</w:t>
      </w:r>
    </w:p>
    <w:p>
      <w:pPr>
        <w:pStyle w:val="ListBullet"/>
      </w:pPr>
      <w:r>
        <w:t>Full-replacement committed Edit through `OrderService.updateOrder()`.</w:t>
      </w:r>
    </w:p>
    <w:p>
      <w:pPr>
        <w:pStyle w:val="ListBullet"/>
      </w:pPr>
      <w:r>
        <w:t>Physical delete/recreate of committed items/pieces/preferences.</w:t>
      </w:r>
    </w:p>
    <w:p>
      <w:pPr>
        <w:pStyle w:val="ListBullet"/>
      </w:pPr>
      <w:r>
        <w:t>Edit DTOs identified primarily by `productId` / `pieceSeq`.</w:t>
      </w:r>
    </w:p>
    <w:p>
      <w:pPr>
        <w:pStyle w:val="ListBullet"/>
      </w:pPr>
      <w:r>
        <w:t>`expectedUpdatedAt` as primary commercial OCC.</w:t>
      </w:r>
    </w:p>
    <w:p>
      <w:pPr>
        <w:pStyle w:val="ListBullet"/>
      </w:pPr>
      <w:r>
        <w:t>Snapshot-oriented `org_order_edit_history` as the authoritative transaction model.</w:t>
      </w:r>
    </w:p>
    <w:p>
      <w:pPr>
        <w:pStyle w:val="ListBullet"/>
      </w:pPr>
      <w:r>
        <w:t>Hard-coded whole-order `isOrderEditable()` as the final editability authority.</w:t>
      </w:r>
    </w:p>
    <w:p>
      <w:pPr>
        <w:pStyle w:val="ListBullet"/>
      </w:pPr>
      <w:r>
        <w:t>Product-based audit comparison instead of stable order-item identity.</w:t>
      </w:r>
    </w:p>
    <w:p>
      <w:pPr>
        <w:pStyle w:val="Heading2"/>
      </w:pPr>
      <w:r>
        <w:t>Current code confirmed in October</w:t>
      </w:r>
    </w:p>
    <w:p>
      <w:pPr>
        <w:pStyle w:val="ListBullet"/>
      </w:pPr>
      <w:r>
        <w:t>`order-editability.ts` still uses a hard-coded editable status set and blocks processing/split conditions.</w:t>
      </w:r>
    </w:p>
    <w:p>
      <w:pPr>
        <w:pStyle w:val="ListBullet"/>
      </w:pPr>
      <w:r>
        <w:t>`workflow-engine.service.ts` already provides semantic workflow policy, `state_version` OCC, row locking, idempotency, gates, warnings, override decisions and transactional composition.</w:t>
      </w:r>
    </w:p>
    <w:p>
      <w:pPr>
        <w:pStyle w:val="ListBullet"/>
      </w:pPr>
      <w:r>
        <w:t>`edit-order-schemas.ts` explicitly defines item editing as full replacement, uses `productId`, does not carry persisted item/piece identity, and uses `expectedUpdatedAt`.</w:t>
      </w:r>
    </w:p>
    <w:p>
      <w:r>
        <w:t>These findings strengthen—not invalidate—the target architecture.</w:t>
      </w:r>
    </w:p>
    <w:p>
      <w:r>
        <w:t>---</w:t>
      </w:r>
    </w:p>
    <w:p>
      <w:pPr>
        <w:pStyle w:val="Heading1"/>
      </w:pPr>
      <w:r>
        <w:t>4. Commitment Boundary</w:t>
      </w:r>
    </w:p>
    <w:p>
      <w:pPr>
        <w:pStyle w:val="Heading2"/>
      </w:pPr>
      <w:r>
        <w:t>Decision</w:t>
      </w:r>
    </w:p>
    <w:p>
      <w:r>
        <w:t>Persist:</w:t>
      </w:r>
    </w:p>
    <w:p>
      <w:pPr>
        <w:ind w:left="288"/>
      </w:pPr>
      <w:r>
        <w:rPr>
          <w:rFonts w:ascii="Courier New" w:hAnsi="Courier New"/>
          <w:sz w:val="15"/>
        </w:rPr>
        <w:t>committed_at timestamptz</w:t>
        <w:br/>
        <w:t>committed_by uuid</w:t>
      </w:r>
    </w:p>
    <w:p>
      <w:r>
        <w:t>Derived:</w:t>
      </w:r>
    </w:p>
    <w:p>
      <w:pPr>
        <w:ind w:left="288"/>
      </w:pPr>
      <w:r>
        <w:rPr>
          <w:rFonts w:ascii="Courier New" w:hAnsi="Courier New"/>
          <w:sz w:val="15"/>
        </w:rPr>
        <w:t>isCommitted = committed_at IS NOT NULL</w:t>
      </w:r>
    </w:p>
    <w:p>
      <w:r>
        <w:t>Do not add a redundant mutable is_committed source of truth.</w:t>
      </w:r>
    </w:p>
    <w:p>
      <w:pPr>
        <w:pStyle w:val="Heading2"/>
      </w:pPr>
      <w:r>
        <w:t>Rules</w:t>
      </w:r>
    </w:p>
    <w:p>
      <w:pPr>
        <w:pStyle w:val="ListNumber"/>
      </w:pPr>
      <w:r>
        <w:t>Initial canonical order commit establishes commercial facts, `committed_at`, `committed_by`, and initial `edit_state_version = 1`.</w:t>
      </w:r>
    </w:p>
    <w:p>
      <w:pPr>
        <w:pStyle w:val="ListNumber"/>
      </w:pPr>
      <w:r>
        <w:t>Commitment is irreversible.</w:t>
      </w:r>
    </w:p>
    <w:p>
      <w:pPr>
        <w:pStyle w:val="ListNumber"/>
      </w:pPr>
      <w:r>
        <w:t>Workflow may decide when initial commitment is allowed, but workflow status does not redefine whether the order is committed.</w:t>
      </w:r>
    </w:p>
    <w:p>
      <w:pPr>
        <w:pStyle w:val="ListNumber"/>
      </w:pPr>
      <w:r>
        <w:t>Quick Drop may be committed before detailed itemization.</w:t>
      </w:r>
    </w:p>
    <w:p>
      <w:pPr>
        <w:pStyle w:val="ListNumber"/>
      </w:pPr>
      <w:r>
        <w:t>Later commercial detailing of a committed Quick Drop must use the governed Change boundary.</w:t>
      </w:r>
    </w:p>
    <w:p>
      <w:r>
        <w:t>A persisted committed_status is not required unless CleanMateX later introduces a genuine multi-state commitment lifecycle.</w:t>
      </w:r>
    </w:p>
    <w:p>
      <w:r>
        <w:t>---</w:t>
      </w:r>
    </w:p>
    <w:p>
      <w:pPr>
        <w:pStyle w:val="Heading1"/>
      </w:pPr>
      <w:r>
        <w:t>5. Versioning and Concurrency</w:t>
      </w:r>
    </w:p>
    <w:p>
      <w:r>
        <w:t>Two independent versions are required.</w:t>
      </w:r>
    </w:p>
    <w:p>
      <w:pPr>
        <w:ind w:left="288"/>
      </w:pPr>
      <w:r>
        <w:rPr>
          <w:rFonts w:ascii="Courier New" w:hAnsi="Courier New"/>
          <w:sz w:val="15"/>
        </w:rPr>
        <w:t>wf_state_version</w:t>
        <w:br/>
        <w:t>edit_state_version</w:t>
      </w:r>
    </w:p>
    <w:p>
      <w:pPr>
        <w:pStyle w:val="Heading2"/>
      </w:pPr>
      <w:r>
        <w:t>wf_state_version</w:t>
      </w:r>
    </w:p>
    <w:p>
      <w:r>
        <w:t>Owns operational workflow concurrency.</w:t>
      </w:r>
    </w:p>
    <w:p>
      <w:r>
        <w:t>Current state_version is clearly workflow-owned in the current engine and should be migrated/renamed conceptually and, when safe, physically.</w:t>
      </w:r>
    </w:p>
    <w:p>
      <w:pPr>
        <w:pStyle w:val="Heading2"/>
      </w:pPr>
      <w:r>
        <w:t>edit_state_version</w:t>
      </w:r>
    </w:p>
    <w:p>
      <w:r>
        <w:t>Owns commercial Change revision and optimistic concurrency.</w:t>
      </w:r>
    </w:p>
    <w:p>
      <w:r>
        <w:t>Rules:</w:t>
      </w:r>
    </w:p>
    <w:p>
      <w:pPr>
        <w:pStyle w:val="ListBullet"/>
      </w:pPr>
      <w:r>
        <w:t>Initial committed order: `edit_state_version = 1`.</w:t>
      </w:r>
    </w:p>
    <w:p>
      <w:pPr>
        <w:pStyle w:val="ListBullet"/>
      </w:pPr>
      <w:r>
        <w:t>One successful Order Change increments it exactly once.</w:t>
      </w:r>
    </w:p>
    <w:p>
      <w:pPr>
        <w:pStyle w:val="ListBullet"/>
      </w:pPr>
      <w:r>
        <w:t>Preview does not increment it.</w:t>
      </w:r>
    </w:p>
    <w:p>
      <w:pPr>
        <w:pStyle w:val="ListBullet"/>
      </w:pPr>
      <w:r>
        <w:t>Failed Apply does not increment it.</w:t>
      </w:r>
    </w:p>
    <w:p>
      <w:pPr>
        <w:pStyle w:val="ListBullet"/>
      </w:pPr>
      <w:r>
        <w:t>`updated_at` is not primary commercial OCC.</w:t>
      </w:r>
    </w:p>
    <w:p>
      <w:pPr>
        <w:pStyle w:val="ListBullet"/>
      </w:pPr>
      <w:r>
        <w:t>Apply sends both expected workflow and edit versions where needed.</w:t>
      </w:r>
    </w:p>
    <w:p>
      <w:pPr>
        <w:pStyle w:val="ListBullet"/>
      </w:pPr>
      <w:r>
        <w:t>V1 uses strict conflicts; no automatic merge.</w:t>
      </w:r>
    </w:p>
    <w:p>
      <w:r>
        <w:t>Preferred display: Revision N.</w:t>
      </w:r>
    </w:p>
    <w:p>
      <w:r>
        <w:t>---</w:t>
      </w:r>
    </w:p>
    <w:p>
      <w:pPr>
        <w:pStyle w:val="Heading1"/>
      </w:pPr>
      <w:r>
        <w:t>6. Edit Access Control</w:t>
      </w:r>
    </w:p>
    <w:p>
      <w:r>
        <w:t>Add:</w:t>
      </w:r>
    </w:p>
    <w:p>
      <w:pPr>
        <w:ind w:left="288"/>
      </w:pPr>
      <w:r>
        <w:rPr>
          <w:rFonts w:ascii="Courier New" w:hAnsi="Courier New"/>
          <w:sz w:val="15"/>
        </w:rPr>
        <w:t>edit_access_status</w:t>
        <w:br/>
        <w:t>edit_block_reason_code</w:t>
        <w:br/>
        <w:t>edit_block_reason_text</w:t>
        <w:br/>
        <w:t>edit_blocked_at</w:t>
        <w:br/>
        <w:t>edit_blocked_by</w:t>
        <w:br/>
        <w:t>edit_block_until</w:t>
      </w:r>
    </w:p>
    <w:p>
      <w:r>
        <w:t>Statuses:</w:t>
      </w:r>
    </w:p>
    <w:p>
      <w:pPr>
        <w:ind w:left="288"/>
      </w:pPr>
      <w:r>
        <w:rPr>
          <w:rFonts w:ascii="Courier New" w:hAnsi="Courier New"/>
          <w:sz w:val="15"/>
        </w:rPr>
        <w:t>OPEN</w:t>
        <w:br/>
        <w:t>TEMPORARILY_BLOCKED</w:t>
        <w:br/>
        <w:t>PERMANENTLY_BLOCKED</w:t>
      </w:r>
    </w:p>
    <w:p>
      <w:r>
        <w:t>OPEN means Edit capability may be evaluated, not that all operations are allowed.</w:t>
      </w:r>
    </w:p>
    <w:p>
      <w:r>
        <w:t>Effective decision order:</w:t>
      </w:r>
    </w:p>
    <w:p>
      <w:pPr>
        <w:pStyle w:val="ListNumber"/>
      </w:pPr>
      <w:r>
        <w:t>Order is committed.</w:t>
      </w:r>
    </w:p>
    <w:p>
      <w:pPr>
        <w:pStyle w:val="ListNumber"/>
      </w:pPr>
      <w:r>
        <w:t>Edit access status permits evaluation.</w:t>
      </w:r>
    </w:p>
    <w:p>
      <w:pPr>
        <w:pStyle w:val="ListNumber"/>
      </w:pPr>
      <w:r>
        <w:t>Actor has `orders:edit`.</w:t>
      </w:r>
    </w:p>
    <w:p>
      <w:pPr>
        <w:pStyle w:val="ListNumber"/>
      </w:pPr>
      <w:r>
        <w:t>Workflow allows the specific operation/target.</w:t>
      </w:r>
    </w:p>
    <w:p>
      <w:pPr>
        <w:pStyle w:val="ListNumber"/>
      </w:pPr>
      <w:r>
        <w:t>Structural/domain invariants allow it.</w:t>
      </w:r>
    </w:p>
    <w:p>
      <w:pPr>
        <w:pStyle w:val="ListNumber"/>
      </w:pPr>
      <w:r>
        <w:t>Financial/fiscal restrictions allow it.</w:t>
      </w:r>
    </w:p>
    <w:p>
      <w:pPr>
        <w:pStyle w:val="ListNumber"/>
      </w:pPr>
      <w:r>
        <w:t>Override policy is evaluated if applicable.</w:t>
      </w:r>
    </w:p>
    <w:p>
      <w:r>
        <w:t>Outcome:</w:t>
      </w:r>
    </w:p>
    <w:p>
      <w:pPr>
        <w:ind w:left="288"/>
      </w:pPr>
      <w:r>
        <w:rPr>
          <w:rFonts w:ascii="Courier New" w:hAnsi="Courier New"/>
          <w:sz w:val="15"/>
        </w:rPr>
        <w:t>ALLOW</w:t>
        <w:br/>
        <w:t>ALLOW_WITH_WARNING</w:t>
        <w:br/>
        <w:t>REQUIRE_OVERRIDE</w:t>
        <w:br/>
        <w:t>DENY</w:t>
      </w:r>
    </w:p>
    <w:p>
      <w:r>
        <w:t>No global force-allow may bypass hard invariants.</w:t>
      </w:r>
    </w:p>
    <w:p>
      <w:r>
        <w:t>---</w:t>
      </w:r>
    </w:p>
    <w:p>
      <w:pPr>
        <w:pStyle w:val="Heading1"/>
      </w:pPr>
      <w:r>
        <w:t>7. Order Change Aggregate</w:t>
      </w:r>
    </w:p>
    <w:p>
      <w:r>
        <w:t>Authoritative tables:</w:t>
      </w:r>
    </w:p>
    <w:p>
      <w:pPr>
        <w:ind w:left="288"/>
      </w:pPr>
      <w:r>
        <w:rPr>
          <w:rFonts w:ascii="Courier New" w:hAnsi="Courier New"/>
          <w:sz w:val="15"/>
        </w:rPr>
        <w:t>org_order_changes_mst</w:t>
        <w:br/>
        <w:t>org_order_change_ops_dtl</w:t>
      </w:r>
    </w:p>
    <w:p>
      <w:r>
        <w:t>Preferred identifiers:</w:t>
      </w:r>
    </w:p>
    <w:p>
      <w:pPr>
        <w:ind w:left="288"/>
      </w:pPr>
      <w:r>
        <w:rPr>
          <w:rFonts w:ascii="Courier New" w:hAnsi="Courier New"/>
          <w:sz w:val="15"/>
        </w:rPr>
        <w:t>order_change_id</w:t>
        <w:br/>
        <w:t>change_no</w:t>
        <w:br/>
        <w:t>change_reason</w:t>
      </w:r>
    </w:p>
    <w:p>
      <w:pPr>
        <w:pStyle w:val="Heading2"/>
      </w:pPr>
      <w:r>
        <w:t>org_order_changes_mst</w:t>
      </w:r>
    </w:p>
    <w:p>
      <w:r>
        <w:t>Conceptual fields:</w:t>
      </w:r>
    </w:p>
    <w:p>
      <w:pPr>
        <w:pStyle w:val="ListBullet"/>
      </w:pPr>
      <w:r>
        <w:t>id</w:t>
      </w:r>
    </w:p>
    <w:p>
      <w:pPr>
        <w:pStyle w:val="ListBullet"/>
      </w:pPr>
      <w:r>
        <w:t>tenant_org_id</w:t>
      </w:r>
    </w:p>
    <w:p>
      <w:pPr>
        <w:pStyle w:val="ListBullet"/>
      </w:pPr>
      <w:r>
        <w:t>order_id</w:t>
      </w:r>
    </w:p>
    <w:p>
      <w:pPr>
        <w:pStyle w:val="ListBullet"/>
      </w:pPr>
      <w:r>
        <w:t>change_no</w:t>
      </w:r>
    </w:p>
    <w:p>
      <w:pPr>
        <w:pStyle w:val="ListBullet"/>
      </w:pPr>
      <w:r>
        <w:t>edit_state_version_before</w:t>
      </w:r>
    </w:p>
    <w:p>
      <w:pPr>
        <w:pStyle w:val="ListBullet"/>
      </w:pPr>
      <w:r>
        <w:t>edit_state_version_after</w:t>
      </w:r>
    </w:p>
    <w:p>
      <w:pPr>
        <w:pStyle w:val="ListBullet"/>
      </w:pPr>
      <w:r>
        <w:t>wf_state_version_expected</w:t>
      </w:r>
    </w:p>
    <w:p>
      <w:pPr>
        <w:pStyle w:val="ListBullet"/>
      </w:pPr>
      <w:r>
        <w:t>source_context</w:t>
      </w:r>
    </w:p>
    <w:p>
      <w:pPr>
        <w:pStyle w:val="ListBullet"/>
      </w:pPr>
      <w:r>
        <w:t>actor_user_id</w:t>
      </w:r>
    </w:p>
    <w:p>
      <w:pPr>
        <w:pStyle w:val="ListBullet"/>
      </w:pPr>
      <w:r>
        <w:t>actor_name/snapshot if required</w:t>
      </w:r>
    </w:p>
    <w:p>
      <w:pPr>
        <w:pStyle w:val="ListBullet"/>
      </w:pPr>
      <w:r>
        <w:t>change_reason</w:t>
      </w:r>
    </w:p>
    <w:p>
      <w:pPr>
        <w:pStyle w:val="ListBullet"/>
      </w:pPr>
      <w:r>
        <w:t>financial_before summary</w:t>
      </w:r>
    </w:p>
    <w:p>
      <w:pPr>
        <w:pStyle w:val="ListBullet"/>
      </w:pPr>
      <w:r>
        <w:t>financial_after summary</w:t>
      </w:r>
    </w:p>
    <w:p>
      <w:pPr>
        <w:pStyle w:val="ListBullet"/>
      </w:pPr>
      <w:r>
        <w:t>commercial_delta</w:t>
      </w:r>
    </w:p>
    <w:p>
      <w:pPr>
        <w:pStyle w:val="ListBullet"/>
      </w:pPr>
      <w:r>
        <w:t>financial_outcome</w:t>
      </w:r>
    </w:p>
    <w:p>
      <w:pPr>
        <w:pStyle w:val="ListBullet"/>
      </w:pPr>
      <w:r>
        <w:t>idempotency key/reference</w:t>
      </w:r>
    </w:p>
    <w:p>
      <w:pPr>
        <w:pStyle w:val="ListBullet"/>
      </w:pPr>
      <w:r>
        <w:t>applied_at</w:t>
      </w:r>
    </w:p>
    <w:p>
      <w:pPr>
        <w:pStyle w:val="ListBullet"/>
      </w:pPr>
      <w:r>
        <w:t>created_at</w:t>
      </w:r>
    </w:p>
    <w:p>
      <w:pPr>
        <w:pStyle w:val="ListBullet"/>
      </w:pPr>
      <w:r>
        <w:t>metadata</w:t>
      </w:r>
    </w:p>
    <w:p>
      <w:pPr>
        <w:pStyle w:val="Heading2"/>
      </w:pPr>
      <w:r>
        <w:t>org_order_change_ops_dtl</w:t>
      </w:r>
    </w:p>
    <w:p>
      <w:r>
        <w:t>Each semantic operation records:</w:t>
      </w:r>
    </w:p>
    <w:p>
      <w:pPr>
        <w:pStyle w:val="ListBullet"/>
      </w:pPr>
      <w:r>
        <w:t>operation sequence</w:t>
      </w:r>
    </w:p>
    <w:p>
      <w:pPr>
        <w:pStyle w:val="ListBullet"/>
      </w:pPr>
      <w:r>
        <w:t>operation code</w:t>
      </w:r>
    </w:p>
    <w:p>
      <w:pPr>
        <w:pStyle w:val="ListBullet"/>
      </w:pPr>
      <w:r>
        <w:t>target type</w:t>
      </w:r>
    </w:p>
    <w:p>
      <w:pPr>
        <w:pStyle w:val="ListBullet"/>
      </w:pPr>
      <w:r>
        <w:t>stable target ID or client temporary reference</w:t>
      </w:r>
    </w:p>
    <w:p>
      <w:pPr>
        <w:pStyle w:val="ListBullet"/>
      </w:pPr>
      <w:r>
        <w:t>before values</w:t>
      </w:r>
    </w:p>
    <w:p>
      <w:pPr>
        <w:pStyle w:val="ListBullet"/>
      </w:pPr>
      <w:r>
        <w:t>after values</w:t>
      </w:r>
    </w:p>
    <w:p>
      <w:pPr>
        <w:pStyle w:val="ListBullet"/>
      </w:pPr>
      <w:r>
        <w:t>relevant typed columns where valuable</w:t>
      </w:r>
    </w:p>
    <w:p>
      <w:pPr>
        <w:pStyle w:val="ListBullet"/>
      </w:pPr>
      <w:r>
        <w:t>audit summary</w:t>
      </w:r>
    </w:p>
    <w:p>
      <w:pPr>
        <w:pStyle w:val="ListBullet"/>
      </w:pPr>
      <w:r>
        <w:t>created_at</w:t>
      </w:r>
    </w:p>
    <w:p>
      <w:r>
        <w:t>The operation table is the authoritative semantic explanation of what changed.</w:t>
      </w:r>
    </w:p>
    <w:p>
      <w:pPr>
        <w:pStyle w:val="Heading2"/>
      </w:pPr>
      <w:r>
        <w:t>Legacy history</w:t>
      </w:r>
    </w:p>
    <w:p>
      <w:r>
        <w:t>org_order_edit_history remains for legacy history, migration/backfill, compatibility and historical reporting if needed. It must not be the V2 authoritative transaction model.</w:t>
      </w:r>
    </w:p>
    <w:p>
      <w:r>
        <w:t>---</w:t>
      </w:r>
    </w:p>
    <w:p>
      <w:pPr>
        <w:pStyle w:val="Heading1"/>
      </w:pPr>
      <w:r>
        <w:t>8. API Contract</w:t>
      </w:r>
    </w:p>
    <w:p>
      <w:r>
        <w:t>Preferred endpoints:</w:t>
      </w:r>
    </w:p>
    <w:p>
      <w:pPr>
        <w:ind w:left="288"/>
      </w:pPr>
      <w:r>
        <w:rPr>
          <w:rFonts w:ascii="Courier New" w:hAnsi="Courier New"/>
          <w:sz w:val="15"/>
        </w:rPr>
        <w:t>POST /api/v1/orders/:orderId/changes/preview</w:t>
        <w:br/>
        <w:t>POST /api/v1/orders/:orderId/changes</w:t>
      </w:r>
    </w:p>
    <w:p>
      <w:pPr>
        <w:pStyle w:val="Heading2"/>
      </w:pPr>
      <w:r>
        <w:t>Preview</w:t>
      </w:r>
    </w:p>
    <w:p>
      <w:r>
        <w:t>Input contains expected edit version, expected workflow version where relevant, semantic operations, optional reason and source context.</w:t>
      </w:r>
    </w:p>
    <w:p>
      <w:r>
        <w:t>Preview creates no pending Change row and performs server-authoritative validation, capability evaluation, commercial recalculation and financial preview.</w:t>
      </w:r>
    </w:p>
    <w:p>
      <w:pPr>
        <w:pStyle w:val="Heading2"/>
      </w:pPr>
      <w:r>
        <w:t>Apply</w:t>
      </w:r>
    </w:p>
    <w:p>
      <w:r>
        <w:t>Apply requires Idempotency-Key, expected versions, semantic operations and required reason/override data.</w:t>
      </w:r>
    </w:p>
    <w:p>
      <w:r>
        <w:t>Same idempotency key + same payload replays. Same key + different payload conflicts.</w:t>
      </w:r>
    </w:p>
    <w:p>
      <w:r>
        <w:t>---</w:t>
      </w:r>
    </w:p>
    <w:p>
      <w:pPr>
        <w:pStyle w:val="Heading1"/>
      </w:pPr>
      <w:r>
        <w:t>9. Semantic Operations</w:t>
      </w:r>
    </w:p>
    <w:p>
      <w:r>
        <w:t>Representative V1 operations:</w:t>
      </w:r>
    </w:p>
    <w:p>
      <w:pPr>
        <w:ind w:left="288"/>
      </w:pPr>
      <w:r>
        <w:rPr>
          <w:rFonts w:ascii="Courier New" w:hAnsi="Courier New"/>
          <w:sz w:val="15"/>
        </w:rPr>
        <w:t>ADD_ITEM</w:t>
        <w:br/>
        <w:t>REMOVE_ITEM</w:t>
        <w:br/>
        <w:t>CHANGE_ITEM_QUANTITY</w:t>
        <w:br/>
        <w:t>ADD_PIECE</w:t>
        <w:br/>
        <w:t>REMOVE_PIECE</w:t>
        <w:br/>
        <w:t>ADD_PREFERENCE</w:t>
        <w:br/>
        <w:t>CHANGE_PREFERENCE</w:t>
        <w:br/>
        <w:t>REMOVE_PREFERENCE</w:t>
        <w:br/>
        <w:t>CHANGE_PRIORITY</w:t>
        <w:br/>
        <w:t>CHANGE_SERVICE_SPEED</w:t>
        <w:br/>
        <w:t>CHANGE_READY_BY</w:t>
        <w:br/>
        <w:t>CHANGE_ORDER_NOTES</w:t>
        <w:br/>
        <w:t>CHANGE_CUSTOMER_SNAPSHOT</w:t>
      </w:r>
    </w:p>
    <w:p>
      <w:r>
        <w:t>There is no CHANGE_ITEM_PRODUCT.</w:t>
      </w:r>
    </w:p>
    <w:p>
      <w:r>
        <w:t>Different product = REMOVE old item + ADD new item.</w:t>
      </w:r>
    </w:p>
    <w:p>
      <w:r>
        <w:t>---</w:t>
      </w:r>
    </w:p>
    <w:p>
      <w:pPr>
        <w:pStyle w:val="Heading1"/>
      </w:pPr>
      <w:r>
        <w:t>10. Stable Identity</w:t>
      </w:r>
    </w:p>
    <w:p>
      <w:pPr>
        <w:pStyle w:val="Heading2"/>
      </w:pPr>
      <w:r>
        <w:t>Item identity</w:t>
      </w:r>
    </w:p>
    <w:p>
      <w:r>
        <w:t>Existing committed order item: lineRef = org_order_items_dtl.id.</w:t>
      </w:r>
    </w:p>
    <w:p>
      <w:r>
        <w:t>New unsaved item: lineRef = client UUID.</w:t>
      </w:r>
    </w:p>
    <w:p>
      <w:r>
        <w:t>productId is product identity, not line identity.</w:t>
      </w:r>
    </w:p>
    <w:p>
      <w:pPr>
        <w:pStyle w:val="Heading2"/>
      </w:pPr>
      <w:r>
        <w:t>Piece identity</w:t>
      </w:r>
    </w:p>
    <w:p>
      <w:r>
        <w:t>Existing piece: pieceRef = persisted piece ID.</w:t>
      </w:r>
    </w:p>
    <w:p>
      <w:r>
        <w:t>New unsaved piece: pieceRef = client UUID.</w:t>
      </w:r>
    </w:p>
    <w:p>
      <w:r>
        <w:t>pieceSeq is display/order metadata, not identity.</w:t>
      </w:r>
    </w:p>
    <w:p>
      <w:pPr>
        <w:pStyle w:val="Heading2"/>
      </w:pPr>
      <w:r>
        <w:t>Preference identity</w:t>
      </w:r>
    </w:p>
    <w:p>
      <w:r>
        <w:t>Existing preference: prefRef = org_order_preferences_dtl.id.</w:t>
      </w:r>
    </w:p>
    <w:p>
      <w:r>
        <w:t>New preference: prefRef = client UUID.</w:t>
      </w:r>
    </w:p>
    <w:p>
      <w:r>
        <w:t>Current code must stop converting committed pieces to synthetic temp IDs during Edit.</w:t>
      </w:r>
    </w:p>
    <w:p>
      <w:r>
        <w:t>---</w:t>
      </w:r>
    </w:p>
    <w:p>
      <w:pPr>
        <w:pStyle w:val="Heading1"/>
      </w:pPr>
      <w:r>
        <w:t>11. Item and Piece Structural Rules</w:t>
      </w:r>
    </w:p>
    <w:p>
      <w:r>
        <w:t>For piece-tracked items:</w:t>
      </w:r>
    </w:p>
    <w:p>
      <w:pPr>
        <w:pStyle w:val="ListBullet"/>
      </w:pPr>
      <w:r>
        <w:t>Adding a piece increases item quantity.</w:t>
      </w:r>
    </w:p>
    <w:p>
      <w:pPr>
        <w:pStyle w:val="ListBullet"/>
      </w:pPr>
      <w:r>
        <w:t>Removing a piece decreases item quantity.</w:t>
      </w:r>
    </w:p>
    <w:p>
      <w:pPr>
        <w:pStyle w:val="ListBullet"/>
      </w:pPr>
      <w:r>
        <w:t>Decreasing committed quantity requires selecting/removing actual eligible piece(s).</w:t>
      </w:r>
    </w:p>
    <w:p>
      <w:pPr>
        <w:pStyle w:val="ListBullet"/>
      </w:pPr>
      <w:r>
        <w:t>Never blindly trim committed piece arrays.</w:t>
      </w:r>
    </w:p>
    <w:p>
      <w:pPr>
        <w:pStyle w:val="ListBullet"/>
      </w:pPr>
      <w:r>
        <w:t>Removing an existing committed piece keeps historical identity.</w:t>
      </w:r>
    </w:p>
    <w:p>
      <w:pPr>
        <w:pStyle w:val="ListBullet"/>
      </w:pPr>
      <w:r>
        <w:t>New piece added and removed before Apply may disappear locally and create no operation.</w:t>
      </w:r>
    </w:p>
    <w:p>
      <w:r>
        <w:t>Committed item/piece history must not be physically destroyed.</w:t>
      </w:r>
    </w:p>
    <w:p>
      <w:r>
        <w:t>The exact implementation may use explicit soft-delete fields or an existing authoritative lifecycle field if repository semantics prove equivalent.</w:t>
      </w:r>
    </w:p>
    <w:p>
      <w:r>
        <w:t>Preferred explicit lineage if no equivalent exists:</w:t>
      </w:r>
    </w:p>
    <w:p>
      <w:pPr>
        <w:ind w:left="288"/>
      </w:pPr>
      <w:r>
        <w:rPr>
          <w:rFonts w:ascii="Courier New" w:hAnsi="Courier New"/>
          <w:sz w:val="15"/>
        </w:rPr>
        <w:t>is_deleted</w:t>
        <w:br/>
        <w:t>deleted_at</w:t>
        <w:br/>
        <w:t>deleted_by</w:t>
        <w:br/>
        <w:t>deleted_order_change_id</w:t>
      </w:r>
    </w:p>
    <w:p>
      <w:r>
        <w:t>---</w:t>
      </w:r>
    </w:p>
    <w:p>
      <w:pPr>
        <w:pStyle w:val="Heading1"/>
      </w:pPr>
      <w:r>
        <w:t>12. Preferences Architecture</w:t>
      </w:r>
    </w:p>
    <w:p>
      <w:r>
        <w:t>The current preference model is strong and should be reused.</w:t>
      </w:r>
    </w:p>
    <w:p>
      <w:r>
        <w:t>All configured kinds remain preferences, including stain, damage, material, color, packing, piece notes, service preferences and future custom kinds.</w:t>
      </w:r>
    </w:p>
    <w:p>
      <w:r>
        <w:t>Generic operations only:</w:t>
      </w:r>
    </w:p>
    <w:p>
      <w:pPr>
        <w:ind w:left="288"/>
      </w:pPr>
      <w:r>
        <w:rPr>
          <w:rFonts w:ascii="Courier New" w:hAnsi="Courier New"/>
          <w:sz w:val="15"/>
        </w:rPr>
        <w:t>ADD_PREFERENCE</w:t>
        <w:br/>
        <w:t>CHANGE_PREFERENCE</w:t>
        <w:br/>
        <w:t>REMOVE_PREFERENCE</w:t>
      </w:r>
    </w:p>
    <w:p>
      <w:r>
        <w:t>Level:</w:t>
      </w:r>
    </w:p>
    <w:p>
      <w:pPr>
        <w:ind w:left="288"/>
      </w:pPr>
      <w:r>
        <w:rPr>
          <w:rFonts w:ascii="Courier New" w:hAnsi="Courier New"/>
          <w:sz w:val="15"/>
        </w:rPr>
        <w:t>ORDER</w:t>
        <w:br/>
        <w:t>ITEM</w:t>
        <w:br/>
        <w:t>PIECE</w:t>
      </w:r>
    </w:p>
    <w:p>
      <w:r>
        <w:t>For PIECE level, carry and validate order_id, order_item_id, order_item_piece_id.</w:t>
      </w:r>
    </w:p>
    <w:p>
      <w:r>
        <w:t>Existing preference identity must be preserved.</w:t>
      </w:r>
    </w:p>
    <w:p>
      <w:r>
        <w:t>Before/after should support preference_id, preference_code, preference_content, preference_sys_kind, preference_category, extra_price.</w:t>
      </w:r>
    </w:p>
    <w:p>
      <w:r>
        <w:t>Changing preference kind is normally REMOVE old + ADD new.</w:t>
      </w:r>
    </w:p>
    <w:p>
      <w:r>
        <w:t>---</w:t>
      </w:r>
    </w:p>
    <w:p>
      <w:pPr>
        <w:pStyle w:val="Heading1"/>
      </w:pPr>
      <w:r>
        <w:t>13. Pricing, Discounts, Tax, Charges and Rounding</w:t>
      </w:r>
    </w:p>
    <w:p>
      <w:r>
        <w:t>Order Change does not own these engines.</w:t>
      </w:r>
    </w:p>
    <w:p>
      <w:r>
        <w:t>Reuse current authoritative services.</w:t>
      </w:r>
    </w:p>
    <w:p>
      <w:r>
        <w:t>Rules:</w:t>
      </w:r>
    </w:p>
    <w:p>
      <w:pPr>
        <w:pStyle w:val="ListBullet"/>
      </w:pPr>
      <w:r>
        <w:t>Server authoritative.</w:t>
      </w:r>
    </w:p>
    <w:p>
      <w:pPr>
        <w:pStyle w:val="ListBullet"/>
      </w:pPr>
      <w:r>
        <w:t>Unchanged committed items are not unnecessarily repriced.</w:t>
      </w:r>
    </w:p>
    <w:p>
      <w:pPr>
        <w:pStyle w:val="ListBullet"/>
      </w:pPr>
      <w:r>
        <w:t>Changed/new items may require authoritative pricing.</w:t>
      </w:r>
    </w:p>
    <w:p>
      <w:pPr>
        <w:pStyle w:val="ListBullet"/>
      </w:pPr>
      <w:r>
        <w:t>Client estimates are non-authoritative.</w:t>
      </w:r>
    </w:p>
    <w:p>
      <w:pPr>
        <w:pStyle w:val="ListBullet"/>
      </w:pPr>
      <w:r>
        <w:t>No Edit-specific price-list versioning/pinning in V1.</w:t>
      </w:r>
    </w:p>
    <w:p>
      <w:r>
        <w:t>price_per_unit = net selling price/unit after item-level price-list adjustment, before tax.</w:t>
      </w:r>
    </w:p>
    <w:p>
      <w:r>
        <w:t>Preference extras come from preference facts and must not be double counted.</w:t>
      </w:r>
    </w:p>
    <w:p>
      <w:r>
        <w:t>Discounts, charges, taxes and rounding remain in their owning domains.</w:t>
      </w:r>
    </w:p>
    <w:p>
      <w:r>
        <w:t>---</w:t>
      </w:r>
    </w:p>
    <w:p>
      <w:pPr>
        <w:pStyle w:val="Heading1"/>
      </w:pPr>
      <w:r>
        <w:t>14. Priority vs Service Speed</w:t>
      </w:r>
    </w:p>
    <w:p>
      <w:r>
        <w:t>Separate concepts:</w:t>
      </w:r>
    </w:p>
    <w:p>
      <w:pPr>
        <w:ind w:left="288"/>
      </w:pPr>
      <w:r>
        <w:rPr>
          <w:rFonts w:ascii="Courier New" w:hAnsi="Courier New"/>
          <w:sz w:val="15"/>
        </w:rPr>
        <w:t>priority</w:t>
        <w:br/>
        <w:t>service_speed</w:t>
      </w:r>
    </w:p>
    <w:p>
      <w:r>
        <w:t>Priority = operational precedence.</w:t>
      </w:r>
    </w:p>
    <w:p>
      <w:r>
        <w:t>Service speed = commercial turnaround, e.g. STANDARD / EXPRESS / SAME_DAY.</w:t>
      </w:r>
    </w:p>
    <w:p>
      <w:r>
        <w:t>Operations: CHANGE_PRIORITY, CHANGE_SERVICE_SPEED.</w:t>
      </w:r>
    </w:p>
    <w:p>
      <w:r>
        <w:t>Do not deepen the legacy overlap where express doubles as priority/multiplier state.</w:t>
      </w:r>
    </w:p>
    <w:p>
      <w:r>
        <w:t>---</w:t>
      </w:r>
    </w:p>
    <w:p>
      <w:pPr>
        <w:pStyle w:val="Heading1"/>
      </w:pPr>
      <w:r>
        <w:t>15. Workflow Integration</w:t>
      </w:r>
    </w:p>
    <w:p>
      <w:r>
        <w:t>The current workflow engine is a mature capability and must be reused.</w:t>
      </w:r>
    </w:p>
    <w:p>
      <w:r>
        <w:t>It already provides profile-driven semantic transitions, screen membership, gates, warnings, acknowledgements, authorized overrides, required reasons, workflow OCC, row locking, idempotency, history and transaction composition.</w:t>
      </w:r>
    </w:p>
    <w:p>
      <w:r>
        <w:t>Do not duplicate it.</w:t>
      </w:r>
    </w:p>
    <w:p>
      <w:r>
        <w:t>Build a Change capability adapter/policy that asks whether a particular commercial operation on a particular target is currently allowed.</w:t>
      </w:r>
    </w:p>
    <w:p>
      <w:r>
        <w:t>The current hard-coded isOrderEditable() is legacy/coarse behavior and must not be the final V2 authority.</w:t>
      </w:r>
    </w:p>
    <w:p>
      <w:r>
        <w:t>---</w:t>
      </w:r>
    </w:p>
    <w:p>
      <w:pPr>
        <w:pStyle w:val="Heading1"/>
      </w:pPr>
      <w:r>
        <w:t>16. Permissions</w:t>
      </w:r>
    </w:p>
    <w:p>
      <w:r>
        <w:t>Preferred commercial Edit permissions:</w:t>
      </w:r>
    </w:p>
    <w:p>
      <w:pPr>
        <w:ind w:left="288"/>
      </w:pPr>
      <w:r>
        <w:rPr>
          <w:rFonts w:ascii="Courier New" w:hAnsi="Courier New"/>
          <w:sz w:val="15"/>
        </w:rPr>
        <w:t>orders:edit</w:t>
        <w:br/>
        <w:t>orders:edit_override</w:t>
      </w:r>
    </w:p>
    <w:p>
      <w:r>
        <w:t>Reuse specialized pricing override, discount override, post-settlement, manual charge and refund permissions where applicable.</w:t>
      </w:r>
    </w:p>
    <w:p>
      <w:r>
        <w:t>Current orders:update may remain temporarily for legacy/internal paths during migration.</w:t>
      </w:r>
    </w:p>
    <w:p>
      <w:r>
        <w:t>---</w:t>
      </w:r>
    </w:p>
    <w:p>
      <w:pPr>
        <w:pStyle w:val="Heading1"/>
      </w:pPr>
      <w:r>
        <w:t>17. Financial Architecture</w:t>
      </w:r>
    </w:p>
    <w:p>
      <w:r>
        <w:t>Frozen principle:</w:t>
      </w:r>
    </w:p>
    <w:p>
      <w:pPr>
        <w:ind w:left="288"/>
      </w:pPr>
      <w:r>
        <w:rPr>
          <w:rFonts w:ascii="Courier New" w:hAnsi="Courier New"/>
          <w:sz w:val="15"/>
        </w:rPr>
        <w:t>Commercial Change != payment/refund execution</w:t>
      </w:r>
    </w:p>
    <w:p>
      <w:r>
        <w:t>Order Change changes commercial obligation. Finance determines the resulting financial state.</w:t>
      </w:r>
    </w:p>
    <w:p>
      <w:r>
        <w:t>Reuse current mature payment facts, voucher facts, financial aggregation, snapshot writer, stored-value services, refund services, AR and overpayment disposition.</w:t>
      </w:r>
    </w:p>
    <w:p>
      <w:r>
        <w:t>Do not build an Edit-specific financial engine.</w:t>
      </w:r>
    </w:p>
    <w:p>
      <w:pPr>
        <w:pStyle w:val="Heading2"/>
      </w:pPr>
      <w:r>
        <w:t>Example</w:t>
      </w:r>
    </w:p>
    <w:p>
      <w:r>
        <w:t>Original:</w:t>
      </w:r>
    </w:p>
    <w:p>
      <w:pPr>
        <w:ind w:left="288"/>
      </w:pPr>
      <w:r>
        <w:rPr>
          <w:rFonts w:ascii="Courier New" w:hAnsi="Courier New"/>
          <w:sz w:val="15"/>
        </w:rPr>
        <w:t>Order total = 20</w:t>
        <w:br/>
        <w:t>Paid        = 20</w:t>
      </w:r>
    </w:p>
    <w:p>
      <w:r>
        <w:t>Change reduces obligation to 15.</w:t>
      </w:r>
    </w:p>
    <w:p>
      <w:r>
        <w:t>Historical payment/receipt remains 20.</w:t>
      </w:r>
    </w:p>
    <w:p>
      <w:r>
        <w:t>New financial state: Overpayment = 5.</w:t>
      </w:r>
    </w:p>
    <w:p>
      <w:r>
        <w:t>Never rewrite historical payment/receipt to 15.</w:t>
      </w:r>
    </w:p>
    <w:p>
      <w:r>
        <w:t>Positive delta may increase outstanding. Do not automatically collect.</w:t>
      </w:r>
    </w:p>
    <w:p>
      <w:r>
        <w:t>Negative delta first reduces outstanding. Only when settled value exceeds new obligation does overpayment exist.</w:t>
      </w:r>
    </w:p>
    <w:p>
      <w:r>
        <w:t>---</w:t>
      </w:r>
    </w:p>
    <w:p>
      <w:pPr>
        <w:pStyle w:val="Heading1"/>
      </w:pPr>
      <w:r>
        <w:t>18. Financial Follow-Up</w:t>
      </w:r>
    </w:p>
    <w:p>
      <w:r>
        <w:t>After Change commits, derive a result such as:</w:t>
      </w:r>
    </w:p>
    <w:p>
      <w:pPr>
        <w:ind w:left="288"/>
      </w:pPr>
      <w:r>
        <w:rPr>
          <w:rFonts w:ascii="Courier New" w:hAnsi="Courier New"/>
          <w:sz w:val="15"/>
        </w:rPr>
        <w:t>NONE</w:t>
        <w:br/>
        <w:t>OUTSTANDING_OPTIONAL</w:t>
        <w:br/>
        <w:t>OUTSTANDING_REQUIRED</w:t>
        <w:br/>
        <w:t>OVERPAYMENT</w:t>
      </w:r>
    </w:p>
    <w:p>
      <w:r>
        <w:t>Additional amount owed may use existing Payment Modal V4 capability.</w:t>
      </w:r>
    </w:p>
    <w:p>
      <w:r>
        <w:t>Overpayment uses a focused Financial Resolution / Overpayment Resolution capability.</w:t>
      </w:r>
    </w:p>
    <w:p>
      <w:r>
        <w:t>Possible allowed dispositions depend on source/policy: gateway refund, cash return, customer advance, customer credit, wallet restoration, gift-card restoration.</w:t>
      </w:r>
    </w:p>
    <w:p>
      <w:r>
        <w:t>Reuse current overpayment/refund/stored-value mechanics.</w:t>
      </w:r>
    </w:p>
    <w:p>
      <w:r>
        <w:t>Order Change and later financial resolution are separate transactions. A failed refund/gateway action does not roll back the committed Change.</w:t>
      </w:r>
    </w:p>
    <w:p>
      <w:r>
        <w:t>---</w:t>
      </w:r>
    </w:p>
    <w:p>
      <w:pPr>
        <w:pStyle w:val="Heading1"/>
      </w:pPr>
      <w:r>
        <w:t>19. Fiscal and Receipt Rules</w:t>
      </w:r>
    </w:p>
    <w:p>
      <w:r>
        <w:t>Issued fiscal/payment documents are immutable business facts.</w:t>
      </w:r>
    </w:p>
    <w:p>
      <w:r>
        <w:t>Corrections use Finance/Fiscal domain mechanisms such as credit/correction document, refund/outgoing voucher or restoration/credit transaction.</w:t>
      </w:r>
    </w:p>
    <w:p>
      <w:r>
        <w:t>Order Change must not rewrite historical payment/receipt facts.</w:t>
      </w:r>
    </w:p>
    <w:p>
      <w:r>
        <w:t>---</w:t>
      </w:r>
    </w:p>
    <w:p>
      <w:pPr>
        <w:pStyle w:val="Heading1"/>
      </w:pPr>
      <w:r>
        <w:t>20. Shared UI Architecture</w:t>
      </w:r>
    </w:p>
    <w:p>
      <w:r>
        <w:t>Keep the same familiar workspace.</w:t>
      </w:r>
    </w:p>
    <w:p>
      <w:pPr>
        <w:ind w:left="288"/>
      </w:pPr>
      <w:r>
        <w:rPr>
          <w:rFonts w:ascii="Courier New" w:hAnsi="Courier New"/>
          <w:sz w:val="15"/>
        </w:rPr>
        <w:t>OrderEditor</w:t>
        <w:br/>
        <w:t xml:space="preserve">  - TopBar</w:t>
        <w:br/>
        <w:t xml:space="preserve">  - ProductCatalog</w:t>
        <w:br/>
        <w:t xml:space="preserve">  - OrderItems</w:t>
        <w:br/>
        <w:t xml:space="preserve">  - PieceEditor</w:t>
        <w:br/>
        <w:t xml:space="preserve">  - PreferenceEditor</w:t>
        <w:br/>
        <w:t xml:space="preserve">  - CustomerSection</w:t>
        <w:br/>
        <w:t xml:space="preserve">  - OrderSummary</w:t>
        <w:br/>
        <w:t xml:space="preserve">  - shared dialogs</w:t>
        <w:br/>
        <w:br/>
        <w:t>NewOrderController</w:t>
        <w:br/>
        <w:t xml:space="preserve">  -&gt; draft/create/checkout</w:t>
        <w:br/>
        <w:br/>
        <w:t>EditOrderController</w:t>
        <w:br/>
        <w:t xml:space="preserve">  -&gt; original/current state</w:t>
        <w:br/>
        <w:t xml:space="preserve">  -&gt; stable refs</w:t>
        <w:br/>
        <w:t xml:space="preserve">  -&gt; capability data</w:t>
        <w:br/>
        <w:t xml:space="preserve">  -&gt; semantic operation builder</w:t>
        <w:br/>
        <w:t xml:space="preserve">  -&gt; preview/apply</w:t>
      </w:r>
    </w:p>
    <w:p>
      <w:r>
        <w:t>Shared components must not make API decisions based on a sprawling isEditMode.</w:t>
      </w:r>
    </w:p>
    <w:p>
      <w:r>
        <w:t>Edit context bar should show order number, Revision N, status, unsaved change count and Discard Changes.</w:t>
      </w:r>
    </w:p>
    <w:p>
      <w:r>
        <w:t>Primary action: Review Changes.</w:t>
      </w:r>
    </w:p>
    <w:p>
      <w:r>
        <w:t>---</w:t>
      </w:r>
    </w:p>
    <w:p>
      <w:pPr>
        <w:pStyle w:val="Heading1"/>
      </w:pPr>
      <w:r>
        <w:t>21. Review / Preview / Apply UX</w:t>
      </w:r>
    </w:p>
    <w:p>
      <w:r>
        <w:t>While editing show Current Total, Estimated New Total, Estimated Change and pending semantic changes.</w:t>
      </w:r>
    </w:p>
    <w:p>
      <w:r>
        <w:t>Review Changes calls server Preview and displays grouped item, piece, preference, service speed, priority, ready-by, customer snapshot and financial effects.</w:t>
      </w:r>
    </w:p>
    <w:p>
      <w:r>
        <w:t>Apply is the only commit action.</w:t>
      </w:r>
    </w:p>
    <w:p>
      <w:r>
        <w:t>On conflict: reload latest order. No auto-merge in V1.</w:t>
      </w:r>
    </w:p>
    <w:p>
      <w:r>
        <w:t>---</w:t>
      </w:r>
    </w:p>
    <w:p>
      <w:pPr>
        <w:pStyle w:val="Heading1"/>
      </w:pPr>
      <w:r>
        <w:t>22. Customer and Branch Rules</w:t>
      </w:r>
    </w:p>
    <w:p>
      <w:r>
        <w:t>Post-commit customer identity is immutable in V1.</w:t>
      </w:r>
    </w:p>
    <w:p>
      <w:r>
        <w:t>Customer snapshot/contact correction may be permitted as a governed operation according to policy.</w:t>
      </w:r>
    </w:p>
    <w:p>
      <w:r>
        <w:t>Branch change is prohibited/deferred in V1 unless explicitly enabled and validated.</w:t>
      </w:r>
    </w:p>
    <w:p>
      <w:r>
        <w:t>Cross-currency branch/order changes are prohibited in V1.</w:t>
      </w:r>
    </w:p>
    <w:p>
      <w:r>
        <w:t>---</w:t>
      </w:r>
    </w:p>
    <w:p>
      <w:pPr>
        <w:pStyle w:val="Heading1"/>
      </w:pPr>
      <w:r>
        <w:t>23. Quick Drop</w:t>
      </w:r>
    </w:p>
    <w:p>
      <w:r>
        <w:t>Quick Drop may be committed before detailed items exist.</w:t>
      </w:r>
    </w:p>
    <w:p>
      <w:r>
        <w:t>Later detailing may add item/piece/preference facts through Order Change.</w:t>
      </w:r>
    </w:p>
    <w:p>
      <w:r>
        <w:t>Zero detailed items are valid only in supported modes such as Quick Drop.</w:t>
      </w:r>
    </w:p>
    <w:p>
      <w:r>
        <w:t>---</w:t>
      </w:r>
    </w:p>
    <w:p>
      <w:pPr>
        <w:pStyle w:val="Heading1"/>
      </w:pPr>
      <w:r>
        <w:t>24. Cancellation / Return / Issue / Stop</w:t>
      </w:r>
    </w:p>
    <w:p>
      <w:r>
        <w:t>These remain separate business workflows.</w:t>
      </w:r>
    </w:p>
    <w:p>
      <w:r>
        <w:t>Do not force them into Edit Order.</w:t>
      </w:r>
    </w:p>
    <w:p>
      <w:r>
        <w:t>---</w:t>
      </w:r>
    </w:p>
    <w:p>
      <w:pPr>
        <w:pStyle w:val="Heading1"/>
      </w:pPr>
      <w:r>
        <w:t>25. Idempotency, Audit, Outbox and External Calls</w:t>
      </w:r>
    </w:p>
    <w:p>
      <w:r>
        <w:t>Every Apply Change is idempotent.</w:t>
      </w:r>
    </w:p>
    <w:p>
      <w:r>
        <w:t>Inside the DB transaction: validate versions, lock/revalidate, apply operations, persist canonical commercial facts, recalc financial snapshot, persist Change master and ops, increment edit version, complete idempotency and write outbox.</w:t>
      </w:r>
    </w:p>
    <w:p>
      <w:r>
        <w:t>No external HTTP/gateway/messaging API inside the core transaction.</w:t>
      </w:r>
    </w:p>
    <w:p>
      <w:r>
        <w:t>---</w:t>
      </w:r>
    </w:p>
    <w:p>
      <w:pPr>
        <w:pStyle w:val="Heading1"/>
      </w:pPr>
      <w:r>
        <w:t>26. Transaction Invariants</w:t>
      </w:r>
    </w:p>
    <w:p>
      <w:r>
        <w:t>A Change fully applies or not at all.</w:t>
      </w:r>
    </w:p>
    <w:p>
      <w:r>
        <w:t>If one operation fails, none persist.</w:t>
      </w:r>
    </w:p>
    <w:p>
      <w:r>
        <w:t>Before commit, commercial facts must be coherent, financial snapshot must reconcile, versions must match, permissions/capabilities must remain valid and tenant scope must hold.</w:t>
      </w:r>
    </w:p>
    <w:p>
      <w:r>
        <w:t>---</w:t>
      </w:r>
    </w:p>
    <w:p>
      <w:pPr>
        <w:pStyle w:val="Heading1"/>
      </w:pPr>
      <w:r>
        <w:t>27. Multi-Tenancy / Security</w:t>
      </w:r>
    </w:p>
    <w:p>
      <w:r>
        <w:t>All new org tables carry tenant_org_id.</w:t>
      </w:r>
    </w:p>
    <w:p>
      <w:r>
        <w:t>Use existing CleanMateX tenant enforcement/RLS patterns.</w:t>
      </w:r>
    </w:p>
    <w:p>
      <w:r>
        <w:t>Backend is authoritative for permissions, settings, workflow gates and feature entitlements.</w:t>
      </w:r>
    </w:p>
    <w:p>
      <w:r>
        <w:t>---</w:t>
      </w:r>
    </w:p>
    <w:p>
      <w:pPr>
        <w:pStyle w:val="Heading1"/>
      </w:pPr>
      <w:r>
        <w:t>28. Current-Code Migration Strategy</w:t>
      </w:r>
    </w:p>
    <w:p>
      <w:r>
        <w:t>Do not perform a big-bang rewrite.</w:t>
      </w:r>
    </w:p>
    <w:p>
      <w:pPr>
        <w:ind w:left="288"/>
      </w:pPr>
      <w:r>
        <w:rPr>
          <w:rFonts w:ascii="Courier New" w:hAnsi="Courier New"/>
          <w:sz w:val="15"/>
        </w:rPr>
        <w:t>current production behavior</w:t>
        <w:br/>
        <w:t xml:space="preserve">        -&gt; add V2 foundations</w:t>
        <w:br/>
        <w:t xml:space="preserve">        -&gt; build Preview</w:t>
        <w:br/>
        <w:t xml:space="preserve">        -&gt; build Apply</w:t>
        <w:br/>
        <w:t xml:space="preserve">        -&gt; connect Edit UI</w:t>
        <w:br/>
        <w:t xml:space="preserve">        -&gt; test and shadow-compare</w:t>
        <w:br/>
        <w:t xml:space="preserve">        -&gt; move committed write bypasses</w:t>
        <w:br/>
        <w:t xml:space="preserve">        -&gt; disable legacy committed full-replacement path</w:t>
      </w:r>
    </w:p>
    <w:p>
      <w:r>
        <w:t>Protect canonical New Order throughout.</w:t>
      </w:r>
    </w:p>
    <w:p>
      <w:r>
        <w:t>---</w:t>
      </w:r>
    </w:p>
    <w:p>
      <w:pPr>
        <w:pStyle w:val="Heading1"/>
      </w:pPr>
      <w:r>
        <w:t>29. Current Code to Reuse</w:t>
      </w:r>
    </w:p>
    <w:p>
      <w:r>
        <w:t>Keep and integrate, not rewrite:</w:t>
      </w:r>
    </w:p>
    <w:p>
      <w:pPr>
        <w:pStyle w:val="ListBullet"/>
      </w:pPr>
      <w:r>
        <w:t>canonical New Order submission/orchestrator,</w:t>
      </w:r>
    </w:p>
    <w:p>
      <w:pPr>
        <w:pStyle w:val="ListBullet"/>
      </w:pPr>
      <w:r>
        <w:t>order calculation,</w:t>
      </w:r>
    </w:p>
    <w:p>
      <w:pPr>
        <w:pStyle w:val="ListBullet"/>
      </w:pPr>
      <w:r>
        <w:t>pricing,</w:t>
      </w:r>
    </w:p>
    <w:p>
      <w:pPr>
        <w:pStyle w:val="ListBullet"/>
      </w:pPr>
      <w:r>
        <w:t>promotion/discount,</w:t>
      </w:r>
    </w:p>
    <w:p>
      <w:pPr>
        <w:pStyle w:val="ListBullet"/>
      </w:pPr>
      <w:r>
        <w:t>tax,</w:t>
      </w:r>
    </w:p>
    <w:p>
      <w:pPr>
        <w:pStyle w:val="ListBullet"/>
      </w:pPr>
      <w:r>
        <w:t>preference catalog/model,</w:t>
      </w:r>
    </w:p>
    <w:p>
      <w:pPr>
        <w:pStyle w:val="ListBullet"/>
      </w:pPr>
      <w:r>
        <w:t>semantic workflow engine,</w:t>
      </w:r>
    </w:p>
    <w:p>
      <w:pPr>
        <w:pStyle w:val="ListBullet"/>
      </w:pPr>
      <w:r>
        <w:t>workflow gate machinery,</w:t>
      </w:r>
    </w:p>
    <w:p>
      <w:pPr>
        <w:pStyle w:val="ListBullet"/>
      </w:pPr>
      <w:r>
        <w:t>financial aggregation,</w:t>
      </w:r>
    </w:p>
    <w:p>
      <w:pPr>
        <w:pStyle w:val="ListBullet"/>
      </w:pPr>
      <w:r>
        <w:t>financial snapshot writer,</w:t>
      </w:r>
    </w:p>
    <w:p>
      <w:pPr>
        <w:pStyle w:val="ListBullet"/>
      </w:pPr>
      <w:r>
        <w:t>payments,</w:t>
      </w:r>
    </w:p>
    <w:p>
      <w:pPr>
        <w:pStyle w:val="ListBullet"/>
      </w:pPr>
      <w:r>
        <w:t>vouchers,</w:t>
      </w:r>
    </w:p>
    <w:p>
      <w:pPr>
        <w:pStyle w:val="ListBullet"/>
      </w:pPr>
      <w:r>
        <w:t>refunds,</w:t>
      </w:r>
    </w:p>
    <w:p>
      <w:pPr>
        <w:pStyle w:val="ListBullet"/>
      </w:pPr>
      <w:r>
        <w:t>stored value,</w:t>
      </w:r>
    </w:p>
    <w:p>
      <w:pPr>
        <w:pStyle w:val="ListBullet"/>
      </w:pPr>
      <w:r>
        <w:t>AR,</w:t>
      </w:r>
    </w:p>
    <w:p>
      <w:pPr>
        <w:pStyle w:val="ListBullet"/>
      </w:pPr>
      <w:r>
        <w:t>overpayment mechanics,</w:t>
      </w:r>
    </w:p>
    <w:p>
      <w:pPr>
        <w:pStyle w:val="ListBullet"/>
      </w:pPr>
      <w:r>
        <w:t>idempotency,</w:t>
      </w:r>
    </w:p>
    <w:p>
      <w:pPr>
        <w:pStyle w:val="ListBullet"/>
      </w:pPr>
      <w:r>
        <w:t>outbox,</w:t>
      </w:r>
    </w:p>
    <w:p>
      <w:pPr>
        <w:pStyle w:val="ListBullet"/>
      </w:pPr>
      <w:r>
        <w:t>shared Order UI.</w:t>
      </w:r>
    </w:p>
    <w:p>
      <w:r>
        <w:t>---</w:t>
      </w:r>
    </w:p>
    <w:p>
      <w:pPr>
        <w:pStyle w:val="Heading1"/>
      </w:pPr>
      <w:r>
        <w:t>30. Current Code to Retire or Reduce</w:t>
      </w:r>
    </w:p>
    <w:p>
      <w:r>
        <w:t>After cutover:</w:t>
      </w:r>
    </w:p>
    <w:p>
      <w:pPr>
        <w:pStyle w:val="ListBullet"/>
      </w:pPr>
      <w:r>
        <w:t>committed use of full-replacement `OrderService.updateOrder()`,</w:t>
      </w:r>
    </w:p>
    <w:p>
      <w:pPr>
        <w:pStyle w:val="ListBullet"/>
      </w:pPr>
      <w:r>
        <w:t>committed item/piece physical delete/recreate,</w:t>
      </w:r>
    </w:p>
    <w:p>
      <w:pPr>
        <w:pStyle w:val="ListBullet"/>
      </w:pPr>
      <w:r>
        <w:t>`expectedUpdatedAt` as Edit OCC,</w:t>
      </w:r>
    </w:p>
    <w:p>
      <w:pPr>
        <w:pStyle w:val="ListBullet"/>
      </w:pPr>
      <w:r>
        <w:t>product-based line identity in committed Edit,</w:t>
      </w:r>
    </w:p>
    <w:p>
      <w:pPr>
        <w:pStyle w:val="ListBullet"/>
      </w:pPr>
      <w:r>
        <w:t>synthetic committed piece IDs,</w:t>
      </w:r>
    </w:p>
    <w:p>
      <w:pPr>
        <w:pStyle w:val="ListBullet"/>
      </w:pPr>
      <w:r>
        <w:t>hard-coded whole-order editability as V2 authority,</w:t>
      </w:r>
    </w:p>
    <w:p>
      <w:pPr>
        <w:pStyle w:val="ListBullet"/>
      </w:pPr>
      <w:r>
        <w:t>`org_order_edit_history` as authoritative V2 transaction,</w:t>
      </w:r>
    </w:p>
    <w:p>
      <w:pPr>
        <w:pStyle w:val="ListBullet"/>
      </w:pPr>
      <w:r>
        <w:t>simplistic `differenceAmount =&gt; charge/refund` Edit contract.</w:t>
      </w:r>
    </w:p>
    <w:p>
      <w:r>
        <w:t>---</w:t>
      </w:r>
    </w:p>
    <w:p>
      <w:pPr>
        <w:pStyle w:val="Heading1"/>
      </w:pPr>
      <w:r>
        <w:t>31. Testing Requirements</w:t>
      </w:r>
    </w:p>
    <w:p>
      <w:r>
        <w:t>Unit: semantic operations, stable IDs, quantity/piece invariants, preference hierarchy, financial-result classification, edit access.</w:t>
      </w:r>
    </w:p>
    <w:p>
      <w:r>
        <w:t>Integration: Preview no-write, Apply atomicity, idempotent replay/conflict, edit/workflow version conflicts, identity preservation, finance reconciliation, overpayment derivation, tenant isolation.</w:t>
      </w:r>
    </w:p>
    <w:p>
      <w:r>
        <w:t>E2E: unpaid/partial/fully paid edits, upward/downward totals, preferences, pieces, conflicts, warnings, overrides, block states, Quick Drop detailing and financial follow-up.</w:t>
      </w:r>
    </w:p>
    <w:p>
      <w:r>
        <w:t>---</w:t>
      </w:r>
    </w:p>
    <w:p>
      <w:pPr>
        <w:pStyle w:val="Heading1"/>
      </w:pPr>
      <w:r>
        <w:t>32. Required Scenario Matrix</w:t>
      </w:r>
    </w:p>
    <w:p>
      <w:r>
        <w:t>The implementation must cover unpaid, partially paid, fully paid, upward/downward totals, piece and preference edits at all levels, discounts/taxes, stored-value/split-tender/B2B AR, Quick Drop, concurrent editors, concurrent workflow transition, idempotent retry, temporary/permanent edit blocks, split-order restrictions, immutable customer identity, branch restrictions and failed downstream financial resolution.</w:t>
      </w:r>
    </w:p>
    <w:p>
      <w:r>
        <w:t>---</w:t>
      </w:r>
    </w:p>
    <w:p>
      <w:pPr>
        <w:pStyle w:val="Heading1"/>
      </w:pPr>
      <w:r>
        <w:t>33. Frozen Architecture Invariants</w:t>
      </w:r>
    </w:p>
    <w:p>
      <w:pPr>
        <w:pStyle w:val="ListNumber"/>
      </w:pPr>
      <w:r>
        <w:t>Post-commit commercial mutation uses one governed Change boundary.</w:t>
      </w:r>
    </w:p>
    <w:p>
      <w:pPr>
        <w:pStyle w:val="ListNumber"/>
      </w:pPr>
      <w:r>
        <w:t>Create Order remains separate from Change.</w:t>
      </w:r>
    </w:p>
    <w:p>
      <w:pPr>
        <w:pStyle w:val="ListNumber"/>
      </w:pPr>
      <w:r>
        <w:t>Edit, Change and Revision are distinct terms.</w:t>
      </w:r>
    </w:p>
    <w:p>
      <w:pPr>
        <w:pStyle w:val="ListNumber"/>
      </w:pPr>
      <w:r>
        <w:t>Commitment is irreversible.</w:t>
      </w:r>
    </w:p>
    <w:p>
      <w:pPr>
        <w:pStyle w:val="ListNumber"/>
      </w:pPr>
      <w:r>
        <w:t>`committed_at` is the commitment source of truth.</w:t>
      </w:r>
    </w:p>
    <w:p>
      <w:pPr>
        <w:pStyle w:val="ListNumber"/>
      </w:pPr>
      <w:r>
        <w:t>Workflow and commercial versions are separate.</w:t>
      </w:r>
    </w:p>
    <w:p>
      <w:pPr>
        <w:pStyle w:val="ListNumber"/>
      </w:pPr>
      <w:r>
        <w:t>One successful Change increments `edit_state_version` once.</w:t>
      </w:r>
    </w:p>
    <w:p>
      <w:pPr>
        <w:pStyle w:val="ListNumber"/>
      </w:pPr>
      <w:r>
        <w:t>Preview never mutates.</w:t>
      </w:r>
    </w:p>
    <w:p>
      <w:pPr>
        <w:pStyle w:val="ListNumber"/>
      </w:pPr>
      <w:r>
        <w:t>Apply is atomic.</w:t>
      </w:r>
    </w:p>
    <w:p>
      <w:pPr>
        <w:pStyle w:val="ListNumber"/>
      </w:pPr>
      <w:r>
        <w:t>Apply is idempotent.</w:t>
      </w:r>
    </w:p>
    <w:p>
      <w:pPr>
        <w:pStyle w:val="ListNumber"/>
      </w:pPr>
      <w:r>
        <w:t>Existing committed item identity is stable.</w:t>
      </w:r>
    </w:p>
    <w:p>
      <w:pPr>
        <w:pStyle w:val="ListNumber"/>
      </w:pPr>
      <w:r>
        <w:t>Existing committed piece identity is stable.</w:t>
      </w:r>
    </w:p>
    <w:p>
      <w:pPr>
        <w:pStyle w:val="ListNumber"/>
      </w:pPr>
      <w:r>
        <w:t>Existing preference identity is stable.</w:t>
      </w:r>
    </w:p>
    <w:p>
      <w:pPr>
        <w:pStyle w:val="ListNumber"/>
      </w:pPr>
      <w:r>
        <w:t>Product identity is not line identity.</w:t>
      </w:r>
    </w:p>
    <w:p>
      <w:pPr>
        <w:pStyle w:val="ListNumber"/>
      </w:pPr>
      <w:r>
        <w:t>Piece sequence is not piece identity.</w:t>
      </w:r>
    </w:p>
    <w:p>
      <w:pPr>
        <w:pStyle w:val="ListNumber"/>
      </w:pPr>
      <w:r>
        <w:t>No product-replacement operation.</w:t>
      </w:r>
    </w:p>
    <w:p>
      <w:pPr>
        <w:pStyle w:val="ListNumber"/>
      </w:pPr>
      <w:r>
        <w:t>Piece add increases quantity.</w:t>
      </w:r>
    </w:p>
    <w:p>
      <w:pPr>
        <w:pStyle w:val="ListNumber"/>
      </w:pPr>
      <w:r>
        <w:t>Piece remove decreases quantity.</w:t>
      </w:r>
    </w:p>
    <w:p>
      <w:pPr>
        <w:pStyle w:val="ListNumber"/>
      </w:pPr>
      <w:r>
        <w:t>Generic preference operations are used for all pref kinds.</w:t>
      </w:r>
    </w:p>
    <w:p>
      <w:pPr>
        <w:pStyle w:val="ListNumber"/>
      </w:pPr>
      <w:r>
        <w:t>PIECE preferences retain item + piece hierarchy.</w:t>
      </w:r>
    </w:p>
    <w:p>
      <w:pPr>
        <w:pStyle w:val="ListNumber"/>
      </w:pPr>
      <w:r>
        <w:t>Server is authoritative for money.</w:t>
      </w:r>
    </w:p>
    <w:p>
      <w:pPr>
        <w:pStyle w:val="ListNumber"/>
      </w:pPr>
      <w:r>
        <w:t>Existing pricing/tax/discount engines are reused.</w:t>
      </w:r>
    </w:p>
    <w:p>
      <w:pPr>
        <w:pStyle w:val="ListNumber"/>
      </w:pPr>
      <w:r>
        <w:t>Existing finance aggregation is reused.</w:t>
      </w:r>
    </w:p>
    <w:p>
      <w:pPr>
        <w:pStyle w:val="ListNumber"/>
      </w:pPr>
      <w:r>
        <w:t>Historical payment/voucher facts are immutable.</w:t>
      </w:r>
    </w:p>
    <w:p>
      <w:pPr>
        <w:pStyle w:val="ListNumber"/>
      </w:pPr>
      <w:r>
        <w:t>Commercial delta is not settlement instruction.</w:t>
      </w:r>
    </w:p>
    <w:p>
      <w:pPr>
        <w:pStyle w:val="ListNumber"/>
      </w:pPr>
      <w:r>
        <w:t>Overpayment is derived from financial state.</w:t>
      </w:r>
    </w:p>
    <w:p>
      <w:pPr>
        <w:pStyle w:val="ListNumber"/>
      </w:pPr>
      <w:r>
        <w:t>Payment Modal V4 is for additional collection, not generic overpayment resolution.</w:t>
      </w:r>
    </w:p>
    <w:p>
      <w:pPr>
        <w:pStyle w:val="ListNumber"/>
      </w:pPr>
      <w:r>
        <w:t>Overpayment resolution reuses Finance domain mechanics.</w:t>
      </w:r>
    </w:p>
    <w:p>
      <w:pPr>
        <w:pStyle w:val="ListNumber"/>
      </w:pPr>
      <w:r>
        <w:t>Issued fiscal facts are not rewritten.</w:t>
      </w:r>
    </w:p>
    <w:p>
      <w:pPr>
        <w:pStyle w:val="ListNumber"/>
      </w:pPr>
      <w:r>
        <w:t>Current workflow engine is reused, not duplicated.</w:t>
      </w:r>
    </w:p>
    <w:p>
      <w:pPr>
        <w:pStyle w:val="ListNumber"/>
      </w:pPr>
      <w:r>
        <w:t>Hard-coded whole-order editability is not V2 authority.</w:t>
      </w:r>
    </w:p>
    <w:p>
      <w:pPr>
        <w:pStyle w:val="ListNumber"/>
      </w:pPr>
      <w:r>
        <w:t>Tenant isolation is enforced server-side.</w:t>
      </w:r>
    </w:p>
    <w:p>
      <w:pPr>
        <w:pStyle w:val="ListNumber"/>
      </w:pPr>
      <w:r>
        <w:t>External calls are outside the core Change transaction.</w:t>
      </w:r>
    </w:p>
    <w:p>
      <w:pPr>
        <w:pStyle w:val="ListNumber"/>
      </w:pPr>
      <w:r>
        <w:t>`org_order_edit_history` is legacy/compatibility, not V2 authority.</w:t>
      </w:r>
    </w:p>
    <w:p>
      <w:pPr>
        <w:pStyle w:val="ListNumber"/>
      </w:pPr>
      <w:r>
        <w:t>New Order remains working throughout migration.</w:t>
      </w:r>
    </w:p>
    <w:p>
      <w:r>
        <w:t>---</w:t>
      </w:r>
    </w:p>
    <w:p>
      <w:pPr>
        <w:pStyle w:val="Heading1"/>
      </w:pPr>
      <w:r>
        <w:t>33A. Configuration &amp; Policy Ownership</w:t>
      </w:r>
    </w:p>
    <w:p>
      <w:r>
        <w:t>Configuration is a first-class part of Edit Order V2. The authoritative detailed matrix is in CleanMateX Edit Order V2 — Configuration &amp; Policy Matrix.</w:t>
      </w:r>
    </w:p>
    <w:p>
      <w:r>
        <w:t>The architecture deliberately avoids a monolithic org_order_change_policy_cf / org_order_amendment_policy_cf table. Effective policy is composed from:</w:t>
      </w:r>
    </w:p>
    <w:p>
      <w:pPr>
        <w:ind w:left="288"/>
      </w:pPr>
      <w:r>
        <w:rPr>
          <w:rFonts w:ascii="Courier New" w:hAnsi="Courier New"/>
          <w:sz w:val="15"/>
        </w:rPr>
        <w:t>HQ feature/entitlement</w:t>
        <w:br/>
        <w:t>→ small Edit-specific tenant settings</w:t>
        <w:br/>
        <w:t>→ branch override only when explicitly supported</w:t>
        <w:br/>
        <w:t>→ workflow commercial operation policy</w:t>
        <w:br/>
        <w:t>→ existing Pricing/Discount/Tax/Finance/Delivery/Notification policy</w:t>
        <w:br/>
        <w:t>→ per-order edit_access_status</w:t>
        <w:br/>
        <w:t>→ actor permissions and current target facts</w:t>
      </w:r>
    </w:p>
    <w:p>
      <w:pPr>
        <w:pStyle w:val="Heading2"/>
      </w:pPr>
      <w:r>
        <w:t>V1 storage map</w:t>
      </w:r>
    </w:p>
    <w:p>
      <w:pPr>
        <w:pStyle w:val="ListBullet"/>
      </w:pPr>
      <w:r>
        <w:t>**HQ rollout:** existing feature-flag system; dedicated V2 flag, not `order_fin_governed_amendments`.</w:t>
      </w:r>
    </w:p>
    <w:p>
      <w:pPr>
        <w:pStyle w:val="ListBullet"/>
      </w:pPr>
      <w:r>
        <w:t>**Tenant Edit-specific choices:** `sys_tenant_settings_cd` + `org_tenant_settings_cf`, limited to proven settings such as new/changed-item repricing and automatic-discount behavior.</w:t>
      </w:r>
    </w:p>
    <w:p>
      <w:pPr>
        <w:pStyle w:val="ListBullet"/>
      </w:pPr>
      <w:r>
        <w:t>**Workflow operation policy:** extend current `sys_wf_*` profile/policy machinery so operation + target + current workflow state resolves to ALLOW / ALLOW_WITH_WARNING / REQUIRE_OVERRIDE / DENY, including reason requirements.</w:t>
      </w:r>
    </w:p>
    <w:p>
      <w:pPr>
        <w:pStyle w:val="ListBullet"/>
      </w:pPr>
      <w:r>
        <w:t>**Per-order access:** `org_orders_mst.edit_access_status` and block fields.</w:t>
      </w:r>
    </w:p>
    <w:p>
      <w:pPr>
        <w:pStyle w:val="ListBullet"/>
      </w:pPr>
      <w:r>
        <w:t>**Pricing override:** existing Pricing policy and `pricing:override`.</w:t>
      </w:r>
    </w:p>
    <w:p>
      <w:pPr>
        <w:pStyle w:val="ListBullet"/>
      </w:pPr>
      <w:r>
        <w:t>**Tax:** existing Tax configuration; no Edit-specific tax rate setting.</w:t>
      </w:r>
    </w:p>
    <w:p>
      <w:pPr>
        <w:pStyle w:val="ListBullet"/>
      </w:pPr>
      <w:r>
        <w:t>**Remaining due / overpayment / refund / stored value:** Finance-owned configuration and catalogs, including `sys_fin_overpay_res_cd`.</w:t>
      </w:r>
    </w:p>
    <w:p>
      <w:pPr>
        <w:pStyle w:val="ListBullet"/>
      </w:pPr>
      <w:r>
        <w:t>**Delivery/fulfilment:** existing workflow/Delivery policy.</w:t>
      </w:r>
    </w:p>
    <w:p>
      <w:pPr>
        <w:pStyle w:val="ListBullet"/>
      </w:pPr>
      <w:r>
        <w:t>**Preferences:** existing preference catalogs and `org_order_preferences_dtl`.</w:t>
      </w:r>
    </w:p>
    <w:p>
      <w:pPr>
        <w:pStyle w:val="ListBullet"/>
      </w:pPr>
      <w:r>
        <w:t>**Notifications:** existing notification preferences/templates/outbox.</w:t>
      </w:r>
    </w:p>
    <w:p>
      <w:pPr>
        <w:pStyle w:val="ListBullet"/>
      </w:pPr>
      <w:r>
        <w:t>**Customer identity and branch reassignment:** denied/deferred in V1; do not create enablement settings.</w:t>
      </w:r>
    </w:p>
    <w:p>
      <w:pPr>
        <w:pStyle w:val="ListBullet"/>
      </w:pPr>
      <w:r>
        <w:t>**Generic maker/checker approval thresholds:** deferred.</w:t>
      </w:r>
    </w:p>
    <w:p>
      <w:pPr>
        <w:pStyle w:val="Heading2"/>
      </w:pPr>
      <w:r>
        <w:t>Configuration invariants</w:t>
      </w:r>
    </w:p>
    <w:p>
      <w:pPr>
        <w:pStyle w:val="ListNumber"/>
      </w:pPr>
      <w:r>
        <w:t>A tenant setting cannot bypass a hard structural, legal, workflow, fiscal, or Finance invariant.</w:t>
      </w:r>
    </w:p>
    <w:p>
      <w:pPr>
        <w:pStyle w:val="ListNumber"/>
      </w:pPr>
      <w:r>
        <w:t>Missing sensitive operation policy fails closed.</w:t>
      </w:r>
    </w:p>
    <w:p>
      <w:pPr>
        <w:pStyle w:val="ListNumber"/>
      </w:pPr>
      <w:r>
        <w:t>UI never becomes the policy authority; it renders server-resolved capability.</w:t>
      </w:r>
    </w:p>
    <w:p>
      <w:pPr>
        <w:pStyle w:val="ListNumber"/>
      </w:pPr>
      <w:r>
        <w:t>Preview reports the effective policy used for review. Apply reloads/revalidates it.</w:t>
      </w:r>
    </w:p>
    <w:p>
      <w:pPr>
        <w:pStyle w:val="ListNumber"/>
      </w:pPr>
      <w:r>
        <w:t>A material configuration or calculation change between Preview and Apply requires re-review instead of silently changing money or authorization.</w:t>
      </w:r>
    </w:p>
    <w:p>
      <w:pPr>
        <w:pStyle w:val="Heading1"/>
      </w:pPr>
      <w:r>
        <w:t>34. Final Architecture Status</w:t>
      </w:r>
    </w:p>
    <w:p>
      <w:r>
        <w:t>Architecture discussion is complete.</w:t>
      </w:r>
    </w:p>
    <w:p>
      <w:r>
        <w:t>Reopen a frozen decision only when implementation discovers a concrete contradiction, missing business rule or superior existing codebase capability that materially changes the architecture.</w:t>
      </w:r>
    </w:p>
    <w:p>
      <w:pPr>
        <w:pStyle w:val="Heading1"/>
      </w:pPr>
      <w:r>
        <w:t>35. Production Completeness Contract</w:t>
      </w:r>
    </w:p>
    <w:p>
      <w:r>
        <w:t>This architecture is not considered implementation-complete merely because the Change transaction exists. The production feature includes the database, backend, APIs, security, configuration, frontend, audit/history, Finance follow-up, observability, rollout, and support behavior described in the companion v3.0 specifications.</w:t>
      </w:r>
    </w:p>
    <w:p>
      <w:r>
        <w:t>The following companion artifacts are normative implementation contracts:</w:t>
      </w:r>
    </w:p>
    <w:p>
      <w:pPr>
        <w:pStyle w:val="ListNumber"/>
      </w:pPr>
      <w:r>
        <w:t>**Production Implementation Specification** — end-to-end execution authority.</w:t>
      </w:r>
    </w:p>
    <w:p>
      <w:pPr>
        <w:pStyle w:val="ListNumber"/>
      </w:pPr>
      <w:r>
        <w:t>**Database Schema Blueprint** — columns, keys, RLS, migration/backfill and lineage.</w:t>
      </w:r>
    </w:p>
    <w:p>
      <w:pPr>
        <w:pStyle w:val="ListNumber"/>
      </w:pPr>
      <w:r>
        <w:t>**API Contract Catalog** — routes, DTOs, responses, errors, idempotency and version behavior.</w:t>
      </w:r>
    </w:p>
    <w:p>
      <w:pPr>
        <w:pStyle w:val="ListNumber"/>
      </w:pPr>
      <w:r>
        <w:t>**Operation &amp; Capability Catalog** — allowed semantic operations, target identities, payloads and policy ownership.</w:t>
      </w:r>
    </w:p>
    <w:p>
      <w:pPr>
        <w:pStyle w:val="ListNumber"/>
      </w:pPr>
      <w:r>
        <w:t>**Frontend / UI / UX Specification** — pages, controllers, components, loading/error/blocked/conflict/review/financial states and bilingual/RTL behavior.</w:t>
      </w:r>
    </w:p>
    <w:p>
      <w:pPr>
        <w:pStyle w:val="ListNumber"/>
      </w:pPr>
      <w:r>
        <w:t>**Service &amp; Module Map** — current modules to reuse plus new modules and transaction boundaries.</w:t>
      </w:r>
    </w:p>
    <w:p>
      <w:pPr>
        <w:pStyle w:val="ListNumber"/>
      </w:pPr>
      <w:r>
        <w:t>**Configuration &amp; Policy Matrix** — HQ, tenant, branch, workflow, per-order and domain-owned configuration.</w:t>
      </w:r>
    </w:p>
    <w:p>
      <w:pPr>
        <w:pStyle w:val="ListNumber"/>
      </w:pPr>
      <w:r>
        <w:t>**Permissions / Security Specification** — RBAC, RLS, CSRF, tenant validation, immutable facts and direct-DML restrictions.</w:t>
      </w:r>
    </w:p>
    <w:p>
      <w:pPr>
        <w:pStyle w:val="ListNumber"/>
      </w:pPr>
      <w:r>
        <w:t>**Events / Observability Specification** — outbox contracts, structured logs, metrics, tracing, alerts and SLOs.</w:t>
      </w:r>
    </w:p>
    <w:p>
      <w:pPr>
        <w:pStyle w:val="ListNumber"/>
      </w:pPr>
      <w:r>
        <w:t>**Test Traceability Matrix** — requirement-to-test coverage and release gates.</w:t>
      </w:r>
    </w:p>
    <w:p>
      <w:pPr>
        <w:pStyle w:val="ListNumber"/>
      </w:pPr>
      <w:r>
        <w:t>**Migration / Cutover / Operations Runbook** — preflight, additive migration, backfill, pilot, rollback and support procedures.</w:t>
      </w:r>
    </w:p>
    <w:p>
      <w:pPr>
        <w:pStyle w:val="ListNumber"/>
      </w:pPr>
      <w:r>
        <w:t>**Open Decisions &amp; Release Gates** — unresolved business facts are explicit blockers; they may never be replaced by hidden developer assumptions.</w:t>
      </w:r>
    </w:p>
    <w:p>
      <w:pPr>
        <w:pStyle w:val="Heading2"/>
      </w:pPr>
      <w:r>
        <w:t>35.1 No-implicit-policy rule</w:t>
      </w:r>
    </w:p>
    <w:p>
      <w:r>
        <w:t>If behavior is configurable or domain-owned, code may not hard-code a fallback merely because configuration is absent. Missing required configuration must either:</w:t>
      </w:r>
    </w:p>
    <w:p>
      <w:pPr>
        <w:pStyle w:val="ListBullet"/>
      </w:pPr>
      <w:r>
        <w:t>use an explicitly frozen default documented in the Configuration Matrix, or</w:t>
      </w:r>
    </w:p>
    <w:p>
      <w:pPr>
        <w:pStyle w:val="ListBullet"/>
      </w:pPr>
      <w:r>
        <w:t>fail closed with a documented domain error.</w:t>
      </w:r>
    </w:p>
    <w:p>
      <w:pPr>
        <w:pStyle w:val="Heading2"/>
      </w:pPr>
      <w:r>
        <w:t>35.2 No-hidden-contract rule</w:t>
      </w:r>
    </w:p>
    <w:p>
      <w:r>
        <w:t>A behavior that affects persisted commercial facts, money, authorization, customer-visible UX, audit, or recovery must be represented in at least one normative contract and traced to tests. Comments in source code alone are not sufficient specification.</w:t>
      </w:r>
    </w:p>
    <w:p>
      <w:pPr>
        <w:pStyle w:val="Heading2"/>
      </w:pPr>
      <w:r>
        <w:t>35.3 Production-readiness gate</w:t>
      </w:r>
    </w:p>
    <w:p>
      <w:r>
        <w:t>A work package is not complete until its applicable DB/API/service/UI/security/configuration/test/observability documentation is updated and its acceptance tests pass. “Implemented” cannot mean “happy-path code exists.”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