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23071140217</w:t>
      </w:r>
    </w:p>
    <w:p>
      <w:r>
        <w:rPr>
          <w:sz w:val="28"/>
        </w:rPr>
        <w:t xml:space="preserve">评价等级: </w:t>
      </w:r>
      <w:r>
        <w:rPr>
          <w:b/>
          <w:color w:val="FF0000"/>
          <w:sz w:val="32"/>
        </w:rPr>
        <w:t>不及格</w:t>
      </w:r>
    </w:p>
    <w:p/>
    <w:p>
      <w:pPr>
        <w:pStyle w:val="Heading2"/>
      </w:pPr>
      <w:r>
        <w:t>需要改进的地方</w:t>
      </w:r>
    </w:p>
    <w:p>
      <w:r>
        <w:t>• 缺少完整实验目的</w:t>
      </w:r>
    </w:p>
    <w:p>
      <w:r>
        <w:t>• 缺少完整问题讨论</w:t>
      </w:r>
    </w:p>
    <w:p>
      <w:r>
        <w:t>• 团队协作：请更详细地记录个人分工和协作过程</w:t>
      </w:r>
    </w:p>
    <w:p>
      <w:r>
        <w:t>• 实验完成度：技术实现部分需要加强，建议参考示例代码</w:t>
      </w:r>
    </w:p>
    <w:p>
      <w:r>
        <w:t>• 代码质量：增加代码注释，说明关键算法逻辑</w:t>
      </w:r>
    </w:p>
    <w:p>
      <w:r>
        <w:br/>
        <w:t>关键技术要点：</w:t>
      </w:r>
    </w:p>
    <w:p>
      <w:r>
        <w:t>• 关键要点：确保GPIO配置(PE4下降沿、PF9/PF10 LED)和状态机逻辑(P→R→N→D)正确实现</w:t>
      </w:r>
    </w:p>
    <w:p>
      <w:r>
        <w:t>• 代码规范：增加关键代码注释，说明DWT消抖和中断回调原理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