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23071140224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中</w:t>
      </w:r>
    </w:p>
    <w:p/>
    <w:p>
      <w:pPr>
        <w:pStyle w:val="Heading2"/>
      </w:pPr>
      <w:r>
        <w:t>需要改进的地方</w:t>
      </w:r>
    </w:p>
    <w:p>
      <w:r>
        <w:t>• 缺少完整问题讨论</w:t>
      </w:r>
    </w:p>
    <w:p>
      <w:r>
        <w:t>• 团队协作：请更详细地记录个人分工和协作过程</w:t>
      </w:r>
    </w:p>
    <w:p>
      <w:r>
        <w:br/>
        <w:t>关键技术要点：</w:t>
      </w:r>
    </w:p>
    <w:p>
      <w:r>
        <w:t>• 关键要点：确保GPIO配置(PE4下降沿、PF9/PF10 LED)和状态机逻辑(P→R→N→D)正确实现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