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بررسی روایی صوری و محتوایی: نسبت روایی محتوایی (CVR) و شاخص روایی محتوایی (CVI)</w:t>
      </w:r>
    </w:p>
    <w:p>
      <w:pPr>
        <w:bidi/>
        <w:jc w:val="right"/>
      </w:pPr>
      <w:r>
        <w:rPr>
          <w:rFonts w:ascii="B Titr" w:hAnsi="B Titr"/>
          <w:b/>
          <w:sz w:val="26"/>
          <w:rFonts w:ascii="B Titr" w:hAnsi="B Titr" w:cs="B Titr"/>
          <w:rtl/>
        </w:rPr>
        <w:t>۱. روش‌شناسی ارزیابی و پنل متخصصان</w:t>
      </w:r>
    </w:p>
    <w:p>
      <w:pPr>
        <w:bidi/>
        <w:jc w:val="both"/>
      </w:pPr>
      <w:r>
        <w:rPr>
          <w:rFonts w:ascii="B Nazanin" w:hAnsi="B Nazanin"/>
          <w:b w:val="0"/>
          <w:i w:val="0"/>
          <w:sz w:val="26"/>
          <w:rFonts w:ascii="B Nazanin" w:hAnsi="B Nazanin" w:cs="B Nazanin"/>
          <w:rtl/>
        </w:rPr>
        <w:t>به منظور ارزیابی روایی صوری و محتوایی نسخه فارسی مقیاس پرخاشگری و قربانی‌شدن سایبری (CAV-S)، از نظرات یک پنل ۱۲ نفره از متخصصان روان‌سنجی، روان‌شناسی بالینی و علوم تربیتی استفاده شد. جهت سنجش ضرورت گویه‌ها از نسبت روایی محتوایی لاشه (Lawshe, 1975) و جهت ارزیابی وضوح و مربوط بودن از شاخص روایی محتوایی والتز و باسل (Waltz &amp; Bausell, 1981) و لین (Lynn, 1986) استفاده گردید.</w:t>
      </w:r>
    </w:p>
    <w:p>
      <w:pPr>
        <w:bidi/>
        <w:jc w:val="right"/>
      </w:pPr>
      <w:r>
        <w:rPr>
          <w:rFonts w:ascii="B Titr" w:hAnsi="B Titr"/>
          <w:b/>
          <w:sz w:val="26"/>
          <w:rFonts w:ascii="B Titr" w:hAnsi="B Titr" w:cs="B Titr"/>
          <w:rtl/>
        </w:rPr>
        <w:t>۲. نتایج نسبت روایی محتوایی (CVR) و شاخص روایی محتوایی (I-CVI)</w:t>
      </w:r>
    </w:p>
    <w:p>
      <w:pPr>
        <w:bidi/>
        <w:jc w:val="both"/>
      </w:pPr>
      <w:r>
        <w:rPr>
          <w:rFonts w:ascii="B Nazanin" w:hAnsi="B Nazanin"/>
          <w:b w:val="0"/>
          <w:i w:val="0"/>
          <w:sz w:val="26"/>
          <w:rFonts w:ascii="B Nazanin" w:hAnsi="B Nazanin" w:cs="B Nazanin"/>
          <w:rtl/>
        </w:rPr>
        <w:t>با توجه به تعداد اعضای پنل (۱۲ نفر)، حد نصاب بحرانی آماره لاشه برابر با ۰.۵۶ در سطح خطای ۰.۰۵ تعیین شد. همچنین حداقل نمره پذیرش شاخص روایی محتوایی در سطح گویه برابر با ۰.۷۸ و شاخص تأثیر گویه حداقل ۱.۵ در نظر گرفته شد. نتایج تفصیلی گویه‌ها در جدول ۱ درج گردیده است.</w:t>
      </w:r>
    </w:p>
    <w:p>
      <w:pPr>
        <w:bidi/>
        <w:jc w:val="right"/>
      </w:pPr>
      <w:r>
        <w:rPr>
          <w:rFonts w:ascii="B Nazanin" w:hAnsi="B Nazanin"/>
          <w:b/>
          <w:sz w:val="22"/>
        </w:rPr>
        <w:t>جدول ۱. شاخص‌های روایی صوری و محتوایی نسخه فارسی مقیاس CAV-S به تفکیک گویه‌ها (۱۲ = N پنل متخصصان)</w:t>
      </w:r>
    </w:p>
    <w:tbl>
      <w:tblPr>
        <w:tblW w:type="auto" w:w="0"/>
        <w:jc w:val="center"/>
        <w:tblLook w:firstColumn="1" w:firstRow="1" w:lastColumn="0" w:lastRow="0" w:noHBand="0" w:noVBand="1" w:val="04A0"/>
        <w:bidiVisual/>
      </w:tblPr>
      <w:tblGrid>
        <w:gridCol w:w="864"/>
        <w:gridCol w:w="864"/>
        <w:gridCol w:w="864"/>
        <w:gridCol w:w="864"/>
        <w:gridCol w:w="864"/>
        <w:gridCol w:w="864"/>
        <w:gridCol w:w="864"/>
        <w:gridCol w:w="864"/>
        <w:gridCol w:w="864"/>
        <w:gridCol w:w="864"/>
      </w:tblGrid>
      <w:tr>
        <w:tc>
          <w:tcPr>
            <w:tcW w:type="dxa" w:w="864"/>
          </w:tcPr>
          <w:p>
            <w:pPr>
              <w:bidi/>
              <w:jc w:val="center"/>
            </w:pPr>
            <w:r>
              <w:rPr>
                <w:rFonts w:ascii="B Nazanin" w:hAnsi="B Nazanin"/>
                <w:b/>
                <w:sz w:val="20"/>
              </w:rPr>
              <w:t>شماره</w:t>
            </w:r>
          </w:p>
        </w:tc>
        <w:tc>
          <w:tcPr>
            <w:tcW w:type="dxa" w:w="864"/>
          </w:tcPr>
          <w:p>
            <w:pPr>
              <w:bidi/>
              <w:jc w:val="center"/>
            </w:pPr>
            <w:r>
              <w:rPr>
                <w:rFonts w:ascii="B Nazanin" w:hAnsi="B Nazanin"/>
                <w:b/>
                <w:sz w:val="20"/>
              </w:rPr>
              <w:t>خرده‌مقیاس</w:t>
            </w:r>
          </w:p>
        </w:tc>
        <w:tc>
          <w:tcPr>
            <w:tcW w:type="dxa" w:w="864"/>
          </w:tcPr>
          <w:p>
            <w:pPr>
              <w:bidi/>
              <w:jc w:val="center"/>
            </w:pPr>
            <w:r>
              <w:rPr>
                <w:rFonts w:ascii="B Nazanin" w:hAnsi="B Nazanin"/>
                <w:b/>
                <w:sz w:val="20"/>
              </w:rPr>
              <w:t>آراء ضروری</w:t>
            </w:r>
          </w:p>
        </w:tc>
        <w:tc>
          <w:tcPr>
            <w:tcW w:type="dxa" w:w="864"/>
          </w:tcPr>
          <w:p>
            <w:pPr>
              <w:bidi/>
              <w:jc w:val="center"/>
            </w:pPr>
            <w:r>
              <w:rPr>
                <w:rFonts w:ascii="B Nazanin" w:hAnsi="B Nazanin"/>
                <w:b/>
                <w:sz w:val="20"/>
              </w:rPr>
              <w:t>آماره CVR</w:t>
            </w:r>
          </w:p>
        </w:tc>
        <w:tc>
          <w:tcPr>
            <w:tcW w:type="dxa" w:w="864"/>
          </w:tcPr>
          <w:p>
            <w:pPr>
              <w:bidi/>
              <w:jc w:val="center"/>
            </w:pPr>
            <w:r>
              <w:rPr>
                <w:rFonts w:ascii="B Nazanin" w:hAnsi="B Nazanin"/>
                <w:b/>
                <w:sz w:val="20"/>
              </w:rPr>
              <w:t>وضعیت CVR</w:t>
            </w:r>
          </w:p>
        </w:tc>
        <w:tc>
          <w:tcPr>
            <w:tcW w:type="dxa" w:w="864"/>
          </w:tcPr>
          <w:p>
            <w:pPr>
              <w:bidi/>
              <w:jc w:val="center"/>
            </w:pPr>
            <w:r>
              <w:rPr>
                <w:rFonts w:ascii="B Nazanin" w:hAnsi="B Nazanin"/>
                <w:b/>
                <w:sz w:val="20"/>
              </w:rPr>
              <w:t>آراء مربوط</w:t>
            </w:r>
          </w:p>
        </w:tc>
        <w:tc>
          <w:tcPr>
            <w:tcW w:type="dxa" w:w="864"/>
          </w:tcPr>
          <w:p>
            <w:pPr>
              <w:bidi/>
              <w:jc w:val="center"/>
            </w:pPr>
            <w:r>
              <w:rPr>
                <w:rFonts w:ascii="B Nazanin" w:hAnsi="B Nazanin"/>
                <w:b/>
                <w:sz w:val="20"/>
              </w:rPr>
              <w:t>شاخص I-CVI</w:t>
            </w:r>
          </w:p>
        </w:tc>
        <w:tc>
          <w:tcPr>
            <w:tcW w:type="dxa" w:w="864"/>
          </w:tcPr>
          <w:p>
            <w:pPr>
              <w:bidi/>
              <w:jc w:val="center"/>
            </w:pPr>
            <w:r>
              <w:rPr>
                <w:rFonts w:ascii="B Nazanin" w:hAnsi="B Nazanin"/>
                <w:b/>
                <w:sz w:val="20"/>
              </w:rPr>
              <w:t>وضعیت CVI</w:t>
            </w:r>
          </w:p>
        </w:tc>
        <w:tc>
          <w:tcPr>
            <w:tcW w:type="dxa" w:w="864"/>
          </w:tcPr>
          <w:p>
            <w:pPr>
              <w:bidi/>
              <w:jc w:val="center"/>
            </w:pPr>
            <w:r>
              <w:rPr>
                <w:rFonts w:ascii="B Nazanin" w:hAnsi="B Nazanin"/>
                <w:b/>
                <w:sz w:val="20"/>
              </w:rPr>
              <w:t>نمره تأثیر</w:t>
            </w:r>
          </w:p>
        </w:tc>
        <w:tc>
          <w:tcPr>
            <w:tcW w:type="dxa" w:w="864"/>
          </w:tcPr>
          <w:p>
            <w:pPr>
              <w:bidi/>
              <w:jc w:val="center"/>
            </w:pPr>
            <w:r>
              <w:rPr>
                <w:rFonts w:ascii="B Nazanin" w:hAnsi="B Nazanin"/>
                <w:b/>
                <w:sz w:val="20"/>
              </w:rPr>
              <w:t>وضعیت نهایی</w:t>
            </w:r>
          </w:p>
        </w:tc>
      </w:tr>
      <w:tr>
        <w:tc>
          <w:tcPr>
            <w:tcW w:type="dxa" w:w="864"/>
          </w:tcPr>
          <w:p>
            <w:pPr>
              <w:bidi/>
              <w:jc w:val="center"/>
            </w:pPr>
            <w:r>
              <w:rPr>
                <w:rFonts w:ascii="Times New Roman" w:hAnsi="Times New Roman"/>
                <w:sz w:val="20"/>
              </w:rPr>
              <w:t>۱</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۴.۲۵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۲</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۴.۴۰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۳</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۳.۹۰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۴</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۳.۶۵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۵</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۴.۱۰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۶</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۳.۸۵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۷</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۳.۷۰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۸</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۳.۴۵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۹</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۴.۵۰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۱۰</w:t>
            </w:r>
          </w:p>
        </w:tc>
        <w:tc>
          <w:tcPr>
            <w:tcW w:type="dxa" w:w="864"/>
          </w:tcPr>
          <w:p>
            <w:pPr>
              <w:bidi/>
              <w:jc w:val="center"/>
            </w:pPr>
            <w:r>
              <w:rPr>
                <w:rFonts w:ascii="B Nazanin" w:hAnsi="B Nazanin"/>
                <w:sz w:val="20"/>
              </w:rPr>
              <w:t>پرخاشگری</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۴.۳۰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۱۱</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۴.۳۵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۱۲</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۴.۲۰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۱۳</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۳.۵۵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۱۴</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۴.۱۵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۱۵</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۳.۸۰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۱۶</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۱۰</w:t>
            </w:r>
          </w:p>
        </w:tc>
        <w:tc>
          <w:tcPr>
            <w:tcW w:type="dxa" w:w="864"/>
          </w:tcPr>
          <w:p>
            <w:pPr>
              <w:bidi/>
              <w:jc w:val="center"/>
            </w:pPr>
            <w:r>
              <w:rPr>
                <w:rFonts w:ascii="Times New Roman" w:hAnsi="Times New Roman"/>
                <w:sz w:val="20"/>
              </w:rPr>
              <w:t>۰.۶۶۷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۳.۶۰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۱۷</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۴.۴۵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۱۸</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۰.۹۱۷</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۳.۹۵</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۱۹</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۴.۶۰</w:t>
            </w:r>
          </w:p>
        </w:tc>
        <w:tc>
          <w:tcPr>
            <w:tcW w:type="dxa" w:w="864"/>
          </w:tcPr>
          <w:p>
            <w:pPr>
              <w:bidi/>
              <w:jc w:val="center"/>
            </w:pPr>
            <w:r>
              <w:rPr>
                <w:rFonts w:ascii="B Nazanin" w:hAnsi="B Nazanin"/>
                <w:sz w:val="20"/>
              </w:rPr>
              <w:t>حفظ گویه</w:t>
            </w:r>
          </w:p>
        </w:tc>
      </w:tr>
      <w:tr>
        <w:tc>
          <w:tcPr>
            <w:tcW w:type="dxa" w:w="864"/>
          </w:tcPr>
          <w:p>
            <w:pPr>
              <w:bidi/>
              <w:jc w:val="center"/>
            </w:pPr>
            <w:r>
              <w:rPr>
                <w:rFonts w:ascii="Times New Roman" w:hAnsi="Times New Roman"/>
                <w:sz w:val="20"/>
              </w:rPr>
              <w:t>۲۰</w:t>
            </w:r>
          </w:p>
        </w:tc>
        <w:tc>
          <w:tcPr>
            <w:tcW w:type="dxa" w:w="864"/>
          </w:tcPr>
          <w:p>
            <w:pPr>
              <w:bidi/>
              <w:jc w:val="center"/>
            </w:pPr>
            <w:r>
              <w:rPr>
                <w:rFonts w:ascii="B Nazanin" w:hAnsi="B Nazanin"/>
                <w:sz w:val="20"/>
              </w:rPr>
              <w:t>قربانی‌شدن</w:t>
            </w:r>
          </w:p>
        </w:tc>
        <w:tc>
          <w:tcPr>
            <w:tcW w:type="dxa" w:w="864"/>
          </w:tcPr>
          <w:p>
            <w:pPr>
              <w:bidi/>
              <w:jc w:val="center"/>
            </w:pPr>
            <w:r>
              <w:rPr>
                <w:rFonts w:ascii="Times New Roman" w:hAnsi="Times New Roman"/>
                <w:sz w:val="20"/>
              </w:rPr>
              <w:t>۱۱</w:t>
            </w:r>
          </w:p>
        </w:tc>
        <w:tc>
          <w:tcPr>
            <w:tcW w:type="dxa" w:w="864"/>
          </w:tcPr>
          <w:p>
            <w:pPr>
              <w:bidi/>
              <w:jc w:val="center"/>
            </w:pPr>
            <w:r>
              <w:rPr>
                <w:rFonts w:ascii="Times New Roman" w:hAnsi="Times New Roman"/>
                <w:sz w:val="20"/>
              </w:rPr>
              <w:t>۰.۸۳۳</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۱۲</w:t>
            </w:r>
          </w:p>
        </w:tc>
        <w:tc>
          <w:tcPr>
            <w:tcW w:type="dxa" w:w="864"/>
          </w:tcPr>
          <w:p>
            <w:pPr>
              <w:bidi/>
              <w:jc w:val="center"/>
            </w:pPr>
            <w:r>
              <w:rPr>
                <w:rFonts w:ascii="Times New Roman" w:hAnsi="Times New Roman"/>
                <w:sz w:val="20"/>
              </w:rPr>
              <w:t>۱.۰۰۰</w:t>
            </w:r>
          </w:p>
        </w:tc>
        <w:tc>
          <w:tcPr>
            <w:tcW w:type="dxa" w:w="864"/>
          </w:tcPr>
          <w:p>
            <w:pPr>
              <w:bidi/>
              <w:jc w:val="center"/>
            </w:pPr>
            <w:r>
              <w:rPr>
                <w:rFonts w:ascii="B Nazanin" w:hAnsi="B Nazanin"/>
                <w:sz w:val="20"/>
              </w:rPr>
              <w:t>تأیید</w:t>
            </w:r>
          </w:p>
        </w:tc>
        <w:tc>
          <w:tcPr>
            <w:tcW w:type="dxa" w:w="864"/>
          </w:tcPr>
          <w:p>
            <w:pPr>
              <w:bidi/>
              <w:jc w:val="center"/>
            </w:pPr>
            <w:r>
              <w:rPr>
                <w:rFonts w:ascii="Times New Roman" w:hAnsi="Times New Roman"/>
                <w:sz w:val="20"/>
              </w:rPr>
              <w:t>۴.۰۵</w:t>
            </w:r>
          </w:p>
        </w:tc>
        <w:tc>
          <w:tcPr>
            <w:tcW w:type="dxa" w:w="864"/>
          </w:tcPr>
          <w:p>
            <w:pPr>
              <w:bidi/>
              <w:jc w:val="center"/>
            </w:pPr>
            <w:r>
              <w:rPr>
                <w:rFonts w:ascii="B Nazanin" w:hAnsi="B Nazanin"/>
                <w:sz w:val="20"/>
              </w:rPr>
              <w:t>حفظ گویه</w:t>
            </w:r>
          </w:p>
        </w:tc>
      </w:tr>
    </w:tbl>
    <w:p>
      <w:pPr>
        <w:bidi/>
        <w:jc w:val="both"/>
      </w:pPr>
      <w:r>
        <w:rPr>
          <w:rFonts w:ascii="B Nazanin" w:hAnsi="B Nazanin"/>
          <w:i/>
          <w:sz w:val="20"/>
        </w:rPr>
        <w:t>یادداشت. آستانه بحرانی لاشه برای پنل ۱۲ نفره برابر با ۰.۵۶ است. حداقل نمره پذیرش I-CVI برابر با ۰.۷۸ و نمره تأثیر ۱.۵ می‌باشد.</w:t>
      </w:r>
    </w:p>
    <w:p>
      <w:pPr>
        <w:bidi/>
        <w:jc w:val="right"/>
      </w:pPr>
      <w:r>
        <w:rPr>
          <w:rFonts w:ascii="B Titr" w:hAnsi="B Titr"/>
          <w:b/>
          <w:sz w:val="26"/>
          <w:rFonts w:ascii="B Titr" w:hAnsi="B Titr" w:cs="B Titr"/>
          <w:rtl/>
        </w:rPr>
        <w:t>۳. خلاصه شاخص‌های کلی روایی محتوایی در سطح کل مقیاس</w:t>
      </w:r>
    </w:p>
    <w:p>
      <w:pPr>
        <w:bidi/>
        <w:jc w:val="both"/>
      </w:pPr>
      <w:r>
        <w:rPr>
          <w:rFonts w:ascii="B Nazanin" w:hAnsi="B Nazanin"/>
          <w:b w:val="0"/>
          <w:i w:val="0"/>
          <w:sz w:val="26"/>
          <w:rFonts w:ascii="B Nazanin" w:hAnsi="B Nazanin" w:cs="B Nazanin"/>
          <w:rtl/>
        </w:rPr>
        <w:t>در جدول ۲، شاخص‌های کلی روایی محتوایی شامل میانگین شاخص روایی در سطح مقیاس (S-CVI/Ave)، شاخص توافق همگانی (S-CVI/UA) و میانگین نمره تأثیر گزارش شده است.</w:t>
      </w:r>
    </w:p>
    <w:p>
      <w:pPr>
        <w:bidi/>
        <w:jc w:val="right"/>
      </w:pPr>
      <w:r>
        <w:rPr>
          <w:rFonts w:ascii="B Nazanin" w:hAnsi="B Nazanin"/>
          <w:b/>
          <w:sz w:val="22"/>
        </w:rPr>
        <w:t>جدول ۲. شاخص‌های روایی محتوایی در سطح کل مقیاس CAV-S (۱۲ = N پنل)</w:t>
      </w:r>
    </w:p>
    <w:tbl>
      <w:tblPr>
        <w:tblW w:type="auto" w:w="0"/>
        <w:jc w:val="center"/>
        <w:tblLook w:firstColumn="1" w:firstRow="1" w:lastColumn="0" w:lastRow="0" w:noHBand="0" w:noVBand="1" w:val="04A0"/>
        <w:bidiVisual/>
      </w:tblPr>
      <w:tblGrid>
        <w:gridCol w:w="1728"/>
        <w:gridCol w:w="1728"/>
        <w:gridCol w:w="1728"/>
        <w:gridCol w:w="1728"/>
        <w:gridCol w:w="1728"/>
      </w:tblGrid>
      <w:tr>
        <w:tc>
          <w:tcPr>
            <w:tcW w:type="dxa" w:w="1728"/>
          </w:tcPr>
          <w:p>
            <w:pPr>
              <w:bidi/>
              <w:jc w:val="center"/>
            </w:pPr>
            <w:r>
              <w:rPr>
                <w:rFonts w:ascii="B Nazanin" w:hAnsi="B Nazanin"/>
                <w:b/>
                <w:sz w:val="20"/>
              </w:rPr>
              <w:t>شاخص روایی محتوایی</w:t>
            </w:r>
          </w:p>
        </w:tc>
        <w:tc>
          <w:tcPr>
            <w:tcW w:type="dxa" w:w="1728"/>
          </w:tcPr>
          <w:p>
            <w:pPr>
              <w:bidi/>
              <w:jc w:val="center"/>
            </w:pPr>
            <w:r>
              <w:rPr>
                <w:rFonts w:ascii="B Nazanin" w:hAnsi="B Nazanin"/>
                <w:b/>
                <w:sz w:val="20"/>
              </w:rPr>
              <w:t>فرمول / تعریف</w:t>
            </w:r>
          </w:p>
        </w:tc>
        <w:tc>
          <w:tcPr>
            <w:tcW w:type="dxa" w:w="1728"/>
          </w:tcPr>
          <w:p>
            <w:pPr>
              <w:bidi/>
              <w:jc w:val="center"/>
            </w:pPr>
            <w:r>
              <w:rPr>
                <w:rFonts w:ascii="B Nazanin" w:hAnsi="B Nazanin"/>
                <w:b/>
                <w:sz w:val="20"/>
              </w:rPr>
              <w:t>مقدار مشاهده‌شده</w:t>
            </w:r>
          </w:p>
        </w:tc>
        <w:tc>
          <w:tcPr>
            <w:tcW w:type="dxa" w:w="1728"/>
          </w:tcPr>
          <w:p>
            <w:pPr>
              <w:bidi/>
              <w:jc w:val="center"/>
            </w:pPr>
            <w:r>
              <w:rPr>
                <w:rFonts w:ascii="B Nazanin" w:hAnsi="B Nazanin"/>
                <w:b/>
                <w:sz w:val="20"/>
              </w:rPr>
              <w:t>معیار پذیرش</w:t>
            </w:r>
          </w:p>
        </w:tc>
        <w:tc>
          <w:tcPr>
            <w:tcW w:type="dxa" w:w="1728"/>
          </w:tcPr>
          <w:p>
            <w:pPr>
              <w:bidi/>
              <w:jc w:val="center"/>
            </w:pPr>
            <w:r>
              <w:rPr>
                <w:rFonts w:ascii="B Nazanin" w:hAnsi="B Nazanin"/>
                <w:b/>
                <w:sz w:val="20"/>
              </w:rPr>
              <w:t>نتیجه</w:t>
            </w:r>
          </w:p>
        </w:tc>
      </w:tr>
      <w:tr>
        <w:tc>
          <w:tcPr>
            <w:tcW w:type="dxa" w:w="1728"/>
          </w:tcPr>
          <w:p>
            <w:pPr>
              <w:bidi/>
              <w:jc w:val="center"/>
            </w:pPr>
            <w:r>
              <w:rPr>
                <w:rFonts w:ascii="Times New Roman" w:hAnsi="Times New Roman"/>
                <w:sz w:val="20"/>
              </w:rPr>
              <w:t>میانگین شاخص روایی مقیاس (S-CVI/Ave)</w:t>
            </w:r>
          </w:p>
        </w:tc>
        <w:tc>
          <w:tcPr>
            <w:tcW w:type="dxa" w:w="1728"/>
          </w:tcPr>
          <w:p>
            <w:pPr>
              <w:bidi/>
              <w:jc w:val="center"/>
            </w:pPr>
            <w:r>
              <w:rPr>
                <w:rFonts w:ascii="Times New Roman" w:hAnsi="Times New Roman"/>
                <w:sz w:val="20"/>
              </w:rPr>
              <w:t>میانگین نمرات I-CVI تمامی گویه‌ها</w:t>
            </w:r>
          </w:p>
        </w:tc>
        <w:tc>
          <w:tcPr>
            <w:tcW w:type="dxa" w:w="1728"/>
          </w:tcPr>
          <w:p>
            <w:pPr>
              <w:bidi/>
              <w:jc w:val="center"/>
            </w:pPr>
            <w:r>
              <w:rPr>
                <w:rFonts w:ascii="Times New Roman" w:hAnsi="Times New Roman"/>
                <w:sz w:val="20"/>
              </w:rPr>
              <w:t>۰.۹۵۸</w:t>
            </w:r>
          </w:p>
        </w:tc>
        <w:tc>
          <w:tcPr>
            <w:tcW w:type="dxa" w:w="1728"/>
          </w:tcPr>
          <w:p>
            <w:pPr>
              <w:bidi/>
              <w:jc w:val="center"/>
            </w:pPr>
            <w:r>
              <w:rPr>
                <w:rFonts w:ascii="Times New Roman" w:hAnsi="Times New Roman"/>
                <w:sz w:val="20"/>
              </w:rPr>
              <w:t>۰.۸۰ یا بالاتر</w:t>
            </w:r>
          </w:p>
        </w:tc>
        <w:tc>
          <w:tcPr>
            <w:tcW w:type="dxa" w:w="1728"/>
          </w:tcPr>
          <w:p>
            <w:pPr>
              <w:bidi/>
              <w:jc w:val="center"/>
            </w:pPr>
            <w:r>
              <w:rPr>
                <w:rFonts w:ascii="B Nazanin" w:hAnsi="B Nazanin"/>
                <w:sz w:val="20"/>
              </w:rPr>
              <w:t>تأیید بسیار مطلوب</w:t>
            </w:r>
          </w:p>
        </w:tc>
      </w:tr>
      <w:tr>
        <w:tc>
          <w:tcPr>
            <w:tcW w:type="dxa" w:w="1728"/>
          </w:tcPr>
          <w:p>
            <w:pPr>
              <w:bidi/>
              <w:jc w:val="center"/>
            </w:pPr>
            <w:r>
              <w:rPr>
                <w:rFonts w:ascii="Times New Roman" w:hAnsi="Times New Roman"/>
                <w:sz w:val="20"/>
              </w:rPr>
              <w:t>شاخص توافق همگانی (S-CVI/UA)</w:t>
            </w:r>
          </w:p>
        </w:tc>
        <w:tc>
          <w:tcPr>
            <w:tcW w:type="dxa" w:w="1728"/>
          </w:tcPr>
          <w:p>
            <w:pPr>
              <w:bidi/>
              <w:jc w:val="center"/>
            </w:pPr>
            <w:r>
              <w:rPr>
                <w:rFonts w:ascii="Times New Roman" w:hAnsi="Times New Roman"/>
                <w:sz w:val="20"/>
              </w:rPr>
              <w:t>نسبت گویه‌های با توافق ۱۰۰ درصدی</w:t>
            </w:r>
          </w:p>
        </w:tc>
        <w:tc>
          <w:tcPr>
            <w:tcW w:type="dxa" w:w="1728"/>
          </w:tcPr>
          <w:p>
            <w:pPr>
              <w:bidi/>
              <w:jc w:val="center"/>
            </w:pPr>
            <w:r>
              <w:rPr>
                <w:rFonts w:ascii="Times New Roman" w:hAnsi="Times New Roman"/>
                <w:sz w:val="20"/>
              </w:rPr>
              <w:t>۰.۵۵۰</w:t>
            </w:r>
          </w:p>
        </w:tc>
        <w:tc>
          <w:tcPr>
            <w:tcW w:type="dxa" w:w="1728"/>
          </w:tcPr>
          <w:p>
            <w:pPr>
              <w:bidi/>
              <w:jc w:val="center"/>
            </w:pPr>
            <w:r>
              <w:rPr>
                <w:rFonts w:ascii="Times New Roman" w:hAnsi="Times New Roman"/>
                <w:sz w:val="20"/>
              </w:rPr>
              <w:t>۰.۵۰ یا بالاتر</w:t>
            </w:r>
          </w:p>
        </w:tc>
        <w:tc>
          <w:tcPr>
            <w:tcW w:type="dxa" w:w="1728"/>
          </w:tcPr>
          <w:p>
            <w:pPr>
              <w:bidi/>
              <w:jc w:val="center"/>
            </w:pPr>
            <w:r>
              <w:rPr>
                <w:rFonts w:ascii="B Nazanin" w:hAnsi="B Nazanin"/>
                <w:sz w:val="20"/>
              </w:rPr>
              <w:t>تأیید مطلوب</w:t>
            </w:r>
          </w:p>
        </w:tc>
      </w:tr>
      <w:tr>
        <w:tc>
          <w:tcPr>
            <w:tcW w:type="dxa" w:w="1728"/>
          </w:tcPr>
          <w:p>
            <w:pPr>
              <w:bidi/>
              <w:jc w:val="center"/>
            </w:pPr>
            <w:r>
              <w:rPr>
                <w:rFonts w:ascii="Times New Roman" w:hAnsi="Times New Roman"/>
                <w:sz w:val="20"/>
              </w:rPr>
              <w:t>نرخ قبولی لاشه (CVR Pass Rate)</w:t>
            </w:r>
          </w:p>
        </w:tc>
        <w:tc>
          <w:tcPr>
            <w:tcW w:type="dxa" w:w="1728"/>
          </w:tcPr>
          <w:p>
            <w:pPr>
              <w:bidi/>
              <w:jc w:val="center"/>
            </w:pPr>
            <w:r>
              <w:rPr>
                <w:rFonts w:ascii="Times New Roman" w:hAnsi="Times New Roman"/>
                <w:sz w:val="20"/>
              </w:rPr>
              <w:t>درصد گویه‌های بالاتر از ۰.۵۶</w:t>
            </w:r>
          </w:p>
        </w:tc>
        <w:tc>
          <w:tcPr>
            <w:tcW w:type="dxa" w:w="1728"/>
          </w:tcPr>
          <w:p>
            <w:pPr>
              <w:bidi/>
              <w:jc w:val="center"/>
            </w:pPr>
            <w:r>
              <w:rPr>
                <w:rFonts w:ascii="Times New Roman" w:hAnsi="Times New Roman"/>
                <w:sz w:val="20"/>
              </w:rPr>
              <w:t>۱۰۰.۰٪</w:t>
            </w:r>
          </w:p>
        </w:tc>
        <w:tc>
          <w:tcPr>
            <w:tcW w:type="dxa" w:w="1728"/>
          </w:tcPr>
          <w:p>
            <w:pPr>
              <w:bidi/>
              <w:jc w:val="center"/>
            </w:pPr>
            <w:r>
              <w:rPr>
                <w:rFonts w:ascii="Times New Roman" w:hAnsi="Times New Roman"/>
                <w:sz w:val="20"/>
              </w:rPr>
              <w:t>بیش از ۸۰٪</w:t>
            </w:r>
          </w:p>
        </w:tc>
        <w:tc>
          <w:tcPr>
            <w:tcW w:type="dxa" w:w="1728"/>
          </w:tcPr>
          <w:p>
            <w:pPr>
              <w:bidi/>
              <w:jc w:val="center"/>
            </w:pPr>
            <w:r>
              <w:rPr>
                <w:rFonts w:ascii="B Nazanin" w:hAnsi="B Nazanin"/>
                <w:sz w:val="20"/>
              </w:rPr>
              <w:t>تأیید کامل تمامی گویه‌ها</w:t>
            </w:r>
          </w:p>
        </w:tc>
      </w:tr>
      <w:tr>
        <w:tc>
          <w:tcPr>
            <w:tcW w:type="dxa" w:w="1728"/>
          </w:tcPr>
          <w:p>
            <w:pPr>
              <w:bidi/>
              <w:jc w:val="center"/>
            </w:pPr>
            <w:r>
              <w:rPr>
                <w:rFonts w:ascii="B Nazanin" w:hAnsi="B Nazanin"/>
                <w:sz w:val="20"/>
              </w:rPr>
              <w:t>میانگین نمره تأثیر گویه‌ها</w:t>
            </w:r>
          </w:p>
        </w:tc>
        <w:tc>
          <w:tcPr>
            <w:tcW w:type="dxa" w:w="1728"/>
          </w:tcPr>
          <w:p>
            <w:pPr>
              <w:bidi/>
              <w:jc w:val="center"/>
            </w:pPr>
            <w:r>
              <w:rPr>
                <w:rFonts w:ascii="B Nazanin" w:hAnsi="B Nazanin"/>
                <w:sz w:val="20"/>
              </w:rPr>
              <w:t>میانگین بسامد × اهمیت</w:t>
            </w:r>
          </w:p>
        </w:tc>
        <w:tc>
          <w:tcPr>
            <w:tcW w:type="dxa" w:w="1728"/>
          </w:tcPr>
          <w:p>
            <w:pPr>
              <w:bidi/>
              <w:jc w:val="center"/>
            </w:pPr>
            <w:r>
              <w:rPr>
                <w:rFonts w:ascii="Times New Roman" w:hAnsi="Times New Roman"/>
                <w:sz w:val="20"/>
              </w:rPr>
              <w:t>۴.۰۴۵</w:t>
            </w:r>
          </w:p>
        </w:tc>
        <w:tc>
          <w:tcPr>
            <w:tcW w:type="dxa" w:w="1728"/>
          </w:tcPr>
          <w:p>
            <w:pPr>
              <w:bidi/>
              <w:jc w:val="center"/>
            </w:pPr>
            <w:r>
              <w:rPr>
                <w:rFonts w:ascii="Times New Roman" w:hAnsi="Times New Roman"/>
                <w:sz w:val="20"/>
              </w:rPr>
              <w:t>۱.۵ یا بالاتر</w:t>
            </w:r>
          </w:p>
        </w:tc>
        <w:tc>
          <w:tcPr>
            <w:tcW w:type="dxa" w:w="1728"/>
          </w:tcPr>
          <w:p>
            <w:pPr>
              <w:bidi/>
              <w:jc w:val="center"/>
            </w:pPr>
            <w:r>
              <w:rPr>
                <w:rFonts w:ascii="B Nazanin" w:hAnsi="B Nazanin"/>
                <w:sz w:val="20"/>
              </w:rPr>
              <w:t>تأیید صوری عالی</w:t>
            </w:r>
          </w:p>
        </w:tc>
      </w:tr>
    </w:tbl>
    <w:p>
      <w:pPr>
        <w:bidi/>
        <w:jc w:val="both"/>
      </w:pPr>
      <w:r>
        <w:rPr>
          <w:rFonts w:ascii="B Nazanin" w:hAnsi="B Nazanin"/>
          <w:i/>
          <w:sz w:val="20"/>
        </w:rPr>
        <w:t>یادداشت. شاخص‌های محاسبه‌شده حاکی از اعتبار محتوایی و صوری کامل نسخه فارسی مقیاس است.</w:t>
      </w:r>
    </w:p>
    <w:p>
      <w:pPr>
        <w:bidi/>
        <w:jc w:val="right"/>
      </w:pPr>
      <w:r>
        <w:rPr>
          <w:rFonts w:ascii="B Titr" w:hAnsi="B Titr"/>
          <w:b/>
          <w:sz w:val="26"/>
          <w:rFonts w:ascii="B Titr" w:hAnsi="B Titr" w:cs="B Titr"/>
          <w:rtl/>
        </w:rPr>
        <w:t>۴. جمع‌بندی و نتیجه‌گیری روایی محتوایی</w:t>
      </w:r>
    </w:p>
    <w:p>
      <w:pPr>
        <w:bidi/>
        <w:jc w:val="both"/>
      </w:pPr>
      <w:r>
        <w:rPr>
          <w:rFonts w:ascii="B Nazanin" w:hAnsi="B Nazanin"/>
          <w:b w:val="0"/>
          <w:i w:val="0"/>
          <w:sz w:val="26"/>
          <w:rFonts w:ascii="B Nazanin" w:hAnsi="B Nazanin" w:cs="B Nazanin"/>
          <w:rtl/>
        </w:rPr>
        <w:t>یافته‌های مندرج در جدول‌های ۱ و ۲ نشان می‌دهد که تمامی ۲۰ گویه مقیاس CAV-S با کسب نمرات CVR بالاتر از آستانه بحرانی ۰.۵۶ (دامنه ۰.۶۶۷ تا ۱.۰۰۰) و نمرات I-CVI بالاتر از ۰.۷۸ (دامنه ۰.۸۳۳ تا ۱.۰۰۰) از اعتبار محتوایی بالایی برخوردارند. مقدار شاخص S-CVI/Ave برابر با ۰.۹۵۸ به دست آمد که فراتر از آستانه استاندارد ۰.۸۰ پولیت و بک (۲۰۰۶) است. بنابراین، تمامی ۲۰ گویه جهت انجام مراحل بعدی روان‌سنجی (تحلیل گویه و ساختار عاملی) حفظ گردیدند.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