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B Titr" w:hAnsi="B Titr"/>
          <w:b/>
          <w:sz w:val="28"/>
          <w:rFonts w:ascii="B Titr" w:hAnsi="B Titr" w:cs="B Titr"/>
          <w:rtl/>
        </w:rPr>
        <w:t>شبیه‌ساز جلسه داوری و دفاعیه شفاهی: ویژگی‌های روان‌سنجی مقیاس CAV-S</w:t>
      </w:r>
    </w:p>
    <w:p>
      <w:pPr>
        <w:bidi/>
        <w:jc w:val="both"/>
      </w:pPr>
      <w:r>
        <w:rPr>
          <w:rFonts w:ascii="B Nazanin" w:hAnsi="B Nazanin"/>
          <w:b/>
          <w:i w:val="0"/>
          <w:sz w:val="26"/>
          <w:rFonts w:ascii="B Nazanin" w:hAnsi="B Nazanin" w:cs="B Nazanin"/>
          <w:rtl/>
        </w:rPr>
        <w:t>عنوان ابزار: نسخه فارسی مقیاس پرخاشگری و قربانی‌شدن سایبری (CAV-S) | حجم نمونه: ۴۵۰ نفر | امتیاز آمادگی: ۹۸.۵٪</w:t>
      </w:r>
    </w:p>
    <w:p>
      <w:pPr>
        <w:bidi/>
        <w:jc w:val="right"/>
      </w:pPr>
      <w:r>
        <w:rPr>
          <w:rFonts w:ascii="B Titr" w:hAnsi="B Titr"/>
          <w:b/>
          <w:sz w:val="26"/>
          <w:rFonts w:ascii="B Titr" w:hAnsi="B Titr" w:cs="B Titr"/>
          <w:rtl/>
        </w:rPr>
        <w:t>۱. پرسش‌های چالشی هیئت داوران و پاسخ‌های استدلالی داوطلب</w:t>
      </w:r>
    </w:p>
    <w:tbl>
      <w:tblPr>
        <w:tblW w:type="auto" w:w="0"/>
        <w:jc w:val="center"/>
        <w:tblLook w:firstColumn="1" w:firstRow="1" w:lastColumn="0" w:lastRow="0" w:noHBand="0" w:noVBand="1" w:val="04A0"/>
        <w:bidiVisual/>
      </w:tblPr>
      <w:tblGrid>
        <w:gridCol w:w="1728"/>
        <w:gridCol w:w="1728"/>
        <w:gridCol w:w="1728"/>
        <w:gridCol w:w="1728"/>
        <w:gridCol w:w="1728"/>
      </w:tblGrid>
      <w:tr>
        <w:tc>
          <w:tcPr>
            <w:tcW w:type="dxa" w:w="1728"/>
          </w:tcPr>
          <w:p>
            <w:pPr>
              <w:bidi/>
              <w:jc w:val="center"/>
            </w:pPr>
            <w:r>
              <w:rPr>
                <w:rFonts w:ascii="B Nazanin" w:hAnsi="B Nazanin"/>
                <w:b/>
                <w:sz w:val="20"/>
              </w:rPr>
              <w:t>شماره</w:t>
            </w:r>
          </w:p>
        </w:tc>
        <w:tc>
          <w:tcPr>
            <w:tcW w:type="dxa" w:w="1728"/>
          </w:tcPr>
          <w:p>
            <w:pPr>
              <w:bidi/>
              <w:jc w:val="center"/>
            </w:pPr>
            <w:r>
              <w:rPr>
                <w:rFonts w:ascii="B Nazanin" w:hAnsi="B Nazanin"/>
                <w:b/>
                <w:sz w:val="20"/>
              </w:rPr>
              <w:t>نقش داور</w:t>
            </w:r>
          </w:p>
        </w:tc>
        <w:tc>
          <w:tcPr>
            <w:tcW w:type="dxa" w:w="1728"/>
          </w:tcPr>
          <w:p>
            <w:pPr>
              <w:bidi/>
              <w:jc w:val="center"/>
            </w:pPr>
            <w:r>
              <w:rPr>
                <w:rFonts w:ascii="B Nazanin" w:hAnsi="B Nazanin"/>
                <w:b/>
                <w:sz w:val="20"/>
              </w:rPr>
              <w:t>محور چالش روان‌سنجی</w:t>
            </w:r>
          </w:p>
        </w:tc>
        <w:tc>
          <w:tcPr>
            <w:tcW w:type="dxa" w:w="1728"/>
          </w:tcPr>
          <w:p>
            <w:pPr>
              <w:bidi/>
              <w:jc w:val="center"/>
            </w:pPr>
            <w:r>
              <w:rPr>
                <w:rFonts w:ascii="B Nazanin" w:hAnsi="B Nazanin"/>
                <w:b/>
                <w:sz w:val="20"/>
              </w:rPr>
              <w:t>پرسش محوری داور</w:t>
            </w:r>
          </w:p>
        </w:tc>
        <w:tc>
          <w:tcPr>
            <w:tcW w:type="dxa" w:w="1728"/>
          </w:tcPr>
          <w:p>
            <w:pPr>
              <w:bidi/>
              <w:jc w:val="center"/>
            </w:pPr>
            <w:r>
              <w:rPr>
                <w:rFonts w:ascii="B Nazanin" w:hAnsi="B Nazanin"/>
                <w:b/>
                <w:sz w:val="20"/>
              </w:rPr>
              <w:t>نتیجه ارزیابی</w:t>
            </w:r>
          </w:p>
        </w:tc>
      </w:tr>
      <w:tr>
        <w:tc>
          <w:tcPr>
            <w:tcW w:type="dxa" w:w="1728"/>
          </w:tcPr>
          <w:p>
            <w:pPr>
              <w:bidi/>
              <w:jc w:val="center"/>
            </w:pPr>
            <w:r>
              <w:rPr>
                <w:rFonts w:ascii="Times New Roman" w:hAnsi="Times New Roman"/>
                <w:sz w:val="20"/>
              </w:rPr>
              <w:t>Q1</w:t>
            </w:r>
          </w:p>
        </w:tc>
        <w:tc>
          <w:tcPr>
            <w:tcW w:type="dxa" w:w="1728"/>
          </w:tcPr>
          <w:p>
            <w:pPr>
              <w:bidi/>
              <w:jc w:val="center"/>
            </w:pPr>
            <w:r>
              <w:rPr>
                <w:rFonts w:ascii="B Nazanin" w:hAnsi="B Nazanin"/>
                <w:sz w:val="20"/>
              </w:rPr>
              <w:t>استاد داور خارجی (روان‌سنجی)</w:t>
            </w:r>
          </w:p>
        </w:tc>
        <w:tc>
          <w:tcPr>
            <w:tcW w:type="dxa" w:w="1728"/>
          </w:tcPr>
          <w:p>
            <w:pPr>
              <w:bidi/>
              <w:jc w:val="center"/>
            </w:pPr>
            <w:r>
              <w:rPr>
                <w:rFonts w:ascii="Times New Roman" w:hAnsi="Times New Roman"/>
                <w:sz w:val="20"/>
              </w:rPr>
              <w:t>روایی محتوایی و حد نصاب لاشه (Lawshe CVR)</w:t>
            </w:r>
          </w:p>
        </w:tc>
        <w:tc>
          <w:tcPr>
            <w:tcW w:type="dxa" w:w="1728"/>
          </w:tcPr>
          <w:p>
            <w:pPr>
              <w:bidi/>
              <w:jc w:val="center"/>
            </w:pPr>
            <w:r>
              <w:rPr>
                <w:rFonts w:ascii="Times New Roman" w:hAnsi="Times New Roman"/>
                <w:sz w:val="20"/>
              </w:rPr>
              <w:t>چرا علی‌رغم دامنه متغیر آماره CVR بین ۰.۶۶۷ تا ۱.۰۰۰ در بین گویه‌ها، هیچ گویه‌ای حذف نگردید؟</w:t>
            </w:r>
          </w:p>
        </w:tc>
        <w:tc>
          <w:tcPr>
            <w:tcW w:type="dxa" w:w="1728"/>
          </w:tcPr>
          <w:p>
            <w:pPr>
              <w:bidi/>
              <w:jc w:val="center"/>
            </w:pPr>
            <w:r>
              <w:rPr>
                <w:rFonts w:ascii="B Nazanin" w:hAnsi="B Nazanin"/>
                <w:sz w:val="20"/>
              </w:rPr>
              <w:t>تأیید کامل داور</w:t>
            </w:r>
          </w:p>
        </w:tc>
      </w:tr>
      <w:tr>
        <w:tc>
          <w:tcPr>
            <w:tcW w:type="dxa" w:w="1728"/>
          </w:tcPr>
          <w:p>
            <w:pPr>
              <w:bidi/>
              <w:jc w:val="center"/>
            </w:pPr>
            <w:r>
              <w:rPr>
                <w:rFonts w:ascii="Times New Roman" w:hAnsi="Times New Roman"/>
                <w:sz w:val="20"/>
              </w:rPr>
              <w:t>Q2</w:t>
            </w:r>
          </w:p>
        </w:tc>
        <w:tc>
          <w:tcPr>
            <w:tcW w:type="dxa" w:w="1728"/>
          </w:tcPr>
          <w:p>
            <w:pPr>
              <w:bidi/>
              <w:jc w:val="center"/>
            </w:pPr>
            <w:r>
              <w:rPr>
                <w:rFonts w:ascii="B Nazanin" w:hAnsi="B Nazanin"/>
                <w:sz w:val="20"/>
              </w:rPr>
              <w:t>استاد داور داخلی (روش‌شناسی)</w:t>
            </w:r>
          </w:p>
        </w:tc>
        <w:tc>
          <w:tcPr>
            <w:tcW w:type="dxa" w:w="1728"/>
          </w:tcPr>
          <w:p>
            <w:pPr>
              <w:bidi/>
              <w:jc w:val="center"/>
            </w:pPr>
            <w:r>
              <w:rPr>
                <w:rFonts w:ascii="B Nazanin" w:hAnsi="B Nazanin"/>
                <w:sz w:val="20"/>
              </w:rPr>
              <w:t>سلسله‌مراتب ناوردایی اندازه‌گیری و مقایسه میانگین دو جنس</w:t>
            </w:r>
          </w:p>
        </w:tc>
        <w:tc>
          <w:tcPr>
            <w:tcW w:type="dxa" w:w="1728"/>
          </w:tcPr>
          <w:p>
            <w:pPr>
              <w:bidi/>
              <w:jc w:val="center"/>
            </w:pPr>
            <w:r>
              <w:rPr>
                <w:rFonts w:ascii="Times New Roman" w:hAnsi="Times New Roman"/>
                <w:sz w:val="20"/>
              </w:rPr>
              <w:t>چرا احراز ناوردایی اسکالر برای مقایسه میانگین نمرات دختران و پسران ضروری است و چگونه عدم وجود DIF این استنتاج را پشتیبانی می‌کند؟</w:t>
            </w:r>
          </w:p>
        </w:tc>
        <w:tc>
          <w:tcPr>
            <w:tcW w:type="dxa" w:w="1728"/>
          </w:tcPr>
          <w:p>
            <w:pPr>
              <w:bidi/>
              <w:jc w:val="center"/>
            </w:pPr>
            <w:r>
              <w:rPr>
                <w:rFonts w:ascii="B Nazanin" w:hAnsi="B Nazanin"/>
                <w:sz w:val="20"/>
              </w:rPr>
              <w:t>تأیید کامل داور</w:t>
            </w:r>
          </w:p>
        </w:tc>
      </w:tr>
      <w:tr>
        <w:tc>
          <w:tcPr>
            <w:tcW w:type="dxa" w:w="1728"/>
          </w:tcPr>
          <w:p>
            <w:pPr>
              <w:bidi/>
              <w:jc w:val="center"/>
            </w:pPr>
            <w:r>
              <w:rPr>
                <w:rFonts w:ascii="Times New Roman" w:hAnsi="Times New Roman"/>
                <w:sz w:val="20"/>
              </w:rPr>
              <w:t>Q3</w:t>
            </w:r>
          </w:p>
        </w:tc>
        <w:tc>
          <w:tcPr>
            <w:tcW w:type="dxa" w:w="1728"/>
          </w:tcPr>
          <w:p>
            <w:pPr>
              <w:bidi/>
              <w:jc w:val="center"/>
            </w:pPr>
            <w:r>
              <w:rPr>
                <w:rFonts w:ascii="Times New Roman" w:hAnsi="Times New Roman"/>
                <w:sz w:val="20"/>
              </w:rPr>
              <w:t>استاد مشاور / متخصص بالینی</w:t>
            </w:r>
          </w:p>
        </w:tc>
        <w:tc>
          <w:tcPr>
            <w:tcW w:type="dxa" w:w="1728"/>
          </w:tcPr>
          <w:p>
            <w:pPr>
              <w:bidi/>
              <w:jc w:val="center"/>
            </w:pPr>
            <w:r>
              <w:rPr>
                <w:rFonts w:ascii="Times New Roman" w:hAnsi="Times New Roman"/>
                <w:sz w:val="20"/>
              </w:rPr>
              <w:t>کاربرد بالینی نقطه برش ROC و توازن خطاهای غربالگری</w:t>
            </w:r>
          </w:p>
        </w:tc>
        <w:tc>
          <w:tcPr>
            <w:tcW w:type="dxa" w:w="1728"/>
          </w:tcPr>
          <w:p>
            <w:pPr>
              <w:bidi/>
              <w:jc w:val="center"/>
            </w:pPr>
            <w:r>
              <w:rPr>
                <w:rFonts w:ascii="Times New Roman" w:hAnsi="Times New Roman"/>
                <w:sz w:val="20"/>
              </w:rPr>
              <w:t>نقطه برش ۴۸ چگونه در غربالگری مدارس و کلینیک‌ها توجیه می‌شود و توازن بین خطای مثبت کاذب و منفی کاذب چگونه تنظیم شده است؟</w:t>
            </w:r>
          </w:p>
        </w:tc>
        <w:tc>
          <w:tcPr>
            <w:tcW w:type="dxa" w:w="1728"/>
          </w:tcPr>
          <w:p>
            <w:pPr>
              <w:bidi/>
              <w:jc w:val="center"/>
            </w:pPr>
            <w:r>
              <w:rPr>
                <w:rFonts w:ascii="B Nazanin" w:hAnsi="B Nazanin"/>
                <w:sz w:val="20"/>
              </w:rPr>
              <w:t>تأیید کامل داور</w:t>
            </w:r>
          </w:p>
        </w:tc>
      </w:tr>
      <w:tr>
        <w:tc>
          <w:tcPr>
            <w:tcW w:type="dxa" w:w="1728"/>
          </w:tcPr>
          <w:p>
            <w:pPr>
              <w:bidi/>
              <w:jc w:val="center"/>
            </w:pPr>
            <w:r>
              <w:rPr>
                <w:rFonts w:ascii="Times New Roman" w:hAnsi="Times New Roman"/>
                <w:sz w:val="20"/>
              </w:rPr>
              <w:t>Q4</w:t>
            </w:r>
          </w:p>
        </w:tc>
        <w:tc>
          <w:tcPr>
            <w:tcW w:type="dxa" w:w="1728"/>
          </w:tcPr>
          <w:p>
            <w:pPr>
              <w:bidi/>
              <w:jc w:val="center"/>
            </w:pPr>
            <w:r>
              <w:rPr>
                <w:rFonts w:ascii="B Nazanin" w:hAnsi="B Nazanin"/>
                <w:sz w:val="20"/>
              </w:rPr>
              <w:t>استاد راهنما (سنجش و اندازه‌گیری)</w:t>
            </w:r>
          </w:p>
        </w:tc>
        <w:tc>
          <w:tcPr>
            <w:tcW w:type="dxa" w:w="1728"/>
          </w:tcPr>
          <w:p>
            <w:pPr>
              <w:bidi/>
              <w:jc w:val="center"/>
            </w:pPr>
            <w:r>
              <w:rPr>
                <w:rFonts w:ascii="Times New Roman" w:hAnsi="Times New Roman"/>
                <w:sz w:val="20"/>
              </w:rPr>
              <w:t>تمایز پارادایمی نظریه کلاسیک آزمون (CTT) و نظریه نوین واکنش گویه (IRT)</w:t>
            </w:r>
          </w:p>
        </w:tc>
        <w:tc>
          <w:tcPr>
            <w:tcW w:type="dxa" w:w="1728"/>
          </w:tcPr>
          <w:p>
            <w:pPr>
              <w:bidi/>
              <w:jc w:val="center"/>
            </w:pPr>
            <w:r>
              <w:rPr>
                <w:rFonts w:ascii="Times New Roman" w:hAnsi="Times New Roman"/>
                <w:sz w:val="20"/>
              </w:rPr>
              <w:t>چه ضرورت روش‌شناختی برای گزارش همزمان CTT و IRT وجود داشت و مدل سامیجیما چه اطلاعات افزوده‌ای ارائه داد؟</w:t>
            </w:r>
          </w:p>
        </w:tc>
        <w:tc>
          <w:tcPr>
            <w:tcW w:type="dxa" w:w="1728"/>
          </w:tcPr>
          <w:p>
            <w:pPr>
              <w:bidi/>
              <w:jc w:val="center"/>
            </w:pPr>
            <w:r>
              <w:rPr>
                <w:rFonts w:ascii="B Nazanin" w:hAnsi="B Nazanin"/>
                <w:sz w:val="20"/>
              </w:rPr>
              <w:t>تأیید کامل داور</w:t>
            </w:r>
          </w:p>
        </w:tc>
      </w:tr>
    </w:tbl>
    <w:p>
      <w:pPr>
        <w:bidi/>
        <w:jc w:val="both"/>
      </w:pPr>
      <w:r>
        <w:rPr>
          <w:rFonts w:ascii="B Nazanin" w:hAnsi="B Nazanin"/>
          <w:i/>
          <w:sz w:val="20"/>
        </w:rPr>
        <w:t>یادداشت. کلیه پاسخ‌های داوطلب بر اساس یافته‌های تجربی و استانداردهای لاشه، لین، هو و بنتلر، چن و سامیجیما ارائه گردید.</w:t>
      </w:r>
    </w:p>
    <w:p>
      <w:pPr>
        <w:bidi/>
        <w:jc w:val="right"/>
      </w:pPr>
      <w:r>
        <w:rPr>
          <w:rFonts w:ascii="B Titr" w:hAnsi="B Titr"/>
          <w:b/>
          <w:sz w:val="26"/>
          <w:rFonts w:ascii="B Titr" w:hAnsi="B Titr" w:cs="B Titr"/>
          <w:rtl/>
        </w:rPr>
        <w:t>۲. شرح تفصیلی دفاعیات و استدلال‌های تخصصی داوطلب</w:t>
      </w:r>
    </w:p>
    <w:p>
      <w:pPr>
        <w:bidi/>
        <w:jc w:val="right"/>
      </w:pPr>
      <w:r>
        <w:rPr>
          <w:rFonts w:ascii="B Titr" w:hAnsi="B Titr"/>
          <w:b/>
          <w:sz w:val="26"/>
          <w:rFonts w:ascii="B Titr" w:hAnsi="B Titr" w:cs="B Titr"/>
          <w:rtl/>
        </w:rPr>
        <w:t>Q1 — روایی محتوایی و حد نصاب لاشه (Lawshe CVR) (استاد داور خارجی (روان‌سنجی))</w:t>
      </w:r>
    </w:p>
    <w:p>
      <w:pPr>
        <w:bidi/>
        <w:jc w:val="both"/>
      </w:pPr>
      <w:r>
        <w:rPr>
          <w:rFonts w:ascii="B Nazanin" w:hAnsi="B Nazanin"/>
          <w:b/>
          <w:i w:val="0"/>
          <w:sz w:val="26"/>
          <w:rFonts w:ascii="B Nazanin" w:hAnsi="B Nazanin" w:cs="B Nazanin"/>
          <w:rtl/>
        </w:rPr>
        <w:t>پرسش داور: چرا علی‌رغم دامنه متغیر آماره CVR بین ۰.۶۶۷ تا ۱.۰۰۰ در بین گویه‌ها، هیچ گویه‌ای حذف نگردید؟</w:t>
      </w:r>
    </w:p>
    <w:p>
      <w:pPr>
        <w:bidi/>
        <w:jc w:val="both"/>
      </w:pPr>
      <w:r>
        <w:rPr>
          <w:rFonts w:ascii="B Nazanin" w:hAnsi="B Nazanin"/>
          <w:b w:val="0"/>
          <w:i w:val="0"/>
          <w:sz w:val="26"/>
          <w:rFonts w:ascii="B Nazanin" w:hAnsi="B Nazanin" w:cs="B Nazanin"/>
          <w:rtl/>
        </w:rPr>
        <w:t>پاسخ مستدل داوطلب: بر اساس جدول استاندارد لاشه (۱۹۷۵)، مقدار بحرانی آماره CVR برای پنل ۱۲ نفره از متخصصان در سطح خطای یک‌دامنه ۰.۰۵ برابر با ۰.۵۶ است. پایین‌ترین مقدار مشاهده‌شده در بین ۲۰ گویه برابر با ۰.۶۶۷ (۱۰ رأی ضروری از ۱۲ رأی) بوده که فراتر از آستانه بحرانی لاشه است. همچنین تمامی گویه‌ها شاخص I-CVI بالاتر از ۰.۷۸ لین (۱۹۸۶) و شاخص نمره تأثیر بالاتر از ۱.۵ را احراز نمودند؛ لذا حذف هر گویه موجب نقض روایی محتوایی و نقص در پوشش نظری سازه می‌گردید.</w:t>
      </w:r>
    </w:p>
    <w:p>
      <w:pPr>
        <w:bidi/>
        <w:jc w:val="right"/>
      </w:pPr>
      <w:r>
        <w:rPr>
          <w:rFonts w:ascii="B Titr" w:hAnsi="B Titr"/>
          <w:b/>
          <w:sz w:val="26"/>
          <w:rFonts w:ascii="B Titr" w:hAnsi="B Titr" w:cs="B Titr"/>
          <w:rtl/>
        </w:rPr>
        <w:t>Q2 — سلسله‌مراتب ناوردایی اندازه‌گیری و مقایسه میانگین دو جنس (استاد داور داخلی (روش‌شناسی))</w:t>
      </w:r>
    </w:p>
    <w:p>
      <w:pPr>
        <w:bidi/>
        <w:jc w:val="both"/>
      </w:pPr>
      <w:r>
        <w:rPr>
          <w:rFonts w:ascii="B Nazanin" w:hAnsi="B Nazanin"/>
          <w:b/>
          <w:i w:val="0"/>
          <w:sz w:val="26"/>
          <w:rFonts w:ascii="B Nazanin" w:hAnsi="B Nazanin" w:cs="B Nazanin"/>
          <w:rtl/>
        </w:rPr>
        <w:t>پرسش داور: چرا احراز ناوردایی اسکالر برای مقایسه میانگین نمرات دختران و پسران ضروری است و چگونه عدم وجود DIF این استنتاج را پشتیبانی می‌کند؟</w:t>
      </w:r>
    </w:p>
    <w:p>
      <w:pPr>
        <w:bidi/>
        <w:jc w:val="both"/>
      </w:pPr>
      <w:r>
        <w:rPr>
          <w:rFonts w:ascii="B Nazanin" w:hAnsi="B Nazanin"/>
          <w:b w:val="0"/>
          <w:i w:val="0"/>
          <w:sz w:val="26"/>
          <w:rFonts w:ascii="B Nazanin" w:hAnsi="B Nazanin" w:cs="B Nazanin"/>
          <w:rtl/>
        </w:rPr>
        <w:t>پاسخ مستدل داوطلب: بر اساس چارچوب چندگروهی مرودن و چن (۲۰۰۷)، ناوردایی متری صرفاً برابری بارهای عاملی را اثبات می‌کند؛ در حالی که مقایسه میانگین گروه‌ها مستلزم احراز ناوردایی اسکالر (برابری عرض از مبدأها) است تا اطمینان حاصل شود که تفاوت میانگین‌ها واقعی بوده و ناشی از تفاوت در مقیاس پاسخ یا وزن گویه‌ها نیست. تغییرات ΔCFI = -۰.۰۰۴ و ΔRMSEA = ۰.۰۰۱ در الگوی ۳ کاملاً در محدوده استاندارد چن بود. علاوه بر این، در مدل IRT، تحلیل مانتل-هنزل تمامی ۲۰ گویه را در رده کلاس A (فاقد DIF) قرار داد که مؤید بی‌طرفی کامل گویه‌ها نسبت به جنسیت است.</w:t>
      </w:r>
    </w:p>
    <w:p>
      <w:pPr>
        <w:bidi/>
        <w:jc w:val="right"/>
      </w:pPr>
      <w:r>
        <w:rPr>
          <w:rFonts w:ascii="B Titr" w:hAnsi="B Titr"/>
          <w:b/>
          <w:sz w:val="26"/>
          <w:rFonts w:ascii="B Titr" w:hAnsi="B Titr" w:cs="B Titr"/>
          <w:rtl/>
        </w:rPr>
        <w:t>Q3 — کاربرد بالینی نقطه برش ROC و توازن خطاهای غربالگری (استاد مشاور / متخصص بالینی)</w:t>
      </w:r>
    </w:p>
    <w:p>
      <w:pPr>
        <w:bidi/>
        <w:jc w:val="both"/>
      </w:pPr>
      <w:r>
        <w:rPr>
          <w:rFonts w:ascii="B Nazanin" w:hAnsi="B Nazanin"/>
          <w:b/>
          <w:i w:val="0"/>
          <w:sz w:val="26"/>
          <w:rFonts w:ascii="B Nazanin" w:hAnsi="B Nazanin" w:cs="B Nazanin"/>
          <w:rtl/>
        </w:rPr>
        <w:t>پرسش داور: نقطه برش ۴۸ چگونه در غربالگری مدارس و کلینیک‌ها توجیه می‌شود و توازن بین خطای مثبت کاذب و منفی کاذب چگونه تنظیم شده است؟</w:t>
      </w:r>
    </w:p>
    <w:p>
      <w:pPr>
        <w:bidi/>
        <w:jc w:val="both"/>
      </w:pPr>
      <w:r>
        <w:rPr>
          <w:rFonts w:ascii="B Nazanin" w:hAnsi="B Nazanin"/>
          <w:b w:val="0"/>
          <w:i w:val="0"/>
          <w:sz w:val="26"/>
          <w:rFonts w:ascii="B Nazanin" w:hAnsi="B Nazanin" w:cs="B Nazanin"/>
          <w:rtl/>
        </w:rPr>
        <w:t>پاسخ مستدل داوطلب: تحلیل منحنی ROC با کسب سطح زیر منحنی ۰.۸۷۲ (۰.۰۰۱ &gt; p) نشان‌دهنده دقت تشخیصی عالی است. بر مبنای شاخص یودن (J = ۰.۶۵۷)، نمره ۴۸.۰ حداکثر توازن تجربی را بین حساسیت (۸۴.۵٪) و ویژگی (۸۱.۲٪) فراهم می‌آورد. این نقطه برش ارزش اخباری منفی بالایی معادل ۸۶.۸٪ ایجاد می‌کند که در غربالگری‌های پیشگیرانه مدارس بسیار حیاتی است؛ زیرا خطر نادیده گرفتن دانش‌آموزان در معرض آسیب‌های شدید سایبری (منفی کاذب) را به حداقل ممکن کاهش می‌دهد.</w:t>
      </w:r>
    </w:p>
    <w:p>
      <w:pPr>
        <w:bidi/>
        <w:jc w:val="right"/>
      </w:pPr>
      <w:r>
        <w:rPr>
          <w:rFonts w:ascii="B Titr" w:hAnsi="B Titr"/>
          <w:b/>
          <w:sz w:val="26"/>
          <w:rFonts w:ascii="B Titr" w:hAnsi="B Titr" w:cs="B Titr"/>
          <w:rtl/>
        </w:rPr>
        <w:t>Q4 — تمایز پارادایمی نظریه کلاسیک آزمون (CTT) و نظریه نوین واکنش گویه (IRT) (استاد راهنما (سنجش و اندازه‌گیری))</w:t>
      </w:r>
    </w:p>
    <w:p>
      <w:pPr>
        <w:bidi/>
        <w:jc w:val="both"/>
      </w:pPr>
      <w:r>
        <w:rPr>
          <w:rFonts w:ascii="B Nazanin" w:hAnsi="B Nazanin"/>
          <w:b/>
          <w:i w:val="0"/>
          <w:sz w:val="26"/>
          <w:rFonts w:ascii="B Nazanin" w:hAnsi="B Nazanin" w:cs="B Nazanin"/>
          <w:rtl/>
        </w:rPr>
        <w:t>پرسش داور: چه ضرورت روش‌شناختی برای گزارش همزمان CTT و IRT وجود داشت و مدل سامیجیما چه اطلاعات افزوده‌ای ارائه داد؟</w:t>
      </w:r>
    </w:p>
    <w:p>
      <w:pPr>
        <w:bidi/>
        <w:jc w:val="both"/>
      </w:pPr>
      <w:r>
        <w:rPr>
          <w:rFonts w:ascii="B Nazanin" w:hAnsi="B Nazanin"/>
          <w:b w:val="0"/>
          <w:i w:val="0"/>
          <w:sz w:val="26"/>
          <w:rFonts w:ascii="B Nazanin" w:hAnsi="B Nazanin" w:cs="B Nazanin"/>
          <w:rtl/>
        </w:rPr>
        <w:t>پاسخ مستدل داوطلب: نظریه کلاسیک آزمون پارامترهایی وابسته به نمونه (نظیر آلفا و همبستگی گویه-کل) ارائه می‌دهد و خطای معیار اندازه‌گیری را در تمام سطوح صفت یکسان فرض می‌کند؛ در مقابل، مدل پاسخ مدرج سامیجیما (GRM) در چارچوب IRT، پارامترهای تشخیص (a) و دشواری آستانه‌ها (b) را به صورت ناوابسته به نمونه برآورد نموده و تابع آگاهی آزمون (TIF) را محاسبه کرد که نشان داد مقیاس CAV-S در محدوده صفت مکنون متوسط به بالا (θ = ۰.۴۵) دارای حداکثر دقت اندازه‌گیری (اطلاعات ۳۱.۴۰ و خطای ۰.۱۷۸) است که دقیقاً منطبق بر نیاز سنجش در جامعه در معرض خطر می‌باشد.</w:t>
      </w:r>
    </w:p>
    <w:p>
      <w:pPr>
        <w:bidi/>
        <w:jc w:val="right"/>
      </w:pPr>
      <w:r>
        <w:rPr>
          <w:rFonts w:ascii="B Titr" w:hAnsi="B Titr"/>
          <w:b/>
          <w:sz w:val="26"/>
          <w:rFonts w:ascii="B Titr" w:hAnsi="B Titr" w:cs="B Titr"/>
          <w:rtl/>
        </w:rPr>
        <w:t>۳. نتیجه‌گیری و صدور رأی نهایی هیئت داوران</w:t>
      </w:r>
    </w:p>
    <w:p>
      <w:pPr>
        <w:bidi/>
        <w:jc w:val="both"/>
      </w:pPr>
      <w:r>
        <w:rPr>
          <w:rFonts w:ascii="B Nazanin" w:hAnsi="B Nazanin"/>
          <w:b w:val="0"/>
          <w:i w:val="0"/>
          <w:sz w:val="26"/>
          <w:rFonts w:ascii="B Nazanin" w:hAnsi="B Nazanin" w:cs="B Nazanin"/>
          <w:rtl/>
        </w:rPr>
        <w:t>هیئت داوران با توجه به رعایت دقیق موازین روان‌سنجی در هر دو رویکرد نظریه کلاسیک آزمون (CTT) و نظریه واکنش گویه (IRT)، احراز ناوردایی کامل جنسیتی، و تعیین دقیق نقطه برش بالینی بر اساس تحلیل تشخیصی ROC، رساله حاضر را با درجه عالی (Accepted with Highest Honors) و کسب نمره کامل مورد پذیرش نهایی قرار دادند.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