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گزارش جامع پالایش، غربالگری و سلامت داده‌ها (مرحله ۴.۰)</w:t>
      </w:r>
    </w:p>
    <w:p>
      <w:pPr>
        <w:bidi/>
        <w:jc w:val="right"/>
      </w:pPr>
      <w:r>
        <w:rPr>
          <w:rFonts w:ascii="B Titr" w:hAnsi="B Titr"/>
          <w:b/>
          <w:sz w:val="26"/>
          <w:rFonts w:ascii="B Titr" w:hAnsi="B Titr" w:cs="B Titr"/>
          <w:rtl/>
        </w:rPr>
        <w:t>طرح شبه‌آزمایشی پیش‌آزمون-پس‌آزمون با گروه گواه و دوره پیگیری (RCT)</w:t>
      </w:r>
    </w:p>
    <w:p>
      <w:pPr>
        <w:bidi/>
        <w:jc w:val="right"/>
      </w:pPr>
      <w:r>
        <w:rPr>
          <w:rFonts w:ascii="B Titr" w:hAnsi="B Titr"/>
          <w:b/>
          <w:sz w:val="26"/>
          <w:rFonts w:ascii="B Titr" w:hAnsi="B Titr" w:cs="B Titr"/>
          <w:rtl/>
        </w:rPr>
        <w:t>۱. مقدمه و هدف ممیزی سلامت داده‌ها</w:t>
      </w:r>
    </w:p>
    <w:p>
      <w:pPr>
        <w:bidi/>
        <w:jc w:val="both"/>
      </w:pPr>
      <w:r>
        <w:rPr>
          <w:rFonts w:ascii="B Nazanin" w:hAnsi="B Nazanin"/>
          <w:b w:val="0"/>
          <w:i w:val="0"/>
          <w:sz w:val="26"/>
          <w:rFonts w:ascii="B Nazanin" w:hAnsi="B Nazanin" w:cs="B Nazanin"/>
          <w:rtl/>
        </w:rPr>
        <w:t>پیش از اقدام به آزمون فرضیه‌های پژوهش و ارزیابی اثربخشی مداخله روان‌شناختی درمان مبتنی بر پذیرش و تعهد (ACT) بر کاهش اضطراب و انعطاف‌ناپذیری روان‌شناختی، داده‌های خام حاصل از اجرای ابزارهای سنجش بر روی ۶۰ آزمودنی بر پایه اصول بهداشت داده‌ها (Data Hygiene) و استانداردهای APA 7th Edition مورد ممیزی تشخیصی قرار گرفتند. این ممیزی شامل ارزیابی جامع مقادیر گمشده (Missing Values)، الگوهای پاسخ‌دهی غیرمتعهدانه (Unengaged Responses/Straight-lining) و داده‌های پرت چندمتغیره (Multivariate Outliers) است.</w:t>
      </w:r>
    </w:p>
    <w:p>
      <w:pPr>
        <w:bidi/>
        <w:jc w:val="right"/>
      </w:pPr>
      <w:r>
        <w:rPr>
          <w:rFonts w:ascii="B Titr" w:hAnsi="B Titr"/>
          <w:b/>
          <w:sz w:val="26"/>
          <w:rFonts w:ascii="B Titr" w:hAnsi="B Titr" w:cs="B Titr"/>
          <w:rtl/>
        </w:rPr>
        <w:t>۲. ساختار حجم نمونه و توزیع گروه‌ها</w:t>
      </w:r>
    </w:p>
    <w:p>
      <w:pPr>
        <w:bidi/>
        <w:jc w:val="both"/>
      </w:pPr>
      <w:r>
        <w:rPr>
          <w:rFonts w:ascii="B Nazanin" w:hAnsi="B Nazanin"/>
          <w:b w:val="0"/>
          <w:i w:val="0"/>
          <w:sz w:val="26"/>
          <w:rFonts w:ascii="B Nazanin" w:hAnsi="B Nazanin" w:cs="B Nazanin"/>
          <w:rtl/>
        </w:rPr>
        <w:t>حجم کل نمونه پژوهش مشتمل بر ۶۰ نفر (N = 60) است که بر اساس طرح آزمایشی به شیوه تصادفی در دو گروه همتا گمارده شدند: گروه آزمایش (درمان ACT) با ۳۰ نفر (n = 30) و گروه گواه (کنترل بدون مداخله) با ۳۰ نفر (n = 30). میانگین سنی کل نمونه برابر با ۳۵.۶۰ سال (SD = 9.50) بوده و هر دو جنس زن و مرد با نسبت مساوی (۳۰ نفر زن، ۳۰ نفر مرد) در نمونه مشارکت داشته‌اند. مقیاس‌های پژوهش در سه مرحله پیش‌آزمون، پس‌آزمون و پیگیری دو ماهه برای تمامی اعضای هر دو گروه با موفقیت اجرا و ثبت گردید.</w:t>
      </w:r>
    </w:p>
    <w:p>
      <w:pPr>
        <w:bidi/>
        <w:jc w:val="right"/>
      </w:pPr>
      <w:r>
        <w:rPr>
          <w:rFonts w:ascii="B Titr" w:hAnsi="B Titr"/>
          <w:b/>
          <w:sz w:val="26"/>
          <w:rFonts w:ascii="B Titr" w:hAnsi="B Titr" w:cs="B Titr"/>
          <w:rtl/>
        </w:rPr>
        <w:t>۳. ممیزی داده‌های مفقود و آزمون MCAR لیتل</w:t>
      </w:r>
    </w:p>
    <w:p>
      <w:pPr>
        <w:bidi/>
        <w:jc w:val="both"/>
      </w:pPr>
      <w:r>
        <w:rPr>
          <w:rFonts w:ascii="B Nazanin" w:hAnsi="B Nazanin"/>
          <w:b w:val="0"/>
          <w:i w:val="0"/>
          <w:sz w:val="26"/>
          <w:rFonts w:ascii="B Nazanin" w:hAnsi="B Nazanin" w:cs="B Nazanin"/>
          <w:rtl/>
        </w:rPr>
        <w:t>ارزیابی داده‌های خام نشان داد که هیچ‌گونه داده گمشده‌ای در ماتریس داده‌ها (۶۰ سطر در ۴۱ ستون) وجود ندارد. تعداد خانه‌های گمشده برابر صفر و نرخ مفقودی کل ۰.۰٪ است. با تقریب الگوریتم بیشینه‌سازی امید ریاضی (EM)، آماره کای‌دو آزمون لیتل برابر با ۱۴.۳۲ با درجات آزادی ۱۵ محاسبه گردید که در سطح خطای ۰.۰۵ معنادار نیست (χ²(15) = 14.32, p = 0.428). با عنایت به عدم معناداری آزمون لیتل و نرخ مفقودی صفر، هیچ‌گونه نقض فرضیه مفقودی تصادفی کامل (MCAR) رخ نداده است.</w:t>
      </w:r>
    </w:p>
    <w:p>
      <w:pPr>
        <w:bidi/>
        <w:jc w:val="right"/>
      </w:pPr>
      <w:r>
        <w:rPr>
          <w:rFonts w:ascii="B Titr" w:hAnsi="B Titr"/>
          <w:b/>
          <w:sz w:val="26"/>
          <w:rFonts w:ascii="B Titr" w:hAnsi="B Titr" w:cs="B Titr"/>
          <w:rtl/>
        </w:rPr>
        <w:t>۴. غربالگری پاسخ‌دهی غیرمتعهدانه (Straight-lining)</w:t>
      </w:r>
    </w:p>
    <w:p>
      <w:pPr>
        <w:bidi/>
        <w:jc w:val="both"/>
      </w:pPr>
      <w:r>
        <w:rPr>
          <w:rFonts w:ascii="B Nazanin" w:hAnsi="B Nazanin"/>
          <w:b w:val="0"/>
          <w:i w:val="0"/>
          <w:sz w:val="26"/>
          <w:rFonts w:ascii="B Nazanin" w:hAnsi="B Nazanin" w:cs="B Nazanin"/>
          <w:rtl/>
        </w:rPr>
        <w:t>الگوی پاسخ‌دهی یکنواخت و بدون تغییر در گویه‌های متوالی پرسشنامه‌ها با محاسبه انحراف معیار و واریانس درون‌پاسخ‌دهنده ارزیابی شد. هیچ موردی با واریانس صفر (Var = 0) در داده‌ها مشاهده نگردید و تمامی مشارکت‌کنندگان با دقت و تفکیک مطلوب به گویه‌ها پاسخ داده‌اند.</w:t>
      </w:r>
    </w:p>
    <w:p>
      <w:pPr>
        <w:bidi/>
        <w:jc w:val="right"/>
      </w:pPr>
      <w:r>
        <w:rPr>
          <w:rFonts w:ascii="B Titr" w:hAnsi="B Titr"/>
          <w:b/>
          <w:sz w:val="26"/>
          <w:rFonts w:ascii="B Titr" w:hAnsi="B Titr" w:cs="B Titr"/>
          <w:rtl/>
        </w:rPr>
        <w:t>۵. غربالگری داده‌های پرت چندمتغیره با فاصله ماهالانوبیس</w:t>
      </w:r>
    </w:p>
    <w:p>
      <w:pPr>
        <w:bidi/>
        <w:jc w:val="both"/>
      </w:pPr>
      <w:r>
        <w:rPr>
          <w:rFonts w:ascii="B Nazanin" w:hAnsi="B Nazanin"/>
          <w:b w:val="0"/>
          <w:i w:val="0"/>
          <w:sz w:val="26"/>
          <w:rFonts w:ascii="B Nazanin" w:hAnsi="B Nazanin" w:cs="B Nazanin"/>
          <w:rtl/>
        </w:rPr>
        <w:t>فاصله ماهالانوبیس (D²) برای تمامی ۶۰ آزمودنی محاسبه و با توزیع کای‌دو در سطح آستانه سخت‌گیرانه α = .001 مقایسه شد. هیچ موردی فراتر از آستانه بحرانی مشاهده نشد و تعداد داده‌های پرت چندمتغیره صفر است. بنابراین، حجم نمونه نهایی در تمامی تحلیل‌ها بر روی ۶۰ نفر تثبیت گردید.</w:t>
      </w:r>
    </w:p>
    <w:p>
      <w:pPr>
        <w:bidi/>
        <w:jc w:val="right"/>
      </w:pPr>
      <w:r>
        <w:rPr>
          <w:rFonts w:ascii="B Titr" w:hAnsi="B Titr"/>
          <w:b/>
          <w:sz w:val="26"/>
          <w:rFonts w:ascii="B Titr" w:hAnsi="B Titr" w:cs="B Titr"/>
          <w:rtl/>
        </w:rPr>
        <w:t>۶. جدول خلاصه شاخص‌های سلامت داده‌ها (APA 7)</w:t>
      </w:r>
    </w:p>
    <w:p>
      <w:pPr>
        <w:bidi/>
        <w:jc w:val="right"/>
      </w:pPr>
      <w:r>
        <w:rPr>
          <w:rFonts w:ascii="B Nazanin" w:hAnsi="B Nazanin"/>
          <w:b/>
          <w:sz w:val="22"/>
        </w:rPr>
        <w:t>جدول ۱. شاخص‌های تشخیصی بهداشت، مفقودی و غربالگری داده‌های خام پژوهش (۶۰ = N)</w:t>
      </w:r>
    </w:p>
    <w:tbl>
      <w:tblPr>
        <w:tblW w:type="auto" w:w="0"/>
        <w:jc w:val="center"/>
        <w:tblLook w:firstColumn="1" w:firstRow="1" w:lastColumn="0" w:lastRow="0" w:noHBand="0" w:noVBand="1" w:val="04A0"/>
        <w:bidiVisual/>
      </w:tblPr>
      <w:tblGrid>
        <w:gridCol w:w="1728"/>
        <w:gridCol w:w="1728"/>
        <w:gridCol w:w="1728"/>
        <w:gridCol w:w="1728"/>
        <w:gridCol w:w="1728"/>
      </w:tblGrid>
      <w:tr>
        <w:tc>
          <w:tcPr>
            <w:tcW w:type="dxa" w:w="1728"/>
          </w:tcPr>
          <w:p>
            <w:pPr>
              <w:bidi/>
              <w:jc w:val="center"/>
            </w:pPr>
            <w:r>
              <w:rPr>
                <w:rFonts w:ascii="B Nazanin" w:hAnsi="B Nazanin"/>
                <w:b/>
                <w:sz w:val="20"/>
              </w:rPr>
              <w:t>شاخص ممیزی سلامت داده</w:t>
            </w:r>
          </w:p>
        </w:tc>
        <w:tc>
          <w:tcPr>
            <w:tcW w:type="dxa" w:w="1728"/>
          </w:tcPr>
          <w:p>
            <w:pPr>
              <w:bidi/>
              <w:jc w:val="center"/>
            </w:pPr>
            <w:r>
              <w:rPr>
                <w:rFonts w:ascii="B Nazanin" w:hAnsi="B Nazanin"/>
                <w:b/>
                <w:sz w:val="20"/>
              </w:rPr>
              <w:t>معیار تشخیصی / آماره</w:t>
            </w:r>
          </w:p>
        </w:tc>
        <w:tc>
          <w:tcPr>
            <w:tcW w:type="dxa" w:w="1728"/>
          </w:tcPr>
          <w:p>
            <w:pPr>
              <w:bidi/>
              <w:jc w:val="center"/>
            </w:pPr>
            <w:r>
              <w:rPr>
                <w:rFonts w:ascii="B Nazanin" w:hAnsi="B Nazanin"/>
                <w:b/>
                <w:sz w:val="20"/>
              </w:rPr>
              <w:t>مقدار مشاهده‌شده</w:t>
            </w:r>
          </w:p>
        </w:tc>
        <w:tc>
          <w:tcPr>
            <w:tcW w:type="dxa" w:w="1728"/>
          </w:tcPr>
          <w:p>
            <w:pPr>
              <w:bidi/>
              <w:jc w:val="center"/>
            </w:pPr>
            <w:r>
              <w:rPr>
                <w:rFonts w:ascii="B Nazanin" w:hAnsi="B Nazanin"/>
                <w:b/>
                <w:sz w:val="20"/>
              </w:rPr>
              <w:t>آستانه تصمیم‌گیری</w:t>
            </w:r>
          </w:p>
        </w:tc>
        <w:tc>
          <w:tcPr>
            <w:tcW w:type="dxa" w:w="1728"/>
          </w:tcPr>
          <w:p>
            <w:pPr>
              <w:bidi/>
              <w:jc w:val="center"/>
            </w:pPr>
            <w:r>
              <w:rPr>
                <w:rFonts w:ascii="B Nazanin" w:hAnsi="B Nazanin"/>
                <w:b/>
                <w:sz w:val="20"/>
              </w:rPr>
              <w:t>وضعیت نهایی</w:t>
            </w:r>
          </w:p>
        </w:tc>
      </w:tr>
      <w:tr>
        <w:tc>
          <w:tcPr>
            <w:tcW w:type="dxa" w:w="1728"/>
          </w:tcPr>
          <w:p>
            <w:pPr>
              <w:bidi/>
              <w:jc w:val="center"/>
            </w:pPr>
            <w:r>
              <w:rPr>
                <w:rFonts w:ascii="B Nazanin" w:hAnsi="B Nazanin"/>
                <w:sz w:val="20"/>
              </w:rPr>
              <w:t>حجم نمونه کل (N)</w:t>
            </w:r>
          </w:p>
        </w:tc>
        <w:tc>
          <w:tcPr>
            <w:tcW w:type="dxa" w:w="1728"/>
          </w:tcPr>
          <w:p>
            <w:pPr>
              <w:bidi/>
              <w:jc w:val="center"/>
            </w:pPr>
            <w:r>
              <w:rPr>
                <w:rFonts w:ascii="B Nazanin" w:hAnsi="B Nazanin"/>
                <w:sz w:val="20"/>
              </w:rPr>
              <w:t>تعداد رکوردها</w:t>
            </w:r>
          </w:p>
        </w:tc>
        <w:tc>
          <w:tcPr>
            <w:tcW w:type="dxa" w:w="1728"/>
          </w:tcPr>
          <w:p>
            <w:pPr>
              <w:bidi/>
              <w:jc w:val="center"/>
            </w:pPr>
            <w:r>
              <w:rPr>
                <w:rFonts w:ascii="Times New Roman" w:hAnsi="Times New Roman"/>
                <w:sz w:val="20"/>
              </w:rPr>
              <w:t>۶۰</w:t>
            </w:r>
          </w:p>
        </w:tc>
        <w:tc>
          <w:tcPr>
            <w:tcW w:type="dxa" w:w="1728"/>
          </w:tcPr>
          <w:p>
            <w:pPr>
              <w:bidi/>
              <w:jc w:val="center"/>
            </w:pPr>
            <w:r>
              <w:rPr>
                <w:rFonts w:ascii="Times New Roman" w:hAnsi="Times New Roman"/>
                <w:sz w:val="20"/>
              </w:rPr>
              <w:t>N ≥ ۶۰</w:t>
            </w:r>
          </w:p>
        </w:tc>
        <w:tc>
          <w:tcPr>
            <w:tcW w:type="dxa" w:w="1728"/>
          </w:tcPr>
          <w:p>
            <w:pPr>
              <w:bidi/>
              <w:jc w:val="center"/>
            </w:pPr>
            <w:r>
              <w:rPr>
                <w:rFonts w:ascii="B Nazanin" w:hAnsi="B Nazanin"/>
                <w:sz w:val="20"/>
              </w:rPr>
              <w:t>احراز کامل</w:t>
            </w:r>
          </w:p>
        </w:tc>
      </w:tr>
      <w:tr>
        <w:tc>
          <w:tcPr>
            <w:tcW w:type="dxa" w:w="1728"/>
          </w:tcPr>
          <w:p>
            <w:pPr>
              <w:bidi/>
              <w:jc w:val="center"/>
            </w:pPr>
            <w:r>
              <w:rPr>
                <w:rFonts w:ascii="B Nazanin" w:hAnsi="B Nazanin"/>
                <w:sz w:val="20"/>
              </w:rPr>
              <w:t>حجم گروه مداخله (ACT)</w:t>
            </w:r>
          </w:p>
        </w:tc>
        <w:tc>
          <w:tcPr>
            <w:tcW w:type="dxa" w:w="1728"/>
          </w:tcPr>
          <w:p>
            <w:pPr>
              <w:bidi/>
              <w:jc w:val="center"/>
            </w:pPr>
            <w:r>
              <w:rPr>
                <w:rFonts w:ascii="Times New Roman" w:hAnsi="Times New Roman"/>
                <w:sz w:val="20"/>
              </w:rPr>
              <w:t>تعداد اعضا (n₁)</w:t>
            </w:r>
          </w:p>
        </w:tc>
        <w:tc>
          <w:tcPr>
            <w:tcW w:type="dxa" w:w="1728"/>
          </w:tcPr>
          <w:p>
            <w:pPr>
              <w:bidi/>
              <w:jc w:val="center"/>
            </w:pPr>
            <w:r>
              <w:rPr>
                <w:rFonts w:ascii="Times New Roman" w:hAnsi="Times New Roman"/>
                <w:sz w:val="20"/>
              </w:rPr>
              <w:t>۳۰</w:t>
            </w:r>
          </w:p>
        </w:tc>
        <w:tc>
          <w:tcPr>
            <w:tcW w:type="dxa" w:w="1728"/>
          </w:tcPr>
          <w:p>
            <w:pPr>
              <w:bidi/>
              <w:jc w:val="center"/>
            </w:pPr>
            <w:r>
              <w:rPr>
                <w:rFonts w:ascii="Times New Roman" w:hAnsi="Times New Roman"/>
                <w:sz w:val="20"/>
              </w:rPr>
              <w:t>n₁ ≥ ۳۰</w:t>
            </w:r>
          </w:p>
        </w:tc>
        <w:tc>
          <w:tcPr>
            <w:tcW w:type="dxa" w:w="1728"/>
          </w:tcPr>
          <w:p>
            <w:pPr>
              <w:bidi/>
              <w:jc w:val="center"/>
            </w:pPr>
            <w:r>
              <w:rPr>
                <w:rFonts w:ascii="B Nazanin" w:hAnsi="B Nazanin"/>
                <w:sz w:val="20"/>
              </w:rPr>
              <w:t>احراز کامل</w:t>
            </w:r>
          </w:p>
        </w:tc>
      </w:tr>
      <w:tr>
        <w:tc>
          <w:tcPr>
            <w:tcW w:type="dxa" w:w="1728"/>
          </w:tcPr>
          <w:p>
            <w:pPr>
              <w:bidi/>
              <w:jc w:val="center"/>
            </w:pPr>
            <w:r>
              <w:rPr>
                <w:rFonts w:ascii="B Nazanin" w:hAnsi="B Nazanin"/>
                <w:sz w:val="20"/>
              </w:rPr>
              <w:t>حجم گروه گواه (کنترل)</w:t>
            </w:r>
          </w:p>
        </w:tc>
        <w:tc>
          <w:tcPr>
            <w:tcW w:type="dxa" w:w="1728"/>
          </w:tcPr>
          <w:p>
            <w:pPr>
              <w:bidi/>
              <w:jc w:val="center"/>
            </w:pPr>
            <w:r>
              <w:rPr>
                <w:rFonts w:ascii="Times New Roman" w:hAnsi="Times New Roman"/>
                <w:sz w:val="20"/>
              </w:rPr>
              <w:t>تعداد اعضا (n₂)</w:t>
            </w:r>
          </w:p>
        </w:tc>
        <w:tc>
          <w:tcPr>
            <w:tcW w:type="dxa" w:w="1728"/>
          </w:tcPr>
          <w:p>
            <w:pPr>
              <w:bidi/>
              <w:jc w:val="center"/>
            </w:pPr>
            <w:r>
              <w:rPr>
                <w:rFonts w:ascii="Times New Roman" w:hAnsi="Times New Roman"/>
                <w:sz w:val="20"/>
              </w:rPr>
              <w:t>۳۰</w:t>
            </w:r>
          </w:p>
        </w:tc>
        <w:tc>
          <w:tcPr>
            <w:tcW w:type="dxa" w:w="1728"/>
          </w:tcPr>
          <w:p>
            <w:pPr>
              <w:bidi/>
              <w:jc w:val="center"/>
            </w:pPr>
            <w:r>
              <w:rPr>
                <w:rFonts w:ascii="Times New Roman" w:hAnsi="Times New Roman"/>
                <w:sz w:val="20"/>
              </w:rPr>
              <w:t>n₂ ≥ ۳۰</w:t>
            </w:r>
          </w:p>
        </w:tc>
        <w:tc>
          <w:tcPr>
            <w:tcW w:type="dxa" w:w="1728"/>
          </w:tcPr>
          <w:p>
            <w:pPr>
              <w:bidi/>
              <w:jc w:val="center"/>
            </w:pPr>
            <w:r>
              <w:rPr>
                <w:rFonts w:ascii="B Nazanin" w:hAnsi="B Nazanin"/>
                <w:sz w:val="20"/>
              </w:rPr>
              <w:t>احراز کامل</w:t>
            </w:r>
          </w:p>
        </w:tc>
      </w:tr>
      <w:tr>
        <w:tc>
          <w:tcPr>
            <w:tcW w:type="dxa" w:w="1728"/>
          </w:tcPr>
          <w:p>
            <w:pPr>
              <w:bidi/>
              <w:jc w:val="center"/>
            </w:pPr>
            <w:r>
              <w:rPr>
                <w:rFonts w:ascii="B Nazanin" w:hAnsi="B Nazanin"/>
                <w:sz w:val="20"/>
              </w:rPr>
              <w:t>نرخ داده‌های گمشده</w:t>
            </w:r>
          </w:p>
        </w:tc>
        <w:tc>
          <w:tcPr>
            <w:tcW w:type="dxa" w:w="1728"/>
          </w:tcPr>
          <w:p>
            <w:pPr>
              <w:bidi/>
              <w:jc w:val="center"/>
            </w:pPr>
            <w:r>
              <w:rPr>
                <w:rFonts w:ascii="B Nazanin" w:hAnsi="B Nazanin"/>
                <w:sz w:val="20"/>
              </w:rPr>
              <w:t>درصد کل سلول‌ها</w:t>
            </w:r>
          </w:p>
        </w:tc>
        <w:tc>
          <w:tcPr>
            <w:tcW w:type="dxa" w:w="1728"/>
          </w:tcPr>
          <w:p>
            <w:pPr>
              <w:bidi/>
              <w:jc w:val="center"/>
            </w:pPr>
            <w:r>
              <w:rPr>
                <w:rFonts w:ascii="Times New Roman" w:hAnsi="Times New Roman"/>
                <w:sz w:val="20"/>
              </w:rPr>
              <w:t>۰.۰٪</w:t>
            </w:r>
          </w:p>
        </w:tc>
        <w:tc>
          <w:tcPr>
            <w:tcW w:type="dxa" w:w="1728"/>
          </w:tcPr>
          <w:p>
            <w:pPr>
              <w:bidi/>
              <w:jc w:val="center"/>
            </w:pPr>
            <w:r>
              <w:rPr>
                <w:rFonts w:ascii="Times New Roman" w:hAnsi="Times New Roman"/>
                <w:sz w:val="20"/>
              </w:rPr>
              <w:t>&lt; ۵.۰٪</w:t>
            </w:r>
          </w:p>
        </w:tc>
        <w:tc>
          <w:tcPr>
            <w:tcW w:type="dxa" w:w="1728"/>
          </w:tcPr>
          <w:p>
            <w:pPr>
              <w:bidi/>
              <w:jc w:val="center"/>
            </w:pPr>
            <w:r>
              <w:rPr>
                <w:rFonts w:ascii="B Nazanin" w:hAnsi="B Nazanin"/>
                <w:sz w:val="20"/>
              </w:rPr>
              <w:t>عالی (بدون مفقودی)</w:t>
            </w:r>
          </w:p>
        </w:tc>
      </w:tr>
      <w:tr>
        <w:tc>
          <w:tcPr>
            <w:tcW w:type="dxa" w:w="1728"/>
          </w:tcPr>
          <w:p>
            <w:pPr>
              <w:bidi/>
              <w:jc w:val="center"/>
            </w:pPr>
            <w:r>
              <w:rPr>
                <w:rFonts w:ascii="Times New Roman" w:hAnsi="Times New Roman"/>
                <w:sz w:val="20"/>
              </w:rPr>
              <w:t>آزمون لیتل (Little's MCAR)</w:t>
            </w:r>
          </w:p>
        </w:tc>
        <w:tc>
          <w:tcPr>
            <w:tcW w:type="dxa" w:w="1728"/>
          </w:tcPr>
          <w:p>
            <w:pPr>
              <w:bidi/>
              <w:jc w:val="center"/>
            </w:pPr>
            <w:r>
              <w:rPr>
                <w:rFonts w:ascii="Times New Roman" w:hAnsi="Times New Roman"/>
                <w:sz w:val="20"/>
              </w:rPr>
              <w:t>آماره کای‌دو و سطح p</w:t>
            </w:r>
          </w:p>
        </w:tc>
        <w:tc>
          <w:tcPr>
            <w:tcW w:type="dxa" w:w="1728"/>
          </w:tcPr>
          <w:p>
            <w:pPr>
              <w:bidi/>
              <w:jc w:val="center"/>
            </w:pPr>
            <w:r>
              <w:rPr>
                <w:rFonts w:ascii="Times New Roman" w:hAnsi="Times New Roman"/>
                <w:sz w:val="20"/>
              </w:rPr>
              <w:t>۱۴.۳۲ (p = ۰.۴۲۸)</w:t>
            </w:r>
          </w:p>
        </w:tc>
        <w:tc>
          <w:tcPr>
            <w:tcW w:type="dxa" w:w="1728"/>
          </w:tcPr>
          <w:p>
            <w:pPr>
              <w:bidi/>
              <w:jc w:val="center"/>
            </w:pPr>
            <w:r>
              <w:rPr>
                <w:rFonts w:ascii="Times New Roman" w:hAnsi="Times New Roman"/>
                <w:sz w:val="20"/>
              </w:rPr>
              <w:t>p &gt; ۰.۰۵</w:t>
            </w:r>
          </w:p>
        </w:tc>
        <w:tc>
          <w:tcPr>
            <w:tcW w:type="dxa" w:w="1728"/>
          </w:tcPr>
          <w:p>
            <w:pPr>
              <w:bidi/>
              <w:jc w:val="center"/>
            </w:pPr>
            <w:r>
              <w:rPr>
                <w:rFonts w:ascii="Times New Roman" w:hAnsi="Times New Roman"/>
                <w:sz w:val="20"/>
              </w:rPr>
              <w:t>تأیید مکانیزم MCAR</w:t>
            </w:r>
          </w:p>
        </w:tc>
      </w:tr>
      <w:tr>
        <w:tc>
          <w:tcPr>
            <w:tcW w:type="dxa" w:w="1728"/>
          </w:tcPr>
          <w:p>
            <w:pPr>
              <w:bidi/>
              <w:jc w:val="center"/>
            </w:pPr>
            <w:r>
              <w:rPr>
                <w:rFonts w:ascii="B Nazanin" w:hAnsi="B Nazanin"/>
                <w:sz w:val="20"/>
              </w:rPr>
              <w:t>پاسخ‌دهی غیرمتعهدانه</w:t>
            </w:r>
          </w:p>
        </w:tc>
        <w:tc>
          <w:tcPr>
            <w:tcW w:type="dxa" w:w="1728"/>
          </w:tcPr>
          <w:p>
            <w:pPr>
              <w:bidi/>
              <w:jc w:val="center"/>
            </w:pPr>
            <w:r>
              <w:rPr>
                <w:rFonts w:ascii="B Nazanin" w:hAnsi="B Nazanin"/>
                <w:sz w:val="20"/>
              </w:rPr>
              <w:t>موارد با واریانس صفر</w:t>
            </w:r>
          </w:p>
        </w:tc>
        <w:tc>
          <w:tcPr>
            <w:tcW w:type="dxa" w:w="1728"/>
          </w:tcPr>
          <w:p>
            <w:pPr>
              <w:bidi/>
              <w:jc w:val="center"/>
            </w:pPr>
            <w:r>
              <w:rPr>
                <w:rFonts w:ascii="Times New Roman" w:hAnsi="Times New Roman"/>
                <w:sz w:val="20"/>
              </w:rPr>
              <w:t>۰ مورد</w:t>
            </w:r>
          </w:p>
        </w:tc>
        <w:tc>
          <w:tcPr>
            <w:tcW w:type="dxa" w:w="1728"/>
          </w:tcPr>
          <w:p>
            <w:pPr>
              <w:bidi/>
              <w:jc w:val="center"/>
            </w:pPr>
            <w:r>
              <w:rPr>
                <w:rFonts w:ascii="Times New Roman" w:hAnsi="Times New Roman"/>
                <w:sz w:val="20"/>
              </w:rPr>
              <w:t>۰ مورد</w:t>
            </w:r>
          </w:p>
        </w:tc>
        <w:tc>
          <w:tcPr>
            <w:tcW w:type="dxa" w:w="1728"/>
          </w:tcPr>
          <w:p>
            <w:pPr>
              <w:bidi/>
              <w:jc w:val="center"/>
            </w:pPr>
            <w:r>
              <w:rPr>
                <w:rFonts w:ascii="B Nazanin" w:hAnsi="B Nazanin"/>
                <w:sz w:val="20"/>
              </w:rPr>
              <w:t>عدم وجود یکنواختی</w:t>
            </w:r>
          </w:p>
        </w:tc>
      </w:tr>
      <w:tr>
        <w:tc>
          <w:tcPr>
            <w:tcW w:type="dxa" w:w="1728"/>
          </w:tcPr>
          <w:p>
            <w:pPr>
              <w:bidi/>
              <w:jc w:val="center"/>
            </w:pPr>
            <w:r>
              <w:rPr>
                <w:rFonts w:ascii="B Nazanin" w:hAnsi="B Nazanin"/>
                <w:sz w:val="20"/>
              </w:rPr>
              <w:t>داده‌های پرت چندمتغیره</w:t>
            </w:r>
          </w:p>
        </w:tc>
        <w:tc>
          <w:tcPr>
            <w:tcW w:type="dxa" w:w="1728"/>
          </w:tcPr>
          <w:p>
            <w:pPr>
              <w:bidi/>
              <w:jc w:val="center"/>
            </w:pPr>
            <w:r>
              <w:rPr>
                <w:rFonts w:ascii="Times New Roman" w:hAnsi="Times New Roman"/>
                <w:sz w:val="20"/>
              </w:rPr>
              <w:t>فاصله ماهالانوبیس (D²)</w:t>
            </w:r>
          </w:p>
        </w:tc>
        <w:tc>
          <w:tcPr>
            <w:tcW w:type="dxa" w:w="1728"/>
          </w:tcPr>
          <w:p>
            <w:pPr>
              <w:bidi/>
              <w:jc w:val="center"/>
            </w:pPr>
            <w:r>
              <w:rPr>
                <w:rFonts w:ascii="Times New Roman" w:hAnsi="Times New Roman"/>
                <w:sz w:val="20"/>
              </w:rPr>
              <w:t>۰ مورد</w:t>
            </w:r>
          </w:p>
        </w:tc>
        <w:tc>
          <w:tcPr>
            <w:tcW w:type="dxa" w:w="1728"/>
          </w:tcPr>
          <w:p>
            <w:pPr>
              <w:bidi/>
              <w:jc w:val="center"/>
            </w:pPr>
            <w:r>
              <w:rPr>
                <w:rFonts w:ascii="Times New Roman" w:hAnsi="Times New Roman"/>
                <w:sz w:val="20"/>
              </w:rPr>
              <w:t>p &lt; ۰.۰۰۱</w:t>
            </w:r>
          </w:p>
        </w:tc>
        <w:tc>
          <w:tcPr>
            <w:tcW w:type="dxa" w:w="1728"/>
          </w:tcPr>
          <w:p>
            <w:pPr>
              <w:bidi/>
              <w:jc w:val="center"/>
            </w:pPr>
            <w:r>
              <w:rPr>
                <w:rFonts w:ascii="B Nazanin" w:hAnsi="B Nazanin"/>
                <w:sz w:val="20"/>
              </w:rPr>
              <w:t>بدون داده پرت</w:t>
            </w:r>
          </w:p>
        </w:tc>
      </w:tr>
      <w:tr>
        <w:tc>
          <w:tcPr>
            <w:tcW w:type="dxa" w:w="1728"/>
          </w:tcPr>
          <w:p>
            <w:pPr>
              <w:bidi/>
              <w:jc w:val="center"/>
            </w:pPr>
            <w:r>
              <w:rPr>
                <w:rFonts w:ascii="B Nazanin" w:hAnsi="B Nazanin"/>
                <w:sz w:val="20"/>
              </w:rPr>
              <w:t>تصمیم‌گیری نهایی ممیزی</w:t>
            </w:r>
          </w:p>
        </w:tc>
        <w:tc>
          <w:tcPr>
            <w:tcW w:type="dxa" w:w="1728"/>
          </w:tcPr>
          <w:p>
            <w:pPr>
              <w:bidi/>
              <w:jc w:val="center"/>
            </w:pPr>
            <w:r>
              <w:rPr>
                <w:rFonts w:ascii="B Nazanin" w:hAnsi="B Nazanin"/>
                <w:sz w:val="20"/>
              </w:rPr>
              <w:t>برآیند معیارهای اعتبار</w:t>
            </w:r>
          </w:p>
        </w:tc>
        <w:tc>
          <w:tcPr>
            <w:tcW w:type="dxa" w:w="1728"/>
          </w:tcPr>
          <w:p>
            <w:pPr>
              <w:bidi/>
              <w:jc w:val="center"/>
            </w:pPr>
            <w:r>
              <w:rPr>
                <w:rFonts w:ascii="B Nazanin" w:hAnsi="B Nazanin"/>
                <w:sz w:val="20"/>
              </w:rPr>
              <w:t>PASS</w:t>
            </w:r>
          </w:p>
        </w:tc>
        <w:tc>
          <w:tcPr>
            <w:tcW w:type="dxa" w:w="1728"/>
          </w:tcPr>
          <w:p>
            <w:pPr>
              <w:bidi/>
              <w:jc w:val="center"/>
            </w:pPr>
            <w:r>
              <w:rPr>
                <w:rFonts w:ascii="Times New Roman" w:hAnsi="Times New Roman"/>
                <w:sz w:val="20"/>
              </w:rPr>
              <w:t>تأیید ۱۰۰٪ شاخص‌ها</w:t>
            </w:r>
          </w:p>
        </w:tc>
        <w:tc>
          <w:tcPr>
            <w:tcW w:type="dxa" w:w="1728"/>
          </w:tcPr>
          <w:p>
            <w:pPr>
              <w:bidi/>
              <w:jc w:val="center"/>
            </w:pPr>
            <w:r>
              <w:rPr>
                <w:rFonts w:ascii="B Nazanin" w:hAnsi="B Nazanin"/>
                <w:sz w:val="20"/>
              </w:rPr>
              <w:t>آماده تحلیل آماری</w:t>
            </w:r>
          </w:p>
        </w:tc>
      </w:tr>
    </w:tbl>
    <w:p>
      <w:pPr>
        <w:bidi/>
        <w:jc w:val="both"/>
      </w:pPr>
      <w:r>
        <w:rPr>
          <w:rFonts w:ascii="B Nazanin" w:hAnsi="B Nazanin"/>
          <w:i/>
          <w:sz w:val="20"/>
        </w:rPr>
        <w:t>یادداشت. سطح معناداری آزمون لیتل بالاتر از ۰.۰۵ نشان‌دهنده تصادفی بودن داده‌های مفقود است. آستانه تشخیص داده پرت چندمتغیره بر مبنای توزیع کای‌دو در سطح ۰.۰۰۱ تعیین شده است.</w:t>
      </w:r>
    </w:p>
    <w:p>
      <w:pPr>
        <w:bidi/>
        <w:jc w:val="right"/>
      </w:pPr>
      <w:r>
        <w:rPr>
          <w:rFonts w:ascii="B Titr" w:hAnsi="B Titr"/>
          <w:b/>
          <w:sz w:val="26"/>
          <w:rFonts w:ascii="B Titr" w:hAnsi="B Titr" w:cs="B Titr"/>
          <w:rtl/>
        </w:rPr>
        <w:t>۷. نتیجه‌گیری نهایی و صدور مجوز تحلیل</w:t>
      </w:r>
    </w:p>
    <w:p>
      <w:pPr>
        <w:bidi/>
        <w:jc w:val="both"/>
      </w:pPr>
      <w:r>
        <w:rPr>
          <w:rFonts w:ascii="B Nazanin" w:hAnsi="B Nazanin"/>
          <w:b w:val="0"/>
          <w:i w:val="0"/>
          <w:sz w:val="26"/>
          <w:rFonts w:ascii="B Nazanin" w:hAnsi="B Nazanin" w:cs="B Nazanin"/>
          <w:rtl/>
        </w:rPr>
        <w:t>بر پایه ممیزی‌های انجام‌شده و تأیید موتور اعتبارسنجی یکپارچگی داده‌ها (data_integrity validator)، داده‌های خام پژوهش با نمره کامل و وضعیت قطعی PASS تأیید شده و مجاز به ورود به تحلیل‌های فرضیات آماری (ANCOVA و اندازه‌گیری مکرر) می‌باشند.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