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تحلیل فرآیند مشروط مدل ۷ هیز: الگوی میانجی‌گری تعدیل‌شده مرحله اول</w:t>
      </w:r>
    </w:p>
    <w:p>
      <w:pPr>
        <w:bidi/>
        <w:jc w:val="right"/>
      </w:pPr>
      <w:r>
        <w:rPr>
          <w:rFonts w:ascii="B Titr" w:hAnsi="B Titr"/>
          <w:b/>
          <w:sz w:val="26"/>
          <w:rFonts w:ascii="B Titr" w:hAnsi="B Titr" w:cs="B Titr"/>
          <w:rtl/>
        </w:rPr>
        <w:t>۱. بیان الگوی میانجی‌گری تعدیل‌شده مرحله اول (Model 7)</w:t>
      </w:r>
    </w:p>
    <w:p>
      <w:pPr>
        <w:bidi/>
        <w:jc w:val="both"/>
      </w:pPr>
      <w:r>
        <w:rPr>
          <w:rFonts w:ascii="B Nazanin" w:hAnsi="B Nazanin"/>
          <w:b w:val="0"/>
          <w:i w:val="0"/>
          <w:sz w:val="26"/>
          <w:rFonts w:ascii="B Nazanin" w:hAnsi="B Nazanin" w:cs="B Nazanin"/>
          <w:rtl/>
        </w:rPr>
        <w:t>در این تحلیل، سازوکار فرآیند مشروط (Conditional Process Analysis) ارزیابی شد که در آن سرمایه روان‌شناختی به عنوان تعدیل‌کننده مرحله اول (مسیر مطالبات شغلی به فرسودگی هیجانی) و فرسودگی هیجانی به عنوان متغیر میانجی پیش‌بینی تمایل به ترک خدمت عمل می‌کنند. این آزمون با روش بازنمونه‌گیری بوت‌استراپ با ۵۰۰۰ مرتبه نمونه‌گیری مجدد و فاصله اطمینان ۹۵ درصد انجام گرفت.</w:t>
      </w:r>
    </w:p>
    <w:p>
      <w:pPr>
        <w:bidi/>
        <w:jc w:val="right"/>
      </w:pPr>
      <w:r>
        <w:rPr>
          <w:rFonts w:ascii="B Nazanin" w:hAnsi="B Nazanin"/>
          <w:b/>
          <w:sz w:val="22"/>
        </w:rPr>
        <w:t>جدول ۱. اثرات غیرمستقیم مشروط و شاخص میانجی‌گری تعدیل‌شده (۵۰۰۰ نوبت بوت‌استراپ، ۳۲۰ = N)</w:t>
      </w:r>
    </w:p>
    <w:tbl>
      <w:tblPr>
        <w:tblW w:type="auto" w:w="0"/>
        <w:jc w:val="center"/>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center"/>
            </w:pPr>
            <w:r>
              <w:rPr>
                <w:rFonts w:ascii="B Nazanin" w:hAnsi="B Nazanin"/>
                <w:b/>
                <w:sz w:val="20"/>
              </w:rPr>
              <w:t>سطح تعدیل‌کننده (سرمایه روان‌شناختی)</w:t>
            </w:r>
          </w:p>
        </w:tc>
        <w:tc>
          <w:tcPr>
            <w:tcW w:type="dxa" w:w="1234"/>
          </w:tcPr>
          <w:p>
            <w:pPr>
              <w:bidi/>
              <w:jc w:val="center"/>
            </w:pPr>
            <w:r>
              <w:rPr>
                <w:rFonts w:ascii="B Nazanin" w:hAnsi="B Nazanin"/>
                <w:b/>
                <w:sz w:val="20"/>
              </w:rPr>
              <w:t>مقدار خام تعدیل‌کننده</w:t>
            </w:r>
          </w:p>
        </w:tc>
        <w:tc>
          <w:tcPr>
            <w:tcW w:type="dxa" w:w="1234"/>
          </w:tcPr>
          <w:p>
            <w:pPr>
              <w:bidi/>
              <w:jc w:val="center"/>
            </w:pPr>
            <w:r>
              <w:rPr>
                <w:rFonts w:ascii="B Nazanin" w:hAnsi="B Nazanin"/>
                <w:b/>
                <w:sz w:val="20"/>
              </w:rPr>
              <w:t>اثر غیرمستقیم مشروط (B)</w:t>
            </w:r>
          </w:p>
        </w:tc>
        <w:tc>
          <w:tcPr>
            <w:tcW w:type="dxa" w:w="1234"/>
          </w:tcPr>
          <w:p>
            <w:pPr>
              <w:bidi/>
              <w:jc w:val="center"/>
            </w:pPr>
            <w:r>
              <w:rPr>
                <w:rFonts w:ascii="B Nazanin" w:hAnsi="B Nazanin"/>
                <w:b/>
                <w:sz w:val="20"/>
              </w:rPr>
              <w:t>خطای معیار بوت‌استراپ</w:t>
            </w:r>
          </w:p>
        </w:tc>
        <w:tc>
          <w:tcPr>
            <w:tcW w:type="dxa" w:w="1234"/>
          </w:tcPr>
          <w:p>
            <w:pPr>
              <w:bidi/>
              <w:jc w:val="center"/>
            </w:pPr>
            <w:r>
              <w:rPr>
                <w:rFonts w:ascii="B Nazanin" w:hAnsi="B Nazanin"/>
                <w:b/>
                <w:sz w:val="20"/>
              </w:rPr>
              <w:t>کران پایین ۹۵٪ CI</w:t>
            </w:r>
          </w:p>
        </w:tc>
        <w:tc>
          <w:tcPr>
            <w:tcW w:type="dxa" w:w="1234"/>
          </w:tcPr>
          <w:p>
            <w:pPr>
              <w:bidi/>
              <w:jc w:val="center"/>
            </w:pPr>
            <w:r>
              <w:rPr>
                <w:rFonts w:ascii="B Nazanin" w:hAnsi="B Nazanin"/>
                <w:b/>
                <w:sz w:val="20"/>
              </w:rPr>
              <w:t>کران بالا ۹۵٪ CI</w:t>
            </w:r>
          </w:p>
        </w:tc>
        <w:tc>
          <w:tcPr>
            <w:tcW w:type="dxa" w:w="1234"/>
          </w:tcPr>
          <w:p>
            <w:pPr>
              <w:bidi/>
              <w:jc w:val="center"/>
            </w:pPr>
            <w:r>
              <w:rPr>
                <w:rFonts w:ascii="B Nazanin" w:hAnsi="B Nazanin"/>
                <w:b/>
                <w:sz w:val="20"/>
              </w:rPr>
              <w:t>نتیجه آزمون تجربی</w:t>
            </w:r>
          </w:p>
        </w:tc>
      </w:tr>
      <w:tr>
        <w:tc>
          <w:tcPr>
            <w:tcW w:type="dxa" w:w="1234"/>
          </w:tcPr>
          <w:p>
            <w:pPr>
              <w:bidi/>
              <w:jc w:val="center"/>
            </w:pPr>
            <w:r>
              <w:rPr>
                <w:rFonts w:ascii="Times New Roman" w:hAnsi="Times New Roman"/>
                <w:sz w:val="20"/>
              </w:rPr>
              <w:t>سطح پایین (SD ۱-)</w:t>
            </w:r>
          </w:p>
        </w:tc>
        <w:tc>
          <w:tcPr>
            <w:tcW w:type="dxa" w:w="1234"/>
          </w:tcPr>
          <w:p>
            <w:pPr>
              <w:bidi/>
              <w:jc w:val="center"/>
            </w:pPr>
            <w:r>
              <w:rPr>
                <w:rFonts w:ascii="Times New Roman" w:hAnsi="Times New Roman"/>
                <w:sz w:val="20"/>
              </w:rPr>
              <w:t>۲.۷۱۶</w:t>
            </w:r>
          </w:p>
        </w:tc>
        <w:tc>
          <w:tcPr>
            <w:tcW w:type="dxa" w:w="1234"/>
          </w:tcPr>
          <w:p>
            <w:pPr>
              <w:bidi/>
              <w:jc w:val="center"/>
            </w:pPr>
            <w:r>
              <w:rPr>
                <w:rFonts w:ascii="Times New Roman" w:hAnsi="Times New Roman"/>
                <w:sz w:val="20"/>
              </w:rPr>
              <w:t>۰.۱۶۵</w:t>
            </w:r>
          </w:p>
        </w:tc>
        <w:tc>
          <w:tcPr>
            <w:tcW w:type="dxa" w:w="1234"/>
          </w:tcPr>
          <w:p>
            <w:pPr>
              <w:bidi/>
              <w:jc w:val="center"/>
            </w:pPr>
            <w:r>
              <w:rPr>
                <w:rFonts w:ascii="Times New Roman" w:hAnsi="Times New Roman"/>
                <w:sz w:val="20"/>
              </w:rPr>
              <w:t>۰.۰۲۷</w:t>
            </w:r>
          </w:p>
        </w:tc>
        <w:tc>
          <w:tcPr>
            <w:tcW w:type="dxa" w:w="1234"/>
          </w:tcPr>
          <w:p>
            <w:pPr>
              <w:bidi/>
              <w:jc w:val="center"/>
            </w:pPr>
            <w:r>
              <w:rPr>
                <w:rFonts w:ascii="Times New Roman" w:hAnsi="Times New Roman"/>
                <w:sz w:val="20"/>
              </w:rPr>
              <w:t>۰.۱۱۷</w:t>
            </w:r>
          </w:p>
        </w:tc>
        <w:tc>
          <w:tcPr>
            <w:tcW w:type="dxa" w:w="1234"/>
          </w:tcPr>
          <w:p>
            <w:pPr>
              <w:bidi/>
              <w:jc w:val="center"/>
            </w:pPr>
            <w:r>
              <w:rPr>
                <w:rFonts w:ascii="Times New Roman" w:hAnsi="Times New Roman"/>
                <w:sz w:val="20"/>
              </w:rPr>
              <w:t>۰.۲۲۲</w:t>
            </w:r>
          </w:p>
        </w:tc>
        <w:tc>
          <w:tcPr>
            <w:tcW w:type="dxa" w:w="1234"/>
          </w:tcPr>
          <w:p>
            <w:pPr>
              <w:bidi/>
              <w:jc w:val="center"/>
            </w:pPr>
            <w:r>
              <w:rPr>
                <w:rFonts w:ascii="B Nazanin" w:hAnsi="B Nazanin"/>
                <w:sz w:val="20"/>
              </w:rPr>
              <w:t>معنادار (تأیید میانجی‌گری)</w:t>
            </w:r>
          </w:p>
        </w:tc>
      </w:tr>
      <w:tr>
        <w:tc>
          <w:tcPr>
            <w:tcW w:type="dxa" w:w="1234"/>
          </w:tcPr>
          <w:p>
            <w:pPr>
              <w:bidi/>
              <w:jc w:val="center"/>
            </w:pPr>
            <w:r>
              <w:rPr>
                <w:rFonts w:ascii="B Nazanin" w:hAnsi="B Nazanin"/>
                <w:sz w:val="20"/>
              </w:rPr>
              <w:t>سطح متوسط (میانگین)</w:t>
            </w:r>
          </w:p>
        </w:tc>
        <w:tc>
          <w:tcPr>
            <w:tcW w:type="dxa" w:w="1234"/>
          </w:tcPr>
          <w:p>
            <w:pPr>
              <w:bidi/>
              <w:jc w:val="center"/>
            </w:pPr>
            <w:r>
              <w:rPr>
                <w:rFonts w:ascii="Times New Roman" w:hAnsi="Times New Roman"/>
                <w:sz w:val="20"/>
              </w:rPr>
              <w:t>۳.۳۹۶</w:t>
            </w:r>
          </w:p>
        </w:tc>
        <w:tc>
          <w:tcPr>
            <w:tcW w:type="dxa" w:w="1234"/>
          </w:tcPr>
          <w:p>
            <w:pPr>
              <w:bidi/>
              <w:jc w:val="center"/>
            </w:pPr>
            <w:r>
              <w:rPr>
                <w:rFonts w:ascii="Times New Roman" w:hAnsi="Times New Roman"/>
                <w:sz w:val="20"/>
              </w:rPr>
              <w:t>۰.۱۱۶</w:t>
            </w:r>
          </w:p>
        </w:tc>
        <w:tc>
          <w:tcPr>
            <w:tcW w:type="dxa" w:w="1234"/>
          </w:tcPr>
          <w:p>
            <w:pPr>
              <w:bidi/>
              <w:jc w:val="center"/>
            </w:pPr>
            <w:r>
              <w:rPr>
                <w:rFonts w:ascii="Times New Roman" w:hAnsi="Times New Roman"/>
                <w:sz w:val="20"/>
              </w:rPr>
              <w:t>۰.۰۲۰</w:t>
            </w:r>
          </w:p>
        </w:tc>
        <w:tc>
          <w:tcPr>
            <w:tcW w:type="dxa" w:w="1234"/>
          </w:tcPr>
          <w:p>
            <w:pPr>
              <w:bidi/>
              <w:jc w:val="center"/>
            </w:pPr>
            <w:r>
              <w:rPr>
                <w:rFonts w:ascii="Times New Roman" w:hAnsi="Times New Roman"/>
                <w:sz w:val="20"/>
              </w:rPr>
              <w:t>۰.۰۸۰</w:t>
            </w:r>
          </w:p>
        </w:tc>
        <w:tc>
          <w:tcPr>
            <w:tcW w:type="dxa" w:w="1234"/>
          </w:tcPr>
          <w:p>
            <w:pPr>
              <w:bidi/>
              <w:jc w:val="center"/>
            </w:pPr>
            <w:r>
              <w:rPr>
                <w:rFonts w:ascii="Times New Roman" w:hAnsi="Times New Roman"/>
                <w:sz w:val="20"/>
              </w:rPr>
              <w:t>۰.۱۵۸</w:t>
            </w:r>
          </w:p>
        </w:tc>
        <w:tc>
          <w:tcPr>
            <w:tcW w:type="dxa" w:w="1234"/>
          </w:tcPr>
          <w:p>
            <w:pPr>
              <w:bidi/>
              <w:jc w:val="center"/>
            </w:pPr>
            <w:r>
              <w:rPr>
                <w:rFonts w:ascii="B Nazanin" w:hAnsi="B Nazanin"/>
                <w:sz w:val="20"/>
              </w:rPr>
              <w:t>معنادار (تأیید میانجی‌گری)</w:t>
            </w:r>
          </w:p>
        </w:tc>
      </w:tr>
      <w:tr>
        <w:tc>
          <w:tcPr>
            <w:tcW w:type="dxa" w:w="1234"/>
          </w:tcPr>
          <w:p>
            <w:pPr>
              <w:bidi/>
              <w:jc w:val="center"/>
            </w:pPr>
            <w:r>
              <w:rPr>
                <w:rFonts w:ascii="Times New Roman" w:hAnsi="Times New Roman"/>
                <w:sz w:val="20"/>
              </w:rPr>
              <w:t>سطح بالا (SD ۱+)</w:t>
            </w:r>
          </w:p>
        </w:tc>
        <w:tc>
          <w:tcPr>
            <w:tcW w:type="dxa" w:w="1234"/>
          </w:tcPr>
          <w:p>
            <w:pPr>
              <w:bidi/>
              <w:jc w:val="center"/>
            </w:pPr>
            <w:r>
              <w:rPr>
                <w:rFonts w:ascii="Times New Roman" w:hAnsi="Times New Roman"/>
                <w:sz w:val="20"/>
              </w:rPr>
              <w:t>۴.۰۷۵</w:t>
            </w:r>
          </w:p>
        </w:tc>
        <w:tc>
          <w:tcPr>
            <w:tcW w:type="dxa" w:w="1234"/>
          </w:tcPr>
          <w:p>
            <w:pPr>
              <w:bidi/>
              <w:jc w:val="center"/>
            </w:pPr>
            <w:r>
              <w:rPr>
                <w:rFonts w:ascii="Times New Roman" w:hAnsi="Times New Roman"/>
                <w:sz w:val="20"/>
              </w:rPr>
              <w:t>۰.۰۶۷</w:t>
            </w:r>
          </w:p>
        </w:tc>
        <w:tc>
          <w:tcPr>
            <w:tcW w:type="dxa" w:w="1234"/>
          </w:tcPr>
          <w:p>
            <w:pPr>
              <w:bidi/>
              <w:jc w:val="center"/>
            </w:pPr>
            <w:r>
              <w:rPr>
                <w:rFonts w:ascii="Times New Roman" w:hAnsi="Times New Roman"/>
                <w:sz w:val="20"/>
              </w:rPr>
              <w:t>۰.۰۲۰</w:t>
            </w:r>
          </w:p>
        </w:tc>
        <w:tc>
          <w:tcPr>
            <w:tcW w:type="dxa" w:w="1234"/>
          </w:tcPr>
          <w:p>
            <w:pPr>
              <w:bidi/>
              <w:jc w:val="center"/>
            </w:pPr>
            <w:r>
              <w:rPr>
                <w:rFonts w:ascii="Times New Roman" w:hAnsi="Times New Roman"/>
                <w:sz w:val="20"/>
              </w:rPr>
              <w:t>۰.۰۳۰</w:t>
            </w:r>
          </w:p>
        </w:tc>
        <w:tc>
          <w:tcPr>
            <w:tcW w:type="dxa" w:w="1234"/>
          </w:tcPr>
          <w:p>
            <w:pPr>
              <w:bidi/>
              <w:jc w:val="center"/>
            </w:pPr>
            <w:r>
              <w:rPr>
                <w:rFonts w:ascii="Times New Roman" w:hAnsi="Times New Roman"/>
                <w:sz w:val="20"/>
              </w:rPr>
              <w:t>۰.۱۱۱</w:t>
            </w:r>
          </w:p>
        </w:tc>
        <w:tc>
          <w:tcPr>
            <w:tcW w:type="dxa" w:w="1234"/>
          </w:tcPr>
          <w:p>
            <w:pPr>
              <w:bidi/>
              <w:jc w:val="center"/>
            </w:pPr>
            <w:r>
              <w:rPr>
                <w:rFonts w:ascii="B Nazanin" w:hAnsi="B Nazanin"/>
                <w:sz w:val="20"/>
              </w:rPr>
              <w:t>معنادار (تأیید میانجی‌گری)</w:t>
            </w:r>
          </w:p>
        </w:tc>
      </w:tr>
      <w:tr>
        <w:tc>
          <w:tcPr>
            <w:tcW w:type="dxa" w:w="1234"/>
          </w:tcPr>
          <w:p>
            <w:pPr>
              <w:bidi/>
              <w:jc w:val="center"/>
            </w:pPr>
            <w:r>
              <w:rPr>
                <w:rFonts w:ascii="B Nazanin" w:hAnsi="B Nazanin"/>
                <w:sz w:val="20"/>
              </w:rPr>
              <w:t>شاخص میانجی‌گری تعدیل‌شده (Index)</w:t>
            </w:r>
          </w:p>
        </w:tc>
        <w:tc>
          <w:tcPr>
            <w:tcW w:type="dxa" w:w="1234"/>
          </w:tcPr>
          <w:p>
            <w:pPr>
              <w:bidi/>
              <w:jc w:val="center"/>
            </w:pPr>
            <w:r>
              <w:rPr>
                <w:rFonts w:ascii="Times New Roman" w:hAnsi="Times New Roman"/>
                <w:sz w:val="20"/>
              </w:rPr>
              <w:t>-</w:t>
            </w:r>
          </w:p>
        </w:tc>
        <w:tc>
          <w:tcPr>
            <w:tcW w:type="dxa" w:w="1234"/>
          </w:tcPr>
          <w:p>
            <w:pPr>
              <w:bidi/>
              <w:jc w:val="center"/>
            </w:pPr>
            <w:r>
              <w:rPr>
                <w:rFonts w:ascii="Times New Roman" w:hAnsi="Times New Roman"/>
                <w:sz w:val="20"/>
              </w:rPr>
              <w:t>-۰.۰۷۲</w:t>
            </w:r>
          </w:p>
        </w:tc>
        <w:tc>
          <w:tcPr>
            <w:tcW w:type="dxa" w:w="1234"/>
          </w:tcPr>
          <w:p>
            <w:pPr>
              <w:bidi/>
              <w:jc w:val="center"/>
            </w:pPr>
            <w:r>
              <w:rPr>
                <w:rFonts w:ascii="Times New Roman" w:hAnsi="Times New Roman"/>
                <w:sz w:val="20"/>
              </w:rPr>
              <w:t>۰.۰۲۰</w:t>
            </w:r>
          </w:p>
        </w:tc>
        <w:tc>
          <w:tcPr>
            <w:tcW w:type="dxa" w:w="1234"/>
          </w:tcPr>
          <w:p>
            <w:pPr>
              <w:bidi/>
              <w:jc w:val="center"/>
            </w:pPr>
            <w:r>
              <w:rPr>
                <w:rFonts w:ascii="Times New Roman" w:hAnsi="Times New Roman"/>
                <w:sz w:val="20"/>
              </w:rPr>
              <w:t>-۰.۱۱۶</w:t>
            </w:r>
          </w:p>
        </w:tc>
        <w:tc>
          <w:tcPr>
            <w:tcW w:type="dxa" w:w="1234"/>
          </w:tcPr>
          <w:p>
            <w:pPr>
              <w:bidi/>
              <w:jc w:val="center"/>
            </w:pPr>
            <w:r>
              <w:rPr>
                <w:rFonts w:ascii="Times New Roman" w:hAnsi="Times New Roman"/>
                <w:sz w:val="20"/>
              </w:rPr>
              <w:t>-۰.۰۳۸</w:t>
            </w:r>
          </w:p>
        </w:tc>
        <w:tc>
          <w:tcPr>
            <w:tcW w:type="dxa" w:w="1234"/>
          </w:tcPr>
          <w:p>
            <w:pPr>
              <w:bidi/>
              <w:jc w:val="center"/>
            </w:pPr>
            <w:r>
              <w:rPr>
                <w:rFonts w:ascii="B Nazanin" w:hAnsi="B Nazanin"/>
                <w:sz w:val="20"/>
              </w:rPr>
              <w:t>معنادار (تأیید فرآیند مشروط)</w:t>
            </w:r>
          </w:p>
        </w:tc>
      </w:tr>
    </w:tbl>
    <w:p>
      <w:pPr>
        <w:bidi/>
        <w:jc w:val="both"/>
      </w:pPr>
      <w:r>
        <w:rPr>
          <w:rFonts w:ascii="B Nazanin" w:hAnsi="B Nazanin"/>
          <w:i/>
          <w:sz w:val="20"/>
        </w:rPr>
        <w:t>یادداشت. فواصل اطمینان بر مبنای ۵۰۰۰ مرتبه بازنمونه‌گیری بوت‌استراپ محاسبه شد. عدم شمول صفر در فاصله اطمینان شاخص میانجی‌گری تعدیل‌شده حاکی از مشروط بودن معنادار اثر غیرمستقیم است.</w:t>
      </w:r>
    </w:p>
    <w:p>
      <w:pPr>
        <w:bidi/>
        <w:jc w:val="both"/>
      </w:pPr>
      <w:r>
        <w:rPr>
          <w:rFonts w:ascii="B Nazanin" w:hAnsi="B Nazanin"/>
          <w:b w:val="0"/>
          <w:i w:val="0"/>
          <w:sz w:val="26"/>
          <w:rFonts w:ascii="B Nazanin" w:hAnsi="B Nazanin" w:cs="B Nazanin"/>
          <w:rtl/>
        </w:rPr>
        <w:t>نتایج جدول ۱ مؤید آن است که شاخص میانجی‌گری تعدیل‌شده برابر با ۰.۰۷۲- = Index با خطای معیار ۰.۰۲۰ است و فاصله اطمینان ۹۵ درصد بوت‌استراپ [۰.۰۳۸- ، ۰.۱۱۶-] عدد صفر را در بر نمی‌گیرد. این یافته دلالت بر آن دارد که اثر غیرمستقیم مطالبات شغلی بر تمایل به ترک خدمت از طریق فرسودگی هیجانی، به شکل معناداری تابع میزان سرمایه روان‌شناختی است؛ به طوری که در افراد دارای سرمایه روان‌شناختی بالا، انتقال آسیب‌زای مطالبات به تمایل به ترک خدمت بیش از ۵۰ درصد تضعیف می‌گردد.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