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B Titr" w:hAnsi="B Titr"/>
          <w:b/>
          <w:sz w:val="28"/>
          <w:rFonts w:ascii="B Titr" w:hAnsi="B Titr" w:cs="B Titr"/>
          <w:rtl/>
        </w:rPr>
        <w:t>ارزیابی الگوی ساختاری کلان و آزمون فرضیات مدل‌یابی معادلات ساختاری (SEM)</w:t>
      </w:r>
    </w:p>
    <w:p>
      <w:pPr>
        <w:bidi/>
        <w:jc w:val="right"/>
      </w:pPr>
      <w:r>
        <w:rPr>
          <w:rFonts w:ascii="B Titr" w:hAnsi="B Titr"/>
          <w:b/>
          <w:sz w:val="26"/>
          <w:rFonts w:ascii="B Titr" w:hAnsi="B Titr" w:cs="B Titr"/>
          <w:rtl/>
        </w:rPr>
        <w:t>۱. صورت‌بندی مدل مفهومی و ارزیابی شاخص‌های برازش کلی الگو</w:t>
      </w:r>
    </w:p>
    <w:p>
      <w:pPr>
        <w:bidi/>
        <w:jc w:val="both"/>
      </w:pPr>
      <w:r>
        <w:rPr>
          <w:rFonts w:ascii="B Nazanin" w:hAnsi="B Nazanin"/>
          <w:b w:val="0"/>
          <w:i w:val="0"/>
          <w:sz w:val="26"/>
          <w:rFonts w:ascii="B Nazanin" w:hAnsi="B Nazanin" w:cs="B Nazanin"/>
          <w:rtl/>
        </w:rPr>
        <w:t>به منظور بررسی الگوی علی و ساختاری روابط میان متغیرهای توجه‌آگاهی در محیط کار، انعطاف‌پذیری روان‌شناختی و بهزیستی شغلی کارکنان، از رویکرد مدل‌یابی معادلات ساختاری (SEM) با روش برآورد حداکثر درست‌نمایی (ML) استفاده شد. پیش از بررسی ضرایب مسیرهای مستقیم و غیرمستقیم، شاخص‌های برازش کلی مدل آزمون شد تا میزان انطباق الگوی نظری تدوین‌شده با داده‌های تجربی گردآوری‌شده تعیین گردد.</w:t>
      </w:r>
    </w:p>
    <w:p>
      <w:pPr>
        <w:bidi/>
        <w:jc w:val="right"/>
      </w:pPr>
      <w:r>
        <w:rPr>
          <w:rFonts w:ascii="B Nazanin" w:hAnsi="B Nazanin"/>
          <w:b/>
          <w:sz w:val="22"/>
        </w:rPr>
        <w:t>جدول الف. شاخص‌های برازش الگوی ساختاری کلان پژوهش در مقایسه با ملاک‌های استاندارد هو و بنتلر (۲۵۰ = N)</w:t>
      </w:r>
    </w:p>
    <w:tbl>
      <w:tblPr>
        <w:tblW w:type="auto" w:w="0"/>
        <w:jc w:val="center"/>
        <w:tblLook w:firstColumn="1" w:firstRow="1" w:lastColumn="0" w:lastRow="0" w:noHBand="0" w:noVBand="1" w:val="04A0"/>
        <w:bidiVisual/>
      </w:tblPr>
      <w:tblGrid>
        <w:gridCol w:w="1728"/>
        <w:gridCol w:w="1728"/>
        <w:gridCol w:w="1728"/>
        <w:gridCol w:w="1728"/>
        <w:gridCol w:w="1728"/>
      </w:tblGrid>
      <w:tr>
        <w:tc>
          <w:tcPr>
            <w:tcW w:type="dxa" w:w="1728"/>
          </w:tcPr>
          <w:p>
            <w:pPr>
              <w:bidi/>
              <w:jc w:val="center"/>
            </w:pPr>
            <w:r>
              <w:rPr>
                <w:rFonts w:ascii="B Nazanin" w:hAnsi="B Nazanin"/>
                <w:b/>
                <w:sz w:val="20"/>
              </w:rPr>
              <w:t>شاخص برازش</w:t>
            </w:r>
          </w:p>
        </w:tc>
        <w:tc>
          <w:tcPr>
            <w:tcW w:type="dxa" w:w="1728"/>
          </w:tcPr>
          <w:p>
            <w:pPr>
              <w:bidi/>
              <w:jc w:val="center"/>
            </w:pPr>
            <w:r>
              <w:rPr>
                <w:rFonts w:ascii="B Nazanin" w:hAnsi="B Nazanin"/>
                <w:b/>
                <w:sz w:val="20"/>
              </w:rPr>
              <w:t>نماد آماری</w:t>
            </w:r>
          </w:p>
        </w:tc>
        <w:tc>
          <w:tcPr>
            <w:tcW w:type="dxa" w:w="1728"/>
          </w:tcPr>
          <w:p>
            <w:pPr>
              <w:bidi/>
              <w:jc w:val="center"/>
            </w:pPr>
            <w:r>
              <w:rPr>
                <w:rFonts w:ascii="B Nazanin" w:hAnsi="B Nazanin"/>
                <w:b/>
                <w:sz w:val="20"/>
              </w:rPr>
              <w:t>مقدار محاسبه‌شده</w:t>
            </w:r>
          </w:p>
        </w:tc>
        <w:tc>
          <w:tcPr>
            <w:tcW w:type="dxa" w:w="1728"/>
          </w:tcPr>
          <w:p>
            <w:pPr>
              <w:bidi/>
              <w:jc w:val="center"/>
            </w:pPr>
            <w:r>
              <w:rPr>
                <w:rFonts w:ascii="B Nazanin" w:hAnsi="B Nazanin"/>
                <w:b/>
                <w:sz w:val="20"/>
              </w:rPr>
              <w:t>ملاک پذیرش هو و بنتلر (۱۹۹۹)</w:t>
            </w:r>
          </w:p>
        </w:tc>
        <w:tc>
          <w:tcPr>
            <w:tcW w:type="dxa" w:w="1728"/>
          </w:tcPr>
          <w:p>
            <w:pPr>
              <w:bidi/>
              <w:jc w:val="center"/>
            </w:pPr>
            <w:r>
              <w:rPr>
                <w:rFonts w:ascii="B Nazanin" w:hAnsi="B Nazanin"/>
                <w:b/>
                <w:sz w:val="20"/>
              </w:rPr>
              <w:t>وضعیت برازش</w:t>
            </w:r>
          </w:p>
        </w:tc>
      </w:tr>
      <w:tr>
        <w:tc>
          <w:tcPr>
            <w:tcW w:type="dxa" w:w="1728"/>
          </w:tcPr>
          <w:p>
            <w:pPr>
              <w:bidi/>
              <w:jc w:val="center"/>
            </w:pPr>
            <w:r>
              <w:rPr>
                <w:rFonts w:ascii="B Nazanin" w:hAnsi="B Nazanin"/>
                <w:sz w:val="20"/>
              </w:rPr>
              <w:t>مجذور کای نسبت به درجه آزادی</w:t>
            </w:r>
          </w:p>
        </w:tc>
        <w:tc>
          <w:tcPr>
            <w:tcW w:type="dxa" w:w="1728"/>
          </w:tcPr>
          <w:p>
            <w:pPr>
              <w:bidi/>
              <w:jc w:val="center"/>
            </w:pPr>
            <w:r>
              <w:rPr>
                <w:rFonts w:ascii="Times New Roman" w:hAnsi="Times New Roman"/>
                <w:sz w:val="20"/>
              </w:rPr>
              <w:t>χ²/df</w:t>
            </w:r>
          </w:p>
        </w:tc>
        <w:tc>
          <w:tcPr>
            <w:tcW w:type="dxa" w:w="1728"/>
          </w:tcPr>
          <w:p>
            <w:pPr>
              <w:bidi/>
              <w:jc w:val="center"/>
            </w:pPr>
            <w:r>
              <w:rPr>
                <w:rFonts w:ascii="Times New Roman" w:hAnsi="Times New Roman"/>
                <w:sz w:val="20"/>
              </w:rPr>
              <w:t>۰.۶۸</w:t>
            </w:r>
          </w:p>
        </w:tc>
        <w:tc>
          <w:tcPr>
            <w:tcW w:type="dxa" w:w="1728"/>
          </w:tcPr>
          <w:p>
            <w:pPr>
              <w:bidi/>
              <w:jc w:val="center"/>
            </w:pPr>
            <w:r>
              <w:rPr>
                <w:rFonts w:ascii="Times New Roman" w:hAnsi="Times New Roman"/>
                <w:sz w:val="20"/>
              </w:rPr>
              <w:t>کمتر از ۳.۰۰ (بسیار مطلوب کمتر از ۲.۰۰)</w:t>
            </w:r>
          </w:p>
        </w:tc>
        <w:tc>
          <w:tcPr>
            <w:tcW w:type="dxa" w:w="1728"/>
          </w:tcPr>
          <w:p>
            <w:pPr>
              <w:bidi/>
              <w:jc w:val="center"/>
            </w:pPr>
            <w:r>
              <w:rPr>
                <w:rFonts w:ascii="B Nazanin" w:hAnsi="B Nazanin"/>
                <w:sz w:val="20"/>
              </w:rPr>
              <w:t>برازش عالی</w:t>
            </w:r>
          </w:p>
        </w:tc>
      </w:tr>
      <w:tr>
        <w:tc>
          <w:tcPr>
            <w:tcW w:type="dxa" w:w="1728"/>
          </w:tcPr>
          <w:p>
            <w:pPr>
              <w:bidi/>
              <w:jc w:val="center"/>
            </w:pPr>
            <w:r>
              <w:rPr>
                <w:rFonts w:ascii="B Nazanin" w:hAnsi="B Nazanin"/>
                <w:sz w:val="20"/>
              </w:rPr>
              <w:t>شاخص برازش تطبیقی</w:t>
            </w:r>
          </w:p>
        </w:tc>
        <w:tc>
          <w:tcPr>
            <w:tcW w:type="dxa" w:w="1728"/>
          </w:tcPr>
          <w:p>
            <w:pPr>
              <w:bidi/>
              <w:jc w:val="center"/>
            </w:pPr>
            <w:r>
              <w:rPr>
                <w:rFonts w:ascii="Times New Roman" w:hAnsi="Times New Roman"/>
                <w:sz w:val="20"/>
              </w:rPr>
              <w:t>CFI</w:t>
            </w:r>
          </w:p>
        </w:tc>
        <w:tc>
          <w:tcPr>
            <w:tcW w:type="dxa" w:w="1728"/>
          </w:tcPr>
          <w:p>
            <w:pPr>
              <w:bidi/>
              <w:jc w:val="center"/>
            </w:pPr>
            <w:r>
              <w:rPr>
                <w:rFonts w:ascii="Times New Roman" w:hAnsi="Times New Roman"/>
                <w:sz w:val="20"/>
              </w:rPr>
              <w:t>۱.۰۰۰</w:t>
            </w:r>
          </w:p>
        </w:tc>
        <w:tc>
          <w:tcPr>
            <w:tcW w:type="dxa" w:w="1728"/>
          </w:tcPr>
          <w:p>
            <w:pPr>
              <w:bidi/>
              <w:jc w:val="center"/>
            </w:pPr>
            <w:r>
              <w:rPr>
                <w:rFonts w:ascii="Times New Roman" w:hAnsi="Times New Roman"/>
                <w:sz w:val="20"/>
              </w:rPr>
              <w:t>بزرگتر از ۰.۹۵</w:t>
            </w:r>
          </w:p>
        </w:tc>
        <w:tc>
          <w:tcPr>
            <w:tcW w:type="dxa" w:w="1728"/>
          </w:tcPr>
          <w:p>
            <w:pPr>
              <w:bidi/>
              <w:jc w:val="center"/>
            </w:pPr>
            <w:r>
              <w:rPr>
                <w:rFonts w:ascii="B Nazanin" w:hAnsi="B Nazanin"/>
                <w:sz w:val="20"/>
              </w:rPr>
              <w:t>برازش عالی</w:t>
            </w:r>
          </w:p>
        </w:tc>
      </w:tr>
      <w:tr>
        <w:tc>
          <w:tcPr>
            <w:tcW w:type="dxa" w:w="1728"/>
          </w:tcPr>
          <w:p>
            <w:pPr>
              <w:bidi/>
              <w:jc w:val="center"/>
            </w:pPr>
            <w:r>
              <w:rPr>
                <w:rFonts w:ascii="Times New Roman" w:hAnsi="Times New Roman"/>
                <w:sz w:val="20"/>
              </w:rPr>
              <w:t>شاخص توکر-لوئیس</w:t>
            </w:r>
          </w:p>
        </w:tc>
        <w:tc>
          <w:tcPr>
            <w:tcW w:type="dxa" w:w="1728"/>
          </w:tcPr>
          <w:p>
            <w:pPr>
              <w:bidi/>
              <w:jc w:val="center"/>
            </w:pPr>
            <w:r>
              <w:rPr>
                <w:rFonts w:ascii="B Nazanin" w:hAnsi="B Nazanin"/>
                <w:sz w:val="20"/>
              </w:rPr>
              <w:t>TLI</w:t>
            </w:r>
          </w:p>
        </w:tc>
        <w:tc>
          <w:tcPr>
            <w:tcW w:type="dxa" w:w="1728"/>
          </w:tcPr>
          <w:p>
            <w:pPr>
              <w:bidi/>
              <w:jc w:val="center"/>
            </w:pPr>
            <w:r>
              <w:rPr>
                <w:rFonts w:ascii="Times New Roman" w:hAnsi="Times New Roman"/>
                <w:sz w:val="20"/>
              </w:rPr>
              <w:t>۱.۰۰۰</w:t>
            </w:r>
          </w:p>
        </w:tc>
        <w:tc>
          <w:tcPr>
            <w:tcW w:type="dxa" w:w="1728"/>
          </w:tcPr>
          <w:p>
            <w:pPr>
              <w:bidi/>
              <w:jc w:val="center"/>
            </w:pPr>
            <w:r>
              <w:rPr>
                <w:rFonts w:ascii="Times New Roman" w:hAnsi="Times New Roman"/>
                <w:sz w:val="20"/>
              </w:rPr>
              <w:t>بزرگتر از ۰.۹۵</w:t>
            </w:r>
          </w:p>
        </w:tc>
        <w:tc>
          <w:tcPr>
            <w:tcW w:type="dxa" w:w="1728"/>
          </w:tcPr>
          <w:p>
            <w:pPr>
              <w:bidi/>
              <w:jc w:val="center"/>
            </w:pPr>
            <w:r>
              <w:rPr>
                <w:rFonts w:ascii="B Nazanin" w:hAnsi="B Nazanin"/>
                <w:sz w:val="20"/>
              </w:rPr>
              <w:t>برازش عالی</w:t>
            </w:r>
          </w:p>
        </w:tc>
      </w:tr>
      <w:tr>
        <w:tc>
          <w:tcPr>
            <w:tcW w:type="dxa" w:w="1728"/>
          </w:tcPr>
          <w:p>
            <w:pPr>
              <w:bidi/>
              <w:jc w:val="center"/>
            </w:pPr>
            <w:r>
              <w:rPr>
                <w:rFonts w:ascii="B Nazanin" w:hAnsi="B Nazanin"/>
                <w:sz w:val="20"/>
              </w:rPr>
              <w:t>شاخص برازش بهنجارشده</w:t>
            </w:r>
          </w:p>
        </w:tc>
        <w:tc>
          <w:tcPr>
            <w:tcW w:type="dxa" w:w="1728"/>
          </w:tcPr>
          <w:p>
            <w:pPr>
              <w:bidi/>
              <w:jc w:val="center"/>
            </w:pPr>
            <w:r>
              <w:rPr>
                <w:rFonts w:ascii="Times New Roman" w:hAnsi="Times New Roman"/>
                <w:sz w:val="20"/>
              </w:rPr>
              <w:t>NFI</w:t>
            </w:r>
          </w:p>
        </w:tc>
        <w:tc>
          <w:tcPr>
            <w:tcW w:type="dxa" w:w="1728"/>
          </w:tcPr>
          <w:p>
            <w:pPr>
              <w:bidi/>
              <w:jc w:val="center"/>
            </w:pPr>
            <w:r>
              <w:rPr>
                <w:rFonts w:ascii="Times New Roman" w:hAnsi="Times New Roman"/>
                <w:sz w:val="20"/>
              </w:rPr>
              <w:t>۰.۹۵۵</w:t>
            </w:r>
          </w:p>
        </w:tc>
        <w:tc>
          <w:tcPr>
            <w:tcW w:type="dxa" w:w="1728"/>
          </w:tcPr>
          <w:p>
            <w:pPr>
              <w:bidi/>
              <w:jc w:val="center"/>
            </w:pPr>
            <w:r>
              <w:rPr>
                <w:rFonts w:ascii="Times New Roman" w:hAnsi="Times New Roman"/>
                <w:sz w:val="20"/>
              </w:rPr>
              <w:t>بزرگتر از ۰.۹۰</w:t>
            </w:r>
          </w:p>
        </w:tc>
        <w:tc>
          <w:tcPr>
            <w:tcW w:type="dxa" w:w="1728"/>
          </w:tcPr>
          <w:p>
            <w:pPr>
              <w:bidi/>
              <w:jc w:val="center"/>
            </w:pPr>
            <w:r>
              <w:rPr>
                <w:rFonts w:ascii="B Nazanin" w:hAnsi="B Nazanin"/>
                <w:sz w:val="20"/>
              </w:rPr>
              <w:t>برازش مطلوب</w:t>
            </w:r>
          </w:p>
        </w:tc>
      </w:tr>
      <w:tr>
        <w:tc>
          <w:tcPr>
            <w:tcW w:type="dxa" w:w="1728"/>
          </w:tcPr>
          <w:p>
            <w:pPr>
              <w:bidi/>
              <w:jc w:val="center"/>
            </w:pPr>
            <w:r>
              <w:rPr>
                <w:rFonts w:ascii="B Nazanin" w:hAnsi="B Nazanin"/>
                <w:sz w:val="20"/>
              </w:rPr>
              <w:t>شاخص برازش افزایشی</w:t>
            </w:r>
          </w:p>
        </w:tc>
        <w:tc>
          <w:tcPr>
            <w:tcW w:type="dxa" w:w="1728"/>
          </w:tcPr>
          <w:p>
            <w:pPr>
              <w:bidi/>
              <w:jc w:val="center"/>
            </w:pPr>
            <w:r>
              <w:rPr>
                <w:rFonts w:ascii="Times New Roman" w:hAnsi="Times New Roman"/>
                <w:sz w:val="20"/>
              </w:rPr>
              <w:t>IFI</w:t>
            </w:r>
          </w:p>
        </w:tc>
        <w:tc>
          <w:tcPr>
            <w:tcW w:type="dxa" w:w="1728"/>
          </w:tcPr>
          <w:p>
            <w:pPr>
              <w:bidi/>
              <w:jc w:val="center"/>
            </w:pPr>
            <w:r>
              <w:rPr>
                <w:rFonts w:ascii="Times New Roman" w:hAnsi="Times New Roman"/>
                <w:sz w:val="20"/>
              </w:rPr>
              <w:t>۱.۰۰۰</w:t>
            </w:r>
          </w:p>
        </w:tc>
        <w:tc>
          <w:tcPr>
            <w:tcW w:type="dxa" w:w="1728"/>
          </w:tcPr>
          <w:p>
            <w:pPr>
              <w:bidi/>
              <w:jc w:val="center"/>
            </w:pPr>
            <w:r>
              <w:rPr>
                <w:rFonts w:ascii="Times New Roman" w:hAnsi="Times New Roman"/>
                <w:sz w:val="20"/>
              </w:rPr>
              <w:t>بزرگتر از ۰.۹۰</w:t>
            </w:r>
          </w:p>
        </w:tc>
        <w:tc>
          <w:tcPr>
            <w:tcW w:type="dxa" w:w="1728"/>
          </w:tcPr>
          <w:p>
            <w:pPr>
              <w:bidi/>
              <w:jc w:val="center"/>
            </w:pPr>
            <w:r>
              <w:rPr>
                <w:rFonts w:ascii="B Nazanin" w:hAnsi="B Nazanin"/>
                <w:sz w:val="20"/>
              </w:rPr>
              <w:t>برازش عالی</w:t>
            </w:r>
          </w:p>
        </w:tc>
      </w:tr>
      <w:tr>
        <w:tc>
          <w:tcPr>
            <w:tcW w:type="dxa" w:w="1728"/>
          </w:tcPr>
          <w:p>
            <w:pPr>
              <w:bidi/>
              <w:jc w:val="center"/>
            </w:pPr>
            <w:r>
              <w:rPr>
                <w:rFonts w:ascii="B Nazanin" w:hAnsi="B Nazanin"/>
                <w:sz w:val="20"/>
              </w:rPr>
              <w:t>شاخص نیکویی برازش</w:t>
            </w:r>
          </w:p>
        </w:tc>
        <w:tc>
          <w:tcPr>
            <w:tcW w:type="dxa" w:w="1728"/>
          </w:tcPr>
          <w:p>
            <w:pPr>
              <w:bidi/>
              <w:jc w:val="center"/>
            </w:pPr>
            <w:r>
              <w:rPr>
                <w:rFonts w:ascii="Times New Roman" w:hAnsi="Times New Roman"/>
                <w:sz w:val="20"/>
              </w:rPr>
              <w:t>GFI</w:t>
            </w:r>
          </w:p>
        </w:tc>
        <w:tc>
          <w:tcPr>
            <w:tcW w:type="dxa" w:w="1728"/>
          </w:tcPr>
          <w:p>
            <w:pPr>
              <w:bidi/>
              <w:jc w:val="center"/>
            </w:pPr>
            <w:r>
              <w:rPr>
                <w:rFonts w:ascii="Times New Roman" w:hAnsi="Times New Roman"/>
                <w:sz w:val="20"/>
              </w:rPr>
              <w:t>۰.۹۵۵</w:t>
            </w:r>
          </w:p>
        </w:tc>
        <w:tc>
          <w:tcPr>
            <w:tcW w:type="dxa" w:w="1728"/>
          </w:tcPr>
          <w:p>
            <w:pPr>
              <w:bidi/>
              <w:jc w:val="center"/>
            </w:pPr>
            <w:r>
              <w:rPr>
                <w:rFonts w:ascii="Times New Roman" w:hAnsi="Times New Roman"/>
                <w:sz w:val="20"/>
              </w:rPr>
              <w:t>بزرگتر از ۰.۹۰</w:t>
            </w:r>
          </w:p>
        </w:tc>
        <w:tc>
          <w:tcPr>
            <w:tcW w:type="dxa" w:w="1728"/>
          </w:tcPr>
          <w:p>
            <w:pPr>
              <w:bidi/>
              <w:jc w:val="center"/>
            </w:pPr>
            <w:r>
              <w:rPr>
                <w:rFonts w:ascii="B Nazanin" w:hAnsi="B Nazanin"/>
                <w:sz w:val="20"/>
              </w:rPr>
              <w:t>برازش مطلوب</w:t>
            </w:r>
          </w:p>
        </w:tc>
      </w:tr>
      <w:tr>
        <w:tc>
          <w:tcPr>
            <w:tcW w:type="dxa" w:w="1728"/>
          </w:tcPr>
          <w:p>
            <w:pPr>
              <w:bidi/>
              <w:jc w:val="center"/>
            </w:pPr>
            <w:r>
              <w:rPr>
                <w:rFonts w:ascii="B Nazanin" w:hAnsi="B Nazanin"/>
                <w:sz w:val="20"/>
              </w:rPr>
              <w:t>شاخص نیکویی برازش تعدیل‌شده</w:t>
            </w:r>
          </w:p>
        </w:tc>
        <w:tc>
          <w:tcPr>
            <w:tcW w:type="dxa" w:w="1728"/>
          </w:tcPr>
          <w:p>
            <w:pPr>
              <w:bidi/>
              <w:jc w:val="center"/>
            </w:pPr>
            <w:r>
              <w:rPr>
                <w:rFonts w:ascii="Times New Roman" w:hAnsi="Times New Roman"/>
                <w:sz w:val="20"/>
              </w:rPr>
              <w:t>AGFI</w:t>
            </w:r>
          </w:p>
        </w:tc>
        <w:tc>
          <w:tcPr>
            <w:tcW w:type="dxa" w:w="1728"/>
          </w:tcPr>
          <w:p>
            <w:pPr>
              <w:bidi/>
              <w:jc w:val="center"/>
            </w:pPr>
            <w:r>
              <w:rPr>
                <w:rFonts w:ascii="Times New Roman" w:hAnsi="Times New Roman"/>
                <w:sz w:val="20"/>
              </w:rPr>
              <w:t>۰.۹۴۶</w:t>
            </w:r>
          </w:p>
        </w:tc>
        <w:tc>
          <w:tcPr>
            <w:tcW w:type="dxa" w:w="1728"/>
          </w:tcPr>
          <w:p>
            <w:pPr>
              <w:bidi/>
              <w:jc w:val="center"/>
            </w:pPr>
            <w:r>
              <w:rPr>
                <w:rFonts w:ascii="Times New Roman" w:hAnsi="Times New Roman"/>
                <w:sz w:val="20"/>
              </w:rPr>
              <w:t>بزرگتر از ۰.۸۵</w:t>
            </w:r>
          </w:p>
        </w:tc>
        <w:tc>
          <w:tcPr>
            <w:tcW w:type="dxa" w:w="1728"/>
          </w:tcPr>
          <w:p>
            <w:pPr>
              <w:bidi/>
              <w:jc w:val="center"/>
            </w:pPr>
            <w:r>
              <w:rPr>
                <w:rFonts w:ascii="B Nazanin" w:hAnsi="B Nazanin"/>
                <w:sz w:val="20"/>
              </w:rPr>
              <w:t>برازش مطلوب</w:t>
            </w:r>
          </w:p>
        </w:tc>
      </w:tr>
      <w:tr>
        <w:tc>
          <w:tcPr>
            <w:tcW w:type="dxa" w:w="1728"/>
          </w:tcPr>
          <w:p>
            <w:pPr>
              <w:bidi/>
              <w:jc w:val="center"/>
            </w:pPr>
            <w:r>
              <w:rPr>
                <w:rFonts w:ascii="B Nazanin" w:hAnsi="B Nazanin"/>
                <w:sz w:val="20"/>
              </w:rPr>
              <w:t>ریشه میانگین مجذورات خطای تقریب</w:t>
            </w:r>
          </w:p>
        </w:tc>
        <w:tc>
          <w:tcPr>
            <w:tcW w:type="dxa" w:w="1728"/>
          </w:tcPr>
          <w:p>
            <w:pPr>
              <w:bidi/>
              <w:jc w:val="center"/>
            </w:pPr>
            <w:r>
              <w:rPr>
                <w:rFonts w:ascii="Times New Roman" w:hAnsi="Times New Roman"/>
                <w:sz w:val="20"/>
              </w:rPr>
              <w:t>RMSEA</w:t>
            </w:r>
          </w:p>
        </w:tc>
        <w:tc>
          <w:tcPr>
            <w:tcW w:type="dxa" w:w="1728"/>
          </w:tcPr>
          <w:p>
            <w:pPr>
              <w:bidi/>
              <w:jc w:val="center"/>
            </w:pPr>
            <w:r>
              <w:rPr>
                <w:rFonts w:ascii="Times New Roman" w:hAnsi="Times New Roman"/>
                <w:sz w:val="20"/>
              </w:rPr>
              <w:t>۰.۰۰۰</w:t>
            </w:r>
          </w:p>
        </w:tc>
        <w:tc>
          <w:tcPr>
            <w:tcW w:type="dxa" w:w="1728"/>
          </w:tcPr>
          <w:p>
            <w:pPr>
              <w:bidi/>
              <w:jc w:val="center"/>
            </w:pPr>
            <w:r>
              <w:rPr>
                <w:rFonts w:ascii="Times New Roman" w:hAnsi="Times New Roman"/>
                <w:sz w:val="20"/>
              </w:rPr>
              <w:t>کمتر از ۰.۰۵ (بسیار مطلوب)</w:t>
            </w:r>
          </w:p>
        </w:tc>
        <w:tc>
          <w:tcPr>
            <w:tcW w:type="dxa" w:w="1728"/>
          </w:tcPr>
          <w:p>
            <w:pPr>
              <w:bidi/>
              <w:jc w:val="center"/>
            </w:pPr>
            <w:r>
              <w:rPr>
                <w:rFonts w:ascii="B Nazanin" w:hAnsi="B Nazanin"/>
                <w:sz w:val="20"/>
              </w:rPr>
              <w:t>برازش عالی</w:t>
            </w:r>
          </w:p>
        </w:tc>
      </w:tr>
      <w:tr>
        <w:tc>
          <w:tcPr>
            <w:tcW w:type="dxa" w:w="1728"/>
          </w:tcPr>
          <w:p>
            <w:pPr>
              <w:bidi/>
              <w:jc w:val="center"/>
            </w:pPr>
            <w:r>
              <w:rPr>
                <w:rFonts w:ascii="Times New Roman" w:hAnsi="Times New Roman"/>
                <w:sz w:val="20"/>
              </w:rPr>
              <w:t>فاصله اطمینان ۹۰ درصد RMSEA</w:t>
            </w:r>
          </w:p>
        </w:tc>
        <w:tc>
          <w:tcPr>
            <w:tcW w:type="dxa" w:w="1728"/>
          </w:tcPr>
          <w:p>
            <w:pPr>
              <w:bidi/>
              <w:jc w:val="center"/>
            </w:pPr>
            <w:r>
              <w:rPr>
                <w:rFonts w:ascii="Times New Roman" w:hAnsi="Times New Roman"/>
                <w:sz w:val="20"/>
              </w:rPr>
              <w:t>RMSEA 90% CI</w:t>
            </w:r>
          </w:p>
        </w:tc>
        <w:tc>
          <w:tcPr>
            <w:tcW w:type="dxa" w:w="1728"/>
          </w:tcPr>
          <w:p>
            <w:pPr>
              <w:bidi/>
              <w:jc w:val="center"/>
            </w:pPr>
            <w:r>
              <w:rPr>
                <w:rFonts w:ascii="Times New Roman" w:hAnsi="Times New Roman"/>
                <w:sz w:val="20"/>
              </w:rPr>
              <w:t>[۰.۰۰۰ ، ۰.۰۲۴]</w:t>
            </w:r>
          </w:p>
        </w:tc>
        <w:tc>
          <w:tcPr>
            <w:tcW w:type="dxa" w:w="1728"/>
          </w:tcPr>
          <w:p>
            <w:pPr>
              <w:bidi/>
              <w:jc w:val="center"/>
            </w:pPr>
            <w:r>
              <w:rPr>
                <w:rFonts w:ascii="Times New Roman" w:hAnsi="Times New Roman"/>
                <w:sz w:val="20"/>
              </w:rPr>
              <w:t>کران بالا کمتر از ۰.۰۸</w:t>
            </w:r>
          </w:p>
        </w:tc>
        <w:tc>
          <w:tcPr>
            <w:tcW w:type="dxa" w:w="1728"/>
          </w:tcPr>
          <w:p>
            <w:pPr>
              <w:bidi/>
              <w:jc w:val="center"/>
            </w:pPr>
            <w:r>
              <w:rPr>
                <w:rFonts w:ascii="B Nazanin" w:hAnsi="B Nazanin"/>
                <w:sz w:val="20"/>
              </w:rPr>
              <w:t>برازش مطلوب</w:t>
            </w:r>
          </w:p>
        </w:tc>
      </w:tr>
      <w:tr>
        <w:tc>
          <w:tcPr>
            <w:tcW w:type="dxa" w:w="1728"/>
          </w:tcPr>
          <w:p>
            <w:pPr>
              <w:bidi/>
              <w:jc w:val="center"/>
            </w:pPr>
            <w:r>
              <w:rPr>
                <w:rFonts w:ascii="B Nazanin" w:hAnsi="B Nazanin"/>
                <w:sz w:val="20"/>
              </w:rPr>
              <w:t>جذر میانگین مجذورات باقیمانده استاندارد</w:t>
            </w:r>
          </w:p>
        </w:tc>
        <w:tc>
          <w:tcPr>
            <w:tcW w:type="dxa" w:w="1728"/>
          </w:tcPr>
          <w:p>
            <w:pPr>
              <w:bidi/>
              <w:jc w:val="center"/>
            </w:pPr>
            <w:r>
              <w:rPr>
                <w:rFonts w:ascii="Times New Roman" w:hAnsi="Times New Roman"/>
                <w:sz w:val="20"/>
              </w:rPr>
              <w:t>SRMR</w:t>
            </w:r>
          </w:p>
        </w:tc>
        <w:tc>
          <w:tcPr>
            <w:tcW w:type="dxa" w:w="1728"/>
          </w:tcPr>
          <w:p>
            <w:pPr>
              <w:bidi/>
              <w:jc w:val="center"/>
            </w:pPr>
            <w:r>
              <w:rPr>
                <w:rFonts w:ascii="Times New Roman" w:hAnsi="Times New Roman"/>
                <w:sz w:val="20"/>
              </w:rPr>
              <w:t>۰.۰۳۶</w:t>
            </w:r>
          </w:p>
        </w:tc>
        <w:tc>
          <w:tcPr>
            <w:tcW w:type="dxa" w:w="1728"/>
          </w:tcPr>
          <w:p>
            <w:pPr>
              <w:bidi/>
              <w:jc w:val="center"/>
            </w:pPr>
            <w:r>
              <w:rPr>
                <w:rFonts w:ascii="Times New Roman" w:hAnsi="Times New Roman"/>
                <w:sz w:val="20"/>
              </w:rPr>
              <w:t>کمتر از ۰.۰۸</w:t>
            </w:r>
          </w:p>
        </w:tc>
        <w:tc>
          <w:tcPr>
            <w:tcW w:type="dxa" w:w="1728"/>
          </w:tcPr>
          <w:p>
            <w:pPr>
              <w:bidi/>
              <w:jc w:val="center"/>
            </w:pPr>
            <w:r>
              <w:rPr>
                <w:rFonts w:ascii="B Nazanin" w:hAnsi="B Nazanin"/>
                <w:sz w:val="20"/>
              </w:rPr>
              <w:t>برازش مطلوب</w:t>
            </w:r>
          </w:p>
        </w:tc>
      </w:tr>
    </w:tbl>
    <w:p>
      <w:pPr>
        <w:bidi/>
        <w:jc w:val="both"/>
      </w:pPr>
      <w:r>
        <w:rPr>
          <w:rFonts w:ascii="B Nazanin" w:hAnsi="B Nazanin"/>
          <w:i/>
          <w:sz w:val="20"/>
        </w:rPr>
        <w:t>یادداشت. ملاک‌های تصمیم‌گیری بر اساس راهنمای هولمز-اسمیت (۲۰۰۶) و هو و بنتلر (۱۹۹۹) استخراج شده است.</w:t>
      </w:r>
    </w:p>
    <w:p>
      <w:pPr>
        <w:bidi/>
        <w:jc w:val="both"/>
      </w:pPr>
      <w:r>
        <w:rPr>
          <w:rFonts w:ascii="B Nazanin" w:hAnsi="B Nazanin"/>
          <w:b w:val="0"/>
          <w:i w:val="0"/>
          <w:sz w:val="26"/>
          <w:rFonts w:ascii="B Nazanin" w:hAnsi="B Nazanin" w:cs="B Nazanin"/>
          <w:rtl/>
        </w:rPr>
        <w:t>همان‌گونه که در جدول الف مشاهده می‌شود، مقدار مجذور کای به درجه آزادی برابر با ۰.۶۸ به دست آمد که بسیار کمتر از آستانه محافظه‌کارانه ۲.۰۰ است. شاخص‌های برازش تطبیقی (۱.۰۰۰ = CFI) و توکر-لوئیس (۱.۰۰۰ = TLI) از حد آستانه ۰.۹۵ فراتر رفته و حاکی از انطباق فوق‌العاده الگو با ماتریس کوواریانس نمونه است. همچنین شاخص ریشه خطای تقریب (۰.۰۰۰ = RMSEA) و ریشه مجذورات باقیمانده (۰.۰۳۶ = SRMR) تبیین بسیار دقیق داده‌ها توسط الگوی فرضی را تصدیق می‌کنند.</w:t>
      </w:r>
    </w:p>
    <w:p>
      <w:pPr>
        <w:bidi/>
        <w:jc w:val="right"/>
      </w:pPr>
      <w:r>
        <w:rPr>
          <w:rFonts w:ascii="B Titr" w:hAnsi="B Titr"/>
          <w:b/>
          <w:sz w:val="26"/>
          <w:rFonts w:ascii="B Titr" w:hAnsi="B Titr" w:cs="B Titr"/>
          <w:rtl/>
        </w:rPr>
        <w:t>۲. برآورد ضرایب مسیرهای مستقیم الگوی ساختاری</w:t>
      </w:r>
    </w:p>
    <w:p>
      <w:pPr>
        <w:bidi/>
        <w:jc w:val="both"/>
      </w:pPr>
      <w:r>
        <w:rPr>
          <w:rFonts w:ascii="B Nazanin" w:hAnsi="B Nazanin"/>
          <w:b w:val="0"/>
          <w:i w:val="0"/>
          <w:sz w:val="26"/>
          <w:rFonts w:ascii="B Nazanin" w:hAnsi="B Nazanin" w:cs="B Nazanin"/>
          <w:rtl/>
        </w:rPr>
        <w:t>پس از احراز برازش بسیار مطلوب الگوی ساختاری کلان، ضرایب غیراستاندارد (B)، خطای استاندارد (SE)، ضرایب استاندارد مسیر (β)، مقادیر نسبت بحرانی (z) و سطوح معناداری مربوط به مسیرهای مستقیم الگو برآورد گردید. جدول ج جزئیات پارامترهای برآوردشده را منعکس می‌سازد.</w:t>
      </w:r>
    </w:p>
    <w:p>
      <w:pPr>
        <w:bidi/>
        <w:jc w:val="right"/>
      </w:pPr>
      <w:r>
        <w:rPr>
          <w:rFonts w:ascii="B Nazanin" w:hAnsi="B Nazanin"/>
          <w:b/>
          <w:sz w:val="22"/>
        </w:rPr>
        <w:t>جدول ج. برآورد ضرایب مسیرهای مستقیم الگوی ساختاری پژوهش (۲۵۰ = N)</w:t>
      </w:r>
    </w:p>
    <w:tbl>
      <w:tblPr>
        <w:tblW w:type="auto" w:w="0"/>
        <w:jc w:val="center"/>
        <w:tblLook w:firstColumn="1" w:firstRow="1" w:lastColumn="0" w:lastRow="0" w:noHBand="0" w:noVBand="1" w:val="04A0"/>
        <w:bidiVisual/>
      </w:tblPr>
      <w:tblGrid>
        <w:gridCol w:w="1234"/>
        <w:gridCol w:w="1234"/>
        <w:gridCol w:w="1234"/>
        <w:gridCol w:w="1234"/>
        <w:gridCol w:w="1234"/>
        <w:gridCol w:w="1234"/>
        <w:gridCol w:w="1234"/>
      </w:tblGrid>
      <w:tr>
        <w:tc>
          <w:tcPr>
            <w:tcW w:type="dxa" w:w="1234"/>
          </w:tcPr>
          <w:p>
            <w:pPr>
              <w:bidi/>
              <w:jc w:val="center"/>
            </w:pPr>
            <w:r>
              <w:rPr>
                <w:rFonts w:ascii="B Nazanin" w:hAnsi="B Nazanin"/>
                <w:b/>
                <w:sz w:val="20"/>
              </w:rPr>
              <w:t>مسیر ساختاری مستقیم</w:t>
            </w:r>
          </w:p>
        </w:tc>
        <w:tc>
          <w:tcPr>
            <w:tcW w:type="dxa" w:w="1234"/>
          </w:tcPr>
          <w:p>
            <w:pPr>
              <w:bidi/>
              <w:jc w:val="center"/>
            </w:pPr>
            <w:r>
              <w:rPr>
                <w:rFonts w:ascii="B Nazanin" w:hAnsi="B Nazanin"/>
                <w:b/>
                <w:sz w:val="20"/>
              </w:rPr>
              <w:t>B</w:t>
            </w:r>
          </w:p>
        </w:tc>
        <w:tc>
          <w:tcPr>
            <w:tcW w:type="dxa" w:w="1234"/>
          </w:tcPr>
          <w:p>
            <w:pPr>
              <w:bidi/>
              <w:jc w:val="center"/>
            </w:pPr>
            <w:r>
              <w:rPr>
                <w:rFonts w:ascii="B Nazanin" w:hAnsi="B Nazanin"/>
                <w:b/>
                <w:sz w:val="20"/>
              </w:rPr>
              <w:t>SE</w:t>
            </w:r>
          </w:p>
        </w:tc>
        <w:tc>
          <w:tcPr>
            <w:tcW w:type="dxa" w:w="1234"/>
          </w:tcPr>
          <w:p>
            <w:pPr>
              <w:bidi/>
              <w:jc w:val="center"/>
            </w:pPr>
            <w:r>
              <w:rPr>
                <w:rFonts w:ascii="B Nazanin" w:hAnsi="B Nazanin"/>
                <w:b/>
                <w:sz w:val="20"/>
              </w:rPr>
              <w:t>β</w:t>
            </w:r>
          </w:p>
        </w:tc>
        <w:tc>
          <w:tcPr>
            <w:tcW w:type="dxa" w:w="1234"/>
          </w:tcPr>
          <w:p>
            <w:pPr>
              <w:bidi/>
              <w:jc w:val="center"/>
            </w:pPr>
            <w:r>
              <w:rPr>
                <w:rFonts w:ascii="B Nazanin" w:hAnsi="B Nazanin"/>
                <w:b/>
                <w:sz w:val="20"/>
              </w:rPr>
              <w:t>z</w:t>
            </w:r>
          </w:p>
        </w:tc>
        <w:tc>
          <w:tcPr>
            <w:tcW w:type="dxa" w:w="1234"/>
          </w:tcPr>
          <w:p>
            <w:pPr>
              <w:bidi/>
              <w:jc w:val="center"/>
            </w:pPr>
            <w:r>
              <w:rPr>
                <w:rFonts w:ascii="B Nazanin" w:hAnsi="B Nazanin"/>
                <w:b/>
                <w:sz w:val="20"/>
              </w:rPr>
              <w:t>سطح معناداری (p)</w:t>
            </w:r>
          </w:p>
        </w:tc>
        <w:tc>
          <w:tcPr>
            <w:tcW w:type="dxa" w:w="1234"/>
          </w:tcPr>
          <w:p>
            <w:pPr>
              <w:bidi/>
              <w:jc w:val="center"/>
            </w:pPr>
            <w:r>
              <w:rPr>
                <w:rFonts w:ascii="B Nazanin" w:hAnsi="B Nazanin"/>
                <w:b/>
                <w:sz w:val="20"/>
              </w:rPr>
              <w:t>نتیجه آماری</w:t>
            </w:r>
          </w:p>
        </w:tc>
      </w:tr>
      <w:tr>
        <w:tc>
          <w:tcPr>
            <w:tcW w:type="dxa" w:w="1234"/>
          </w:tcPr>
          <w:p>
            <w:pPr>
              <w:bidi/>
              <w:jc w:val="center"/>
            </w:pPr>
            <w:r>
              <w:rPr>
                <w:rFonts w:ascii="B Nazanin" w:hAnsi="B Nazanin"/>
                <w:sz w:val="20"/>
              </w:rPr>
              <w:t>توجه‌آگاهی در محیط کار ← انعطاف‌پذیری روان‌شناختی</w:t>
            </w:r>
          </w:p>
        </w:tc>
        <w:tc>
          <w:tcPr>
            <w:tcW w:type="dxa" w:w="1234"/>
          </w:tcPr>
          <w:p>
            <w:pPr>
              <w:bidi/>
              <w:jc w:val="center"/>
            </w:pPr>
            <w:r>
              <w:rPr>
                <w:rFonts w:ascii="Times New Roman" w:hAnsi="Times New Roman"/>
                <w:sz w:val="20"/>
              </w:rPr>
              <w:t>۰.۵۷۶</w:t>
            </w:r>
          </w:p>
        </w:tc>
        <w:tc>
          <w:tcPr>
            <w:tcW w:type="dxa" w:w="1234"/>
          </w:tcPr>
          <w:p>
            <w:pPr>
              <w:bidi/>
              <w:jc w:val="center"/>
            </w:pPr>
            <w:r>
              <w:rPr>
                <w:rFonts w:ascii="Times New Roman" w:hAnsi="Times New Roman"/>
                <w:sz w:val="20"/>
              </w:rPr>
              <w:t>۰.۰۸۵</w:t>
            </w:r>
          </w:p>
        </w:tc>
        <w:tc>
          <w:tcPr>
            <w:tcW w:type="dxa" w:w="1234"/>
          </w:tcPr>
          <w:p>
            <w:pPr>
              <w:bidi/>
              <w:jc w:val="center"/>
            </w:pPr>
            <w:r>
              <w:rPr>
                <w:rFonts w:ascii="Times New Roman" w:hAnsi="Times New Roman"/>
                <w:sz w:val="20"/>
              </w:rPr>
              <w:t>۰.۵۹۱</w:t>
            </w:r>
          </w:p>
        </w:tc>
        <w:tc>
          <w:tcPr>
            <w:tcW w:type="dxa" w:w="1234"/>
          </w:tcPr>
          <w:p>
            <w:pPr>
              <w:bidi/>
              <w:jc w:val="center"/>
            </w:pPr>
            <w:r>
              <w:rPr>
                <w:rFonts w:ascii="Times New Roman" w:hAnsi="Times New Roman"/>
                <w:sz w:val="20"/>
              </w:rPr>
              <w:t>۶.۷۸</w:t>
            </w:r>
          </w:p>
        </w:tc>
        <w:tc>
          <w:tcPr>
            <w:tcW w:type="dxa" w:w="1234"/>
          </w:tcPr>
          <w:p>
            <w:pPr>
              <w:bidi/>
              <w:jc w:val="center"/>
            </w:pPr>
            <w:r>
              <w:rPr>
                <w:rFonts w:ascii="Times New Roman" w:hAnsi="Times New Roman"/>
                <w:sz w:val="20"/>
              </w:rPr>
              <w:t>۰.۰۰۱ &gt; p</w:t>
            </w:r>
          </w:p>
        </w:tc>
        <w:tc>
          <w:tcPr>
            <w:tcW w:type="dxa" w:w="1234"/>
          </w:tcPr>
          <w:p>
            <w:pPr>
              <w:bidi/>
              <w:jc w:val="center"/>
            </w:pPr>
            <w:r>
              <w:rPr>
                <w:rFonts w:ascii="B Nazanin" w:hAnsi="B Nazanin"/>
                <w:sz w:val="20"/>
              </w:rPr>
              <w:t>تأیید مسیر</w:t>
            </w:r>
          </w:p>
        </w:tc>
      </w:tr>
      <w:tr>
        <w:tc>
          <w:tcPr>
            <w:tcW w:type="dxa" w:w="1234"/>
          </w:tcPr>
          <w:p>
            <w:pPr>
              <w:bidi/>
              <w:jc w:val="center"/>
            </w:pPr>
            <w:r>
              <w:rPr>
                <w:rFonts w:ascii="B Nazanin" w:hAnsi="B Nazanin"/>
                <w:sz w:val="20"/>
              </w:rPr>
              <w:t>انعطاف‌پذیری روان‌شناختی ← بهزیستی شغلی</w:t>
            </w:r>
          </w:p>
        </w:tc>
        <w:tc>
          <w:tcPr>
            <w:tcW w:type="dxa" w:w="1234"/>
          </w:tcPr>
          <w:p>
            <w:pPr>
              <w:bidi/>
              <w:jc w:val="center"/>
            </w:pPr>
            <w:r>
              <w:rPr>
                <w:rFonts w:ascii="Times New Roman" w:hAnsi="Times New Roman"/>
                <w:sz w:val="20"/>
              </w:rPr>
              <w:t>۰.۳۲۵</w:t>
            </w:r>
          </w:p>
        </w:tc>
        <w:tc>
          <w:tcPr>
            <w:tcW w:type="dxa" w:w="1234"/>
          </w:tcPr>
          <w:p>
            <w:pPr>
              <w:bidi/>
              <w:jc w:val="center"/>
            </w:pPr>
            <w:r>
              <w:rPr>
                <w:rFonts w:ascii="Times New Roman" w:hAnsi="Times New Roman"/>
                <w:sz w:val="20"/>
              </w:rPr>
              <w:t>۰.۰۸۴</w:t>
            </w:r>
          </w:p>
        </w:tc>
        <w:tc>
          <w:tcPr>
            <w:tcW w:type="dxa" w:w="1234"/>
          </w:tcPr>
          <w:p>
            <w:pPr>
              <w:bidi/>
              <w:jc w:val="center"/>
            </w:pPr>
            <w:r>
              <w:rPr>
                <w:rFonts w:ascii="Times New Roman" w:hAnsi="Times New Roman"/>
                <w:sz w:val="20"/>
              </w:rPr>
              <w:t>۰.۳۵۷</w:t>
            </w:r>
          </w:p>
        </w:tc>
        <w:tc>
          <w:tcPr>
            <w:tcW w:type="dxa" w:w="1234"/>
          </w:tcPr>
          <w:p>
            <w:pPr>
              <w:bidi/>
              <w:jc w:val="center"/>
            </w:pPr>
            <w:r>
              <w:rPr>
                <w:rFonts w:ascii="Times New Roman" w:hAnsi="Times New Roman"/>
                <w:sz w:val="20"/>
              </w:rPr>
              <w:t>۳.۸۹</w:t>
            </w:r>
          </w:p>
        </w:tc>
        <w:tc>
          <w:tcPr>
            <w:tcW w:type="dxa" w:w="1234"/>
          </w:tcPr>
          <w:p>
            <w:pPr>
              <w:bidi/>
              <w:jc w:val="center"/>
            </w:pPr>
            <w:r>
              <w:rPr>
                <w:rFonts w:ascii="Times New Roman" w:hAnsi="Times New Roman"/>
                <w:sz w:val="20"/>
              </w:rPr>
              <w:t>۰.۰۰۱ &gt; p</w:t>
            </w:r>
          </w:p>
        </w:tc>
        <w:tc>
          <w:tcPr>
            <w:tcW w:type="dxa" w:w="1234"/>
          </w:tcPr>
          <w:p>
            <w:pPr>
              <w:bidi/>
              <w:jc w:val="center"/>
            </w:pPr>
            <w:r>
              <w:rPr>
                <w:rFonts w:ascii="B Nazanin" w:hAnsi="B Nazanin"/>
                <w:sz w:val="20"/>
              </w:rPr>
              <w:t>تأیید مسیر</w:t>
            </w:r>
          </w:p>
        </w:tc>
      </w:tr>
      <w:tr>
        <w:tc>
          <w:tcPr>
            <w:tcW w:type="dxa" w:w="1234"/>
          </w:tcPr>
          <w:p>
            <w:pPr>
              <w:bidi/>
              <w:jc w:val="center"/>
            </w:pPr>
            <w:r>
              <w:rPr>
                <w:rFonts w:ascii="B Nazanin" w:hAnsi="B Nazanin"/>
                <w:sz w:val="20"/>
              </w:rPr>
              <w:t>توجه‌آگاهی در محیط کار ← بهزیستی شغلی</w:t>
            </w:r>
          </w:p>
        </w:tc>
        <w:tc>
          <w:tcPr>
            <w:tcW w:type="dxa" w:w="1234"/>
          </w:tcPr>
          <w:p>
            <w:pPr>
              <w:bidi/>
              <w:jc w:val="center"/>
            </w:pPr>
            <w:r>
              <w:rPr>
                <w:rFonts w:ascii="Times New Roman" w:hAnsi="Times New Roman"/>
                <w:sz w:val="20"/>
              </w:rPr>
              <w:t>۰.۳۹۶</w:t>
            </w:r>
          </w:p>
        </w:tc>
        <w:tc>
          <w:tcPr>
            <w:tcW w:type="dxa" w:w="1234"/>
          </w:tcPr>
          <w:p>
            <w:pPr>
              <w:bidi/>
              <w:jc w:val="center"/>
            </w:pPr>
            <w:r>
              <w:rPr>
                <w:rFonts w:ascii="Times New Roman" w:hAnsi="Times New Roman"/>
                <w:sz w:val="20"/>
              </w:rPr>
              <w:t>۰.۰۸۵</w:t>
            </w:r>
          </w:p>
        </w:tc>
        <w:tc>
          <w:tcPr>
            <w:tcW w:type="dxa" w:w="1234"/>
          </w:tcPr>
          <w:p>
            <w:pPr>
              <w:bidi/>
              <w:jc w:val="center"/>
            </w:pPr>
            <w:r>
              <w:rPr>
                <w:rFonts w:ascii="Times New Roman" w:hAnsi="Times New Roman"/>
                <w:sz w:val="20"/>
              </w:rPr>
              <w:t>۰.۴۴۷</w:t>
            </w:r>
          </w:p>
        </w:tc>
        <w:tc>
          <w:tcPr>
            <w:tcW w:type="dxa" w:w="1234"/>
          </w:tcPr>
          <w:p>
            <w:pPr>
              <w:bidi/>
              <w:jc w:val="center"/>
            </w:pPr>
            <w:r>
              <w:rPr>
                <w:rFonts w:ascii="Times New Roman" w:hAnsi="Times New Roman"/>
                <w:sz w:val="20"/>
              </w:rPr>
              <w:t>۴.۶۷</w:t>
            </w:r>
          </w:p>
        </w:tc>
        <w:tc>
          <w:tcPr>
            <w:tcW w:type="dxa" w:w="1234"/>
          </w:tcPr>
          <w:p>
            <w:pPr>
              <w:bidi/>
              <w:jc w:val="center"/>
            </w:pPr>
            <w:r>
              <w:rPr>
                <w:rFonts w:ascii="Times New Roman" w:hAnsi="Times New Roman"/>
                <w:sz w:val="20"/>
              </w:rPr>
              <w:t>۰.۰۰۱ &gt; p</w:t>
            </w:r>
          </w:p>
        </w:tc>
        <w:tc>
          <w:tcPr>
            <w:tcW w:type="dxa" w:w="1234"/>
          </w:tcPr>
          <w:p>
            <w:pPr>
              <w:bidi/>
              <w:jc w:val="center"/>
            </w:pPr>
            <w:r>
              <w:rPr>
                <w:rFonts w:ascii="B Nazanin" w:hAnsi="B Nazanin"/>
                <w:sz w:val="20"/>
              </w:rPr>
              <w:t>تأیید مسیر</w:t>
            </w:r>
          </w:p>
        </w:tc>
      </w:tr>
    </w:tbl>
    <w:p>
      <w:pPr>
        <w:bidi/>
        <w:jc w:val="both"/>
      </w:pPr>
      <w:r>
        <w:rPr>
          <w:rFonts w:ascii="B Nazanin" w:hAnsi="B Nazanin"/>
          <w:i/>
          <w:sz w:val="20"/>
        </w:rPr>
        <w:t>یادداشت. B: ضریب رگرسیونی غیراستاندارد؛ β: ضریب استاندارد مسیر؛ z: نسبت بحرانی؛ ۰.۰۰۱ &gt; p.</w:t>
      </w:r>
    </w:p>
    <w:p>
      <w:pPr>
        <w:bidi/>
        <w:jc w:val="both"/>
      </w:pPr>
      <w:r>
        <w:rPr>
          <w:rFonts w:ascii="B Nazanin" w:hAnsi="B Nazanin"/>
          <w:b w:val="0"/>
          <w:i w:val="0"/>
          <w:sz w:val="26"/>
          <w:rFonts w:ascii="B Nazanin" w:hAnsi="B Nazanin" w:cs="B Nazanin"/>
          <w:rtl/>
        </w:rPr>
        <w:t>یافته‌های مندرج در جدول ج نشان می‌دهد که مسیر مستقیم توجه‌آگاهی در محیط کار به انعطاف‌پذیری روان‌شناختی با ضریب استاندارد ۰.۵۹۱ و آماره ۶.۷۸ = z در سطح ۰.۰۰۱ &gt; p معنادار است. همچنین ضریب مسیر مستقیم انعطاف‌پذیری روان‌شناختی به بهزیستی شغلی با ضریب استاندارد ۰.۳۵۷ و آماره ۳.۸۹ = z معنادار است. مسیر مستقیم توجه‌آگاهی به بهزیستی شغلی نیز با ضریب ۰.۴۴۷ و آماره ۴.۶۷ = z تأیید شد.</w:t>
      </w:r>
    </w:p>
    <w:p>
      <w:pPr>
        <w:bidi/>
        <w:jc w:val="right"/>
      </w:pPr>
      <w:r>
        <w:rPr>
          <w:rFonts w:ascii="B Titr" w:hAnsi="B Titr"/>
          <w:b/>
          <w:sz w:val="26"/>
          <w:rFonts w:ascii="B Titr" w:hAnsi="B Titr" w:cs="B Titr"/>
          <w:rtl/>
        </w:rPr>
        <w:t>۳. آزمون اثرات غیرمستقیم و میانجی‌گری ساختاری به روش بوت‌استراپ</w:t>
      </w:r>
    </w:p>
    <w:p>
      <w:pPr>
        <w:bidi/>
        <w:jc w:val="both"/>
      </w:pPr>
      <w:r>
        <w:rPr>
          <w:rFonts w:ascii="B Nazanin" w:hAnsi="B Nazanin"/>
          <w:b w:val="0"/>
          <w:i w:val="0"/>
          <w:sz w:val="26"/>
          <w:rFonts w:ascii="B Nazanin" w:hAnsi="B Nazanin" w:cs="B Nazanin"/>
          <w:rtl/>
        </w:rPr>
        <w:t>به منظور بررسی نقش میانجی انعطاف‌پذیری روان‌شناختی در پیوند میان توجه‌آگاهی و بهزیستی شغلی، از الگوریتم بازنمونه‌گیری بوت‌استراپ با ۵۰۰۰ مرتبه نمونه‌گیری مجدد و محاسبه فاصله اطمینان تصحیح‌شده بر اساس سوگیری (BCa) در سطح ۹۵ درصد بهره گرفته شد. نتایج در جدول د خلاصه شده است.</w:t>
      </w:r>
    </w:p>
    <w:p>
      <w:pPr>
        <w:bidi/>
        <w:jc w:val="right"/>
      </w:pPr>
      <w:r>
        <w:rPr>
          <w:rFonts w:ascii="B Nazanin" w:hAnsi="B Nazanin"/>
          <w:b/>
          <w:sz w:val="22"/>
        </w:rPr>
        <w:t>جدول د. نتایج آزمون بوت‌استراپ اثر غیرمستقیم میانجی انعطاف‌پذیری روان‌شناختی (۵۰۰۰ = نوبت بوت‌استراپ)</w:t>
      </w:r>
    </w:p>
    <w:tbl>
      <w:tblPr>
        <w:tblW w:type="auto" w:w="0"/>
        <w:jc w:val="center"/>
        <w:tblLook w:firstColumn="1" w:firstRow="1" w:lastColumn="0" w:lastRow="0" w:noHBand="0" w:noVBand="1" w:val="04A0"/>
        <w:bidiVisual/>
      </w:tblPr>
      <w:tblGrid>
        <w:gridCol w:w="1234"/>
        <w:gridCol w:w="1234"/>
        <w:gridCol w:w="1234"/>
        <w:gridCol w:w="1234"/>
        <w:gridCol w:w="1234"/>
        <w:gridCol w:w="1234"/>
        <w:gridCol w:w="1234"/>
      </w:tblGrid>
      <w:tr>
        <w:tc>
          <w:tcPr>
            <w:tcW w:type="dxa" w:w="1234"/>
          </w:tcPr>
          <w:p>
            <w:pPr>
              <w:bidi/>
              <w:jc w:val="center"/>
            </w:pPr>
            <w:r>
              <w:rPr>
                <w:rFonts w:ascii="B Nazanin" w:hAnsi="B Nazanin"/>
                <w:b/>
                <w:sz w:val="20"/>
              </w:rPr>
              <w:t>مسیر غیرمستقیم میانجی</w:t>
            </w:r>
          </w:p>
        </w:tc>
        <w:tc>
          <w:tcPr>
            <w:tcW w:type="dxa" w:w="1234"/>
          </w:tcPr>
          <w:p>
            <w:pPr>
              <w:bidi/>
              <w:jc w:val="center"/>
            </w:pPr>
            <w:r>
              <w:rPr>
                <w:rFonts w:ascii="B Nazanin" w:hAnsi="B Nazanin"/>
                <w:b/>
                <w:sz w:val="20"/>
              </w:rPr>
              <w:t>اثر غیرمستقیم (β)</w:t>
            </w:r>
          </w:p>
        </w:tc>
        <w:tc>
          <w:tcPr>
            <w:tcW w:type="dxa" w:w="1234"/>
          </w:tcPr>
          <w:p>
            <w:pPr>
              <w:bidi/>
              <w:jc w:val="center"/>
            </w:pPr>
            <w:r>
              <w:rPr>
                <w:rFonts w:ascii="B Nazanin" w:hAnsi="B Nazanin"/>
                <w:b/>
                <w:sz w:val="20"/>
              </w:rPr>
              <w:t>خطای استاندارد بوت</w:t>
            </w:r>
          </w:p>
        </w:tc>
        <w:tc>
          <w:tcPr>
            <w:tcW w:type="dxa" w:w="1234"/>
          </w:tcPr>
          <w:p>
            <w:pPr>
              <w:bidi/>
              <w:jc w:val="center"/>
            </w:pPr>
            <w:r>
              <w:rPr>
                <w:rFonts w:ascii="B Nazanin" w:hAnsi="B Nazanin"/>
                <w:b/>
                <w:sz w:val="20"/>
              </w:rPr>
              <w:t>کران پایین CI</w:t>
            </w:r>
          </w:p>
        </w:tc>
        <w:tc>
          <w:tcPr>
            <w:tcW w:type="dxa" w:w="1234"/>
          </w:tcPr>
          <w:p>
            <w:pPr>
              <w:bidi/>
              <w:jc w:val="center"/>
            </w:pPr>
            <w:r>
              <w:rPr>
                <w:rFonts w:ascii="B Nazanin" w:hAnsi="B Nazanin"/>
                <w:b/>
                <w:sz w:val="20"/>
              </w:rPr>
              <w:t>کران بالا CI</w:t>
            </w:r>
          </w:p>
        </w:tc>
        <w:tc>
          <w:tcPr>
            <w:tcW w:type="dxa" w:w="1234"/>
          </w:tcPr>
          <w:p>
            <w:pPr>
              <w:bidi/>
              <w:jc w:val="center"/>
            </w:pPr>
            <w:r>
              <w:rPr>
                <w:rFonts w:ascii="B Nazanin" w:hAnsi="B Nazanin"/>
                <w:b/>
                <w:sz w:val="20"/>
              </w:rPr>
              <w:t>سطح معناداری (p)</w:t>
            </w:r>
          </w:p>
        </w:tc>
        <w:tc>
          <w:tcPr>
            <w:tcW w:type="dxa" w:w="1234"/>
          </w:tcPr>
          <w:p>
            <w:pPr>
              <w:bidi/>
              <w:jc w:val="center"/>
            </w:pPr>
            <w:r>
              <w:rPr>
                <w:rFonts w:ascii="B Nazanin" w:hAnsi="B Nazanin"/>
                <w:b/>
                <w:sz w:val="20"/>
              </w:rPr>
              <w:t>نتیجه تجربی</w:t>
            </w:r>
          </w:p>
        </w:tc>
      </w:tr>
      <w:tr>
        <w:tc>
          <w:tcPr>
            <w:tcW w:type="dxa" w:w="1234"/>
          </w:tcPr>
          <w:p>
            <w:pPr>
              <w:bidi/>
              <w:jc w:val="center"/>
            </w:pPr>
            <w:r>
              <w:rPr>
                <w:rFonts w:ascii="B Nazanin" w:hAnsi="B Nazanin"/>
                <w:sz w:val="20"/>
              </w:rPr>
              <w:t>توجه‌آگاهی ← انعطاف‌پذیری ← بهزیستی شغلی</w:t>
            </w:r>
          </w:p>
        </w:tc>
        <w:tc>
          <w:tcPr>
            <w:tcW w:type="dxa" w:w="1234"/>
          </w:tcPr>
          <w:p>
            <w:pPr>
              <w:bidi/>
              <w:jc w:val="center"/>
            </w:pPr>
            <w:r>
              <w:rPr>
                <w:rFonts w:ascii="Times New Roman" w:hAnsi="Times New Roman"/>
                <w:sz w:val="20"/>
              </w:rPr>
              <w:t>۰.۲۱۱</w:t>
            </w:r>
          </w:p>
        </w:tc>
        <w:tc>
          <w:tcPr>
            <w:tcW w:type="dxa" w:w="1234"/>
          </w:tcPr>
          <w:p>
            <w:pPr>
              <w:bidi/>
              <w:jc w:val="center"/>
            </w:pPr>
            <w:r>
              <w:rPr>
                <w:rFonts w:ascii="Times New Roman" w:hAnsi="Times New Roman"/>
                <w:sz w:val="20"/>
              </w:rPr>
              <w:t>۰.۰۴۸</w:t>
            </w:r>
          </w:p>
        </w:tc>
        <w:tc>
          <w:tcPr>
            <w:tcW w:type="dxa" w:w="1234"/>
          </w:tcPr>
          <w:p>
            <w:pPr>
              <w:bidi/>
              <w:jc w:val="center"/>
            </w:pPr>
            <w:r>
              <w:rPr>
                <w:rFonts w:ascii="Times New Roman" w:hAnsi="Times New Roman"/>
                <w:sz w:val="20"/>
              </w:rPr>
              <w:t>۰.۱۱۷</w:t>
            </w:r>
          </w:p>
        </w:tc>
        <w:tc>
          <w:tcPr>
            <w:tcW w:type="dxa" w:w="1234"/>
          </w:tcPr>
          <w:p>
            <w:pPr>
              <w:bidi/>
              <w:jc w:val="center"/>
            </w:pPr>
            <w:r>
              <w:rPr>
                <w:rFonts w:ascii="Times New Roman" w:hAnsi="Times New Roman"/>
                <w:sz w:val="20"/>
              </w:rPr>
              <w:t>۰.۳۰۵</w:t>
            </w:r>
          </w:p>
        </w:tc>
        <w:tc>
          <w:tcPr>
            <w:tcW w:type="dxa" w:w="1234"/>
          </w:tcPr>
          <w:p>
            <w:pPr>
              <w:bidi/>
              <w:jc w:val="center"/>
            </w:pPr>
            <w:r>
              <w:rPr>
                <w:rFonts w:ascii="Times New Roman" w:hAnsi="Times New Roman"/>
                <w:sz w:val="20"/>
              </w:rPr>
              <w:t>۰.۰۰۱ &gt; p</w:t>
            </w:r>
          </w:p>
        </w:tc>
        <w:tc>
          <w:tcPr>
            <w:tcW w:type="dxa" w:w="1234"/>
          </w:tcPr>
          <w:p>
            <w:pPr>
              <w:bidi/>
              <w:jc w:val="center"/>
            </w:pPr>
            <w:r>
              <w:rPr>
                <w:rFonts w:ascii="B Nazanin" w:hAnsi="B Nazanin"/>
                <w:sz w:val="20"/>
              </w:rPr>
              <w:t>تأیید میانجی‌گری جزئی</w:t>
            </w:r>
          </w:p>
        </w:tc>
      </w:tr>
    </w:tbl>
    <w:p>
      <w:pPr>
        <w:bidi/>
        <w:jc w:val="both"/>
      </w:pPr>
      <w:r>
        <w:rPr>
          <w:rFonts w:ascii="B Nazanin" w:hAnsi="B Nazanin"/>
          <w:i/>
          <w:sz w:val="20"/>
        </w:rPr>
        <w:t>یادداشت. فاصله اطمینان ۹۵ درصد با ۵۰۰۰ نوبت بوت‌استراپ BCa محاسبه شد. عدم شمول صفر در فاصله اطمینان معناداری اثر را تصدیق می‌کند.</w:t>
      </w:r>
    </w:p>
    <w:p>
      <w:pPr>
        <w:bidi/>
        <w:jc w:val="both"/>
      </w:pPr>
      <w:r>
        <w:rPr>
          <w:rFonts w:ascii="B Nazanin" w:hAnsi="B Nazanin"/>
          <w:b w:val="0"/>
          <w:i w:val="0"/>
          <w:sz w:val="26"/>
          <w:rFonts w:ascii="B Nazanin" w:hAnsi="B Nazanin" w:cs="B Nazanin"/>
          <w:rtl/>
        </w:rPr>
        <w:t>بر اساس داده‌های جدول د، مقدار برآورد نقطه‌ای ضریب استاندارد اثر غیرمستقیم برابر با ۰.۲۱۱ است. از آنجا که دامنه فاصله اطمینان ۹۵ درصد بوت‌استراپ تصحیح‌شده [۰.۱۱۷ ، ۰.۳۰۵] به طور کامل در بازه اعداد مثبت قرار دارد و عدد صفر را در بر نمی‌گیرد، اثر غیرمستقیم با اطمینان ۹۹ درصد معنادار است. با توجه به معنادار ماندن اثر مستقیم توجه‌آگاهی به بهزیستی شغلی (۰.۴۴۷ = β)، انعطاف‌پذیری روان‌شناختی نقش میانجی‌گری جزئی (Partial Mediation) را در این پیوند ایفا می‌کند.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