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B Titr" w:hAnsi="B Titr"/>
          <w:b/>
          <w:sz w:val="28"/>
          <w:rFonts w:ascii="B Titr" w:hAnsi="B Titr" w:cs="B Titr"/>
          <w:rtl/>
        </w:rPr>
        <w:t>آزمون فرضیه اول: پیش‌بینی فرسودگی شغلی بر اساس استرس شغلی و انعطاف‌پذیری روان‌شناختی</w:t>
      </w:r>
    </w:p>
    <w:p>
      <w:pPr>
        <w:bidi/>
        <w:jc w:val="right"/>
      </w:pPr>
      <w:r>
        <w:rPr>
          <w:rFonts w:ascii="B Titr" w:hAnsi="B Titr"/>
          <w:b/>
          <w:sz w:val="26"/>
          <w:rFonts w:ascii="B Titr" w:hAnsi="B Titr" w:cs="B Titr"/>
          <w:rtl/>
        </w:rPr>
        <w:t>۱. بیان فرضیه و صورت‌بندی مدل</w:t>
      </w:r>
    </w:p>
    <w:p>
      <w:pPr>
        <w:bidi/>
        <w:jc w:val="both"/>
      </w:pPr>
      <w:r>
        <w:rPr>
          <w:rFonts w:ascii="B Nazanin" w:hAnsi="B Nazanin"/>
          <w:b w:val="0"/>
          <w:i w:val="0"/>
          <w:sz w:val="26"/>
          <w:rFonts w:ascii="B Nazanin" w:hAnsi="B Nazanin" w:cs="B Nazanin"/>
          <w:rtl/>
        </w:rPr>
        <w:t>فرضیه اول پژوهش بیان می‌دارد که «استرس شغلی و انعطاف‌پذیری روان‌شناختی به طور همزمان فرسودگی شغلی کارکنان را پیش‌بینی می‌کنند». به منظور ارزیابی سهم نسبی هر یک از متغیرهای پیش‌بین در تبیین واریانس متغیر ملاک، از الگوی رگرسیون خطی چندگانه به روش همزمان (Enter) استفاده شد.</w:t>
      </w:r>
    </w:p>
    <w:p>
      <w:pPr>
        <w:bidi/>
        <w:jc w:val="right"/>
      </w:pPr>
      <w:r>
        <w:rPr>
          <w:rFonts w:ascii="B Titr" w:hAnsi="B Titr"/>
          <w:b/>
          <w:sz w:val="26"/>
          <w:rFonts w:ascii="B Titr" w:hAnsi="B Titr" w:cs="B Titr"/>
          <w:rtl/>
        </w:rPr>
        <w:t>۲. بررسی مفروضه‌های آماری رگرسیون</w:t>
      </w:r>
    </w:p>
    <w:p>
      <w:pPr>
        <w:bidi/>
        <w:jc w:val="both"/>
      </w:pPr>
      <w:r>
        <w:rPr>
          <w:rFonts w:ascii="B Nazanin" w:hAnsi="B Nazanin"/>
          <w:b w:val="0"/>
          <w:i w:val="0"/>
          <w:sz w:val="26"/>
          <w:rFonts w:ascii="B Nazanin" w:hAnsi="B Nazanin" w:cs="B Nazanin"/>
          <w:rtl/>
        </w:rPr>
        <w:t>پیش از اجرای تحلیل رگرسیون، پیش‌شرط‌های اساسی شامل نرمال بودن توزیع خطاهای برآورد، خطی بودن رابطه متغیرها و عدم هم‌خطی چندگانه مورد ارزیابی قرار گرفت. شاخص‌های چولگی و کشیدگی متغیرها در محدوده استاندارد (بین ۱- تا ۱+) قرار داشت که نشان‌دهنده برقراری فرض توزیع نرمال است. همچنین، شاخص عامل تورم واریانس (VIF) برای هر دو متغیر پیش‌بین برابر با ۱.۰۹ و شاخص رواداری (Tolerance) برابر با ۰.۹۲ محاسبه شد که حاکی از فقدان هم‌خطی چندگانه بحرانی میان متغیرهای پیش‌بین است.</w:t>
      </w:r>
    </w:p>
    <w:p>
      <w:pPr>
        <w:bidi/>
        <w:jc w:val="right"/>
      </w:pPr>
      <w:r>
        <w:rPr>
          <w:rFonts w:ascii="B Titr" w:hAnsi="B Titr"/>
          <w:b/>
          <w:sz w:val="26"/>
          <w:rFonts w:ascii="B Titr" w:hAnsi="B Titr" w:cs="B Titr"/>
          <w:rtl/>
        </w:rPr>
        <w:t>۳. یافته‌های استنباطی رگرسیون چندگانه</w:t>
      </w:r>
    </w:p>
    <w:p>
      <w:pPr>
        <w:bidi/>
        <w:jc w:val="both"/>
      </w:pPr>
      <w:r>
        <w:rPr>
          <w:rFonts w:ascii="B Nazanin" w:hAnsi="B Nazanin"/>
          <w:b w:val="0"/>
          <w:i w:val="0"/>
          <w:sz w:val="26"/>
          <w:rFonts w:ascii="B Nazanin" w:hAnsi="B Nazanin" w:cs="B Nazanin"/>
          <w:rtl/>
        </w:rPr>
        <w:t>خلاصه مشخصه‌های آماری مدل رگرسیون و ضرایب استاندارد و غیراستاندارد متغیرهای پیش‌بین در جدول ۱ گزارش شده است.</w:t>
      </w:r>
    </w:p>
    <w:p>
      <w:pPr>
        <w:bidi/>
        <w:jc w:val="right"/>
      </w:pPr>
      <w:r>
        <w:rPr>
          <w:rFonts w:ascii="B Nazanin" w:hAnsi="B Nazanin"/>
          <w:b/>
          <w:sz w:val="22"/>
        </w:rPr>
        <w:t>جدول ۱. ضرایب رگرسیون چندگانه پیش‌بینی فرسودگی شغلی بر اساس استرس شغلی و انعطاف‌پذیری روان‌شناختی (۱۰۰ = N)</w:t>
      </w:r>
    </w:p>
    <w:tbl>
      <w:tblPr>
        <w:tblW w:type="auto" w:w="0"/>
        <w:jc w:val="center"/>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center"/>
            </w:pPr>
            <w:r>
              <w:rPr>
                <w:rFonts w:ascii="B Nazanin" w:hAnsi="B Nazanin"/>
                <w:b/>
                <w:sz w:val="22"/>
              </w:rPr>
              <w:t>متغیر پیش‌بین</w:t>
            </w:r>
          </w:p>
        </w:tc>
        <w:tc>
          <w:tcPr>
            <w:tcW w:type="dxa" w:w="1234"/>
          </w:tcPr>
          <w:p>
            <w:pPr>
              <w:bidi/>
              <w:jc w:val="center"/>
            </w:pPr>
            <w:r>
              <w:rPr>
                <w:rFonts w:ascii="B Nazanin" w:hAnsi="B Nazanin"/>
                <w:b/>
                <w:sz w:val="22"/>
              </w:rPr>
              <w:t>B</w:t>
            </w:r>
          </w:p>
        </w:tc>
        <w:tc>
          <w:tcPr>
            <w:tcW w:type="dxa" w:w="1234"/>
          </w:tcPr>
          <w:p>
            <w:pPr>
              <w:bidi/>
              <w:jc w:val="center"/>
            </w:pPr>
            <w:r>
              <w:rPr>
                <w:rFonts w:ascii="B Nazanin" w:hAnsi="B Nazanin"/>
                <w:b/>
                <w:sz w:val="22"/>
              </w:rPr>
              <w:t>SE</w:t>
            </w:r>
          </w:p>
        </w:tc>
        <w:tc>
          <w:tcPr>
            <w:tcW w:type="dxa" w:w="1234"/>
          </w:tcPr>
          <w:p>
            <w:pPr>
              <w:bidi/>
              <w:jc w:val="center"/>
            </w:pPr>
            <w:r>
              <w:rPr>
                <w:rFonts w:ascii="B Nazanin" w:hAnsi="B Nazanin"/>
                <w:b/>
                <w:sz w:val="22"/>
              </w:rPr>
              <w:t>β</w:t>
            </w:r>
          </w:p>
        </w:tc>
        <w:tc>
          <w:tcPr>
            <w:tcW w:type="dxa" w:w="1234"/>
          </w:tcPr>
          <w:p>
            <w:pPr>
              <w:bidi/>
              <w:jc w:val="center"/>
            </w:pPr>
            <w:r>
              <w:rPr>
                <w:rFonts w:ascii="B Nazanin" w:hAnsi="B Nazanin"/>
                <w:b/>
                <w:sz w:val="22"/>
              </w:rPr>
              <w:t>t</w:t>
            </w:r>
          </w:p>
        </w:tc>
        <w:tc>
          <w:tcPr>
            <w:tcW w:type="dxa" w:w="1234"/>
          </w:tcPr>
          <w:p>
            <w:pPr>
              <w:bidi/>
              <w:jc w:val="center"/>
            </w:pPr>
            <w:r>
              <w:rPr>
                <w:rFonts w:ascii="B Nazanin" w:hAnsi="B Nazanin"/>
                <w:b/>
                <w:sz w:val="22"/>
              </w:rPr>
              <w:t>سطح معناداری</w:t>
            </w:r>
          </w:p>
        </w:tc>
        <w:tc>
          <w:tcPr>
            <w:tcW w:type="dxa" w:w="1234"/>
          </w:tcPr>
          <w:p>
            <w:pPr>
              <w:bidi/>
              <w:jc w:val="center"/>
            </w:pPr>
            <w:r>
              <w:rPr>
                <w:rFonts w:ascii="B Nazanin" w:hAnsi="B Nazanin"/>
                <w:b/>
                <w:sz w:val="22"/>
              </w:rPr>
              <w:t>VIF</w:t>
            </w:r>
          </w:p>
        </w:tc>
      </w:tr>
      <w:tr>
        <w:tc>
          <w:tcPr>
            <w:tcW w:type="dxa" w:w="1234"/>
          </w:tcPr>
          <w:p>
            <w:pPr>
              <w:bidi/>
              <w:jc w:val="center"/>
            </w:pPr>
            <w:r>
              <w:rPr>
                <w:rFonts w:ascii="B Nazanin" w:hAnsi="B Nazanin"/>
                <w:sz w:val="22"/>
              </w:rPr>
              <w:t>مقدار ثابت</w:t>
            </w:r>
          </w:p>
        </w:tc>
        <w:tc>
          <w:tcPr>
            <w:tcW w:type="dxa" w:w="1234"/>
          </w:tcPr>
          <w:p>
            <w:pPr>
              <w:bidi/>
              <w:jc w:val="center"/>
            </w:pPr>
            <w:r>
              <w:rPr>
                <w:rFonts w:ascii="Times New Roman" w:hAnsi="Times New Roman"/>
                <w:sz w:val="22"/>
              </w:rPr>
              <w:t>۲.۳۱۴</w:t>
            </w:r>
          </w:p>
        </w:tc>
        <w:tc>
          <w:tcPr>
            <w:tcW w:type="dxa" w:w="1234"/>
          </w:tcPr>
          <w:p>
            <w:pPr>
              <w:bidi/>
              <w:jc w:val="center"/>
            </w:pPr>
            <w:r>
              <w:rPr>
                <w:rFonts w:ascii="Times New Roman" w:hAnsi="Times New Roman"/>
                <w:sz w:val="22"/>
              </w:rPr>
              <w:t>۰.۳۵۲</w:t>
            </w:r>
          </w:p>
        </w:tc>
        <w:tc>
          <w:tcPr>
            <w:tcW w:type="dxa" w:w="1234"/>
          </w:tcPr>
          <w:p>
            <w:pPr>
              <w:bidi/>
              <w:jc w:val="center"/>
            </w:pPr>
            <w:r>
              <w:rPr>
                <w:rFonts w:ascii="B Nazanin" w:hAnsi="B Nazanin"/>
                <w:sz w:val="22"/>
              </w:rPr>
              <w:t>—</w:t>
            </w:r>
          </w:p>
        </w:tc>
        <w:tc>
          <w:tcPr>
            <w:tcW w:type="dxa" w:w="1234"/>
          </w:tcPr>
          <w:p>
            <w:pPr>
              <w:bidi/>
              <w:jc w:val="center"/>
            </w:pPr>
            <w:r>
              <w:rPr>
                <w:rFonts w:ascii="Times New Roman" w:hAnsi="Times New Roman"/>
                <w:sz w:val="22"/>
              </w:rPr>
              <w:t>۶.۵۷۴</w:t>
            </w:r>
          </w:p>
        </w:tc>
        <w:tc>
          <w:tcPr>
            <w:tcW w:type="dxa" w:w="1234"/>
          </w:tcPr>
          <w:p>
            <w:pPr>
              <w:bidi/>
              <w:jc w:val="center"/>
            </w:pPr>
            <w:r>
              <w:rPr>
                <w:rFonts w:ascii="Times New Roman" w:hAnsi="Times New Roman"/>
                <w:sz w:val="22"/>
              </w:rPr>
              <w:t>۰.۰۰۱ &gt; p</w:t>
            </w:r>
          </w:p>
        </w:tc>
        <w:tc>
          <w:tcPr>
            <w:tcW w:type="dxa" w:w="1234"/>
          </w:tcPr>
          <w:p>
            <w:pPr>
              <w:bidi/>
              <w:jc w:val="center"/>
            </w:pPr>
            <w:r>
              <w:rPr>
                <w:rFonts w:ascii="B Nazanin" w:hAnsi="B Nazanin"/>
                <w:sz w:val="22"/>
              </w:rPr>
              <w:t>—</w:t>
            </w:r>
          </w:p>
        </w:tc>
      </w:tr>
      <w:tr>
        <w:tc>
          <w:tcPr>
            <w:tcW w:type="dxa" w:w="1234"/>
          </w:tcPr>
          <w:p>
            <w:pPr>
              <w:bidi/>
              <w:jc w:val="center"/>
            </w:pPr>
            <w:r>
              <w:rPr>
                <w:rFonts w:ascii="B Nazanin" w:hAnsi="B Nazanin"/>
                <w:sz w:val="22"/>
              </w:rPr>
              <w:t>استرس شغلی</w:t>
            </w:r>
          </w:p>
        </w:tc>
        <w:tc>
          <w:tcPr>
            <w:tcW w:type="dxa" w:w="1234"/>
          </w:tcPr>
          <w:p>
            <w:pPr>
              <w:bidi/>
              <w:jc w:val="center"/>
            </w:pPr>
            <w:r>
              <w:rPr>
                <w:rFonts w:ascii="Times New Roman" w:hAnsi="Times New Roman"/>
                <w:sz w:val="22"/>
              </w:rPr>
              <w:t>۰.۴۶۶</w:t>
            </w:r>
          </w:p>
        </w:tc>
        <w:tc>
          <w:tcPr>
            <w:tcW w:type="dxa" w:w="1234"/>
          </w:tcPr>
          <w:p>
            <w:pPr>
              <w:bidi/>
              <w:jc w:val="center"/>
            </w:pPr>
            <w:r>
              <w:rPr>
                <w:rFonts w:ascii="Times New Roman" w:hAnsi="Times New Roman"/>
                <w:sz w:val="22"/>
              </w:rPr>
              <w:t>۰.۰۸۱</w:t>
            </w:r>
          </w:p>
        </w:tc>
        <w:tc>
          <w:tcPr>
            <w:tcW w:type="dxa" w:w="1234"/>
          </w:tcPr>
          <w:p>
            <w:pPr>
              <w:bidi/>
              <w:jc w:val="center"/>
            </w:pPr>
            <w:r>
              <w:rPr>
                <w:rFonts w:ascii="Times New Roman" w:hAnsi="Times New Roman"/>
                <w:sz w:val="22"/>
              </w:rPr>
              <w:t>۰.۴۶۴</w:t>
            </w:r>
          </w:p>
        </w:tc>
        <w:tc>
          <w:tcPr>
            <w:tcW w:type="dxa" w:w="1234"/>
          </w:tcPr>
          <w:p>
            <w:pPr>
              <w:bidi/>
              <w:jc w:val="center"/>
            </w:pPr>
            <w:r>
              <w:rPr>
                <w:rFonts w:ascii="Times New Roman" w:hAnsi="Times New Roman"/>
                <w:sz w:val="22"/>
              </w:rPr>
              <w:t>۵.۷۵۶</w:t>
            </w:r>
          </w:p>
        </w:tc>
        <w:tc>
          <w:tcPr>
            <w:tcW w:type="dxa" w:w="1234"/>
          </w:tcPr>
          <w:p>
            <w:pPr>
              <w:bidi/>
              <w:jc w:val="center"/>
            </w:pPr>
            <w:r>
              <w:rPr>
                <w:rFonts w:ascii="Times New Roman" w:hAnsi="Times New Roman"/>
                <w:sz w:val="22"/>
              </w:rPr>
              <w:t>۰.۰۰۱ &gt; p</w:t>
            </w:r>
          </w:p>
        </w:tc>
        <w:tc>
          <w:tcPr>
            <w:tcW w:type="dxa" w:w="1234"/>
          </w:tcPr>
          <w:p>
            <w:pPr>
              <w:bidi/>
              <w:jc w:val="center"/>
            </w:pPr>
            <w:r>
              <w:rPr>
                <w:rFonts w:ascii="Times New Roman" w:hAnsi="Times New Roman"/>
                <w:sz w:val="22"/>
              </w:rPr>
              <w:t>۱.۰۹</w:t>
            </w:r>
          </w:p>
        </w:tc>
      </w:tr>
      <w:tr>
        <w:tc>
          <w:tcPr>
            <w:tcW w:type="dxa" w:w="1234"/>
          </w:tcPr>
          <w:p>
            <w:pPr>
              <w:bidi/>
              <w:jc w:val="center"/>
            </w:pPr>
            <w:r>
              <w:rPr>
                <w:rFonts w:ascii="B Nazanin" w:hAnsi="B Nazanin"/>
                <w:sz w:val="22"/>
              </w:rPr>
              <w:t>انعطاف‌پذیری روان‌شناختی</w:t>
            </w:r>
          </w:p>
        </w:tc>
        <w:tc>
          <w:tcPr>
            <w:tcW w:type="dxa" w:w="1234"/>
          </w:tcPr>
          <w:p>
            <w:pPr>
              <w:bidi/>
              <w:jc w:val="center"/>
            </w:pPr>
            <w:r>
              <w:rPr>
                <w:rFonts w:ascii="Times New Roman" w:hAnsi="Times New Roman"/>
                <w:sz w:val="22"/>
              </w:rPr>
              <w:t>۰.۳۶۲-</w:t>
            </w:r>
          </w:p>
        </w:tc>
        <w:tc>
          <w:tcPr>
            <w:tcW w:type="dxa" w:w="1234"/>
          </w:tcPr>
          <w:p>
            <w:pPr>
              <w:bidi/>
              <w:jc w:val="center"/>
            </w:pPr>
            <w:r>
              <w:rPr>
                <w:rFonts w:ascii="Times New Roman" w:hAnsi="Times New Roman"/>
                <w:sz w:val="22"/>
              </w:rPr>
              <w:t>۰.۰۸۶</w:t>
            </w:r>
          </w:p>
        </w:tc>
        <w:tc>
          <w:tcPr>
            <w:tcW w:type="dxa" w:w="1234"/>
          </w:tcPr>
          <w:p>
            <w:pPr>
              <w:bidi/>
              <w:jc w:val="center"/>
            </w:pPr>
            <w:r>
              <w:rPr>
                <w:rFonts w:ascii="Times New Roman" w:hAnsi="Times New Roman"/>
                <w:sz w:val="22"/>
              </w:rPr>
              <w:t>۰.۳۴۰-</w:t>
            </w:r>
          </w:p>
        </w:tc>
        <w:tc>
          <w:tcPr>
            <w:tcW w:type="dxa" w:w="1234"/>
          </w:tcPr>
          <w:p>
            <w:pPr>
              <w:bidi/>
              <w:jc w:val="center"/>
            </w:pPr>
            <w:r>
              <w:rPr>
                <w:rFonts w:ascii="Times New Roman" w:hAnsi="Times New Roman"/>
                <w:sz w:val="22"/>
              </w:rPr>
              <w:t>۴.۲۲۴-</w:t>
            </w:r>
          </w:p>
        </w:tc>
        <w:tc>
          <w:tcPr>
            <w:tcW w:type="dxa" w:w="1234"/>
          </w:tcPr>
          <w:p>
            <w:pPr>
              <w:bidi/>
              <w:jc w:val="center"/>
            </w:pPr>
            <w:r>
              <w:rPr>
                <w:rFonts w:ascii="Times New Roman" w:hAnsi="Times New Roman"/>
                <w:sz w:val="22"/>
              </w:rPr>
              <w:t>۰.۰۰۱ &gt; p</w:t>
            </w:r>
          </w:p>
        </w:tc>
        <w:tc>
          <w:tcPr>
            <w:tcW w:type="dxa" w:w="1234"/>
          </w:tcPr>
          <w:p>
            <w:pPr>
              <w:bidi/>
              <w:jc w:val="center"/>
            </w:pPr>
            <w:r>
              <w:rPr>
                <w:rFonts w:ascii="Times New Roman" w:hAnsi="Times New Roman"/>
                <w:sz w:val="22"/>
              </w:rPr>
              <w:t>۱.۰۹</w:t>
            </w:r>
          </w:p>
        </w:tc>
      </w:tr>
    </w:tbl>
    <w:p>
      <w:pPr>
        <w:bidi/>
        <w:jc w:val="both"/>
      </w:pPr>
      <w:r>
        <w:rPr>
          <w:rFonts w:ascii="B Nazanin" w:hAnsi="B Nazanin"/>
          <w:i/>
          <w:sz w:val="20"/>
        </w:rPr>
        <w:t>یادداشت. متغیر ملاک: فرسودگی شغلی. شاخص‌های برازش الگو: 34.389 = (۹۷ ،۲)F، 0.415 = R²، 0.403 = تعدیل‌شده R²، ۰.۰۰۱ &gt; p.</w:t>
      </w:r>
    </w:p>
    <w:p>
      <w:pPr>
        <w:bidi/>
        <w:jc w:val="right"/>
      </w:pPr>
      <w:r>
        <w:rPr>
          <w:rFonts w:ascii="B Titr" w:hAnsi="B Titr"/>
          <w:b/>
          <w:sz w:val="26"/>
          <w:rFonts w:ascii="B Titr" w:hAnsi="B Titr" w:cs="B Titr"/>
          <w:rtl/>
        </w:rPr>
        <w:t>۴. تحلیل و تفسیر آماری</w:t>
      </w:r>
    </w:p>
    <w:p>
      <w:pPr>
        <w:bidi/>
        <w:jc w:val="both"/>
      </w:pPr>
      <w:r>
        <w:rPr>
          <w:rFonts w:ascii="B Nazanin" w:hAnsi="B Nazanin"/>
          <w:b w:val="0"/>
          <w:i w:val="0"/>
          <w:sz w:val="26"/>
          <w:rFonts w:ascii="B Nazanin" w:hAnsi="B Nazanin" w:cs="B Nazanin"/>
          <w:rtl/>
        </w:rPr>
        <w:t>بر اساس یافته‌های حاصل از آزمون تحلیل واریانس رگرسیون، مدل رگرسیونی ترسیم‌شده با اطمینان ۹۹ درصد معنادار است (34.389 = (۹۷ ،۲)F، ۰.۰۰۱ &gt; p). ضریب تعیین محاسبه‌شده نشان می‌دهد که ۴۱.۵ درصد از کل تغییرات و واریانس فرسودگی شغلی کارکنان (0.415 = R²) توسط متغیرهای استرس شغلی و انعطاف‌پذیری روان‌شناختی تبیین می‌گردد.</w:t>
      </w:r>
    </w:p>
    <w:p>
      <w:pPr>
        <w:bidi/>
        <w:jc w:val="both"/>
      </w:pPr>
      <w:r>
        <w:rPr>
          <w:rFonts w:ascii="B Nazanin" w:hAnsi="B Nazanin"/>
          <w:b w:val="0"/>
          <w:i w:val="0"/>
          <w:sz w:val="26"/>
          <w:rFonts w:ascii="B Nazanin" w:hAnsi="B Nazanin" w:cs="B Nazanin"/>
          <w:rtl/>
        </w:rPr>
        <w:t>بررسی ضرایب استاندارد رگرسیون (β) نشان می‌دهد که متغیر استرس شغلی با ضریب استاندارد ۰.۴۶۴ و مقدار آماره ۵.۷۵۶ = t در سطح ۰.۰۰۱ &gt; p به صورت مثبت و معنادار قادر به پیش‌بینی فرسودگی شغلی است؛ بدین معنا که با افزایش یک انحراف استاندارد در میزان استرس شغلی، فرسودگی شغلی به میزان ۰.۴۶۴ انحراف استاندارد افزایش می‌یابد. همچنین، متغیر انعطاف‌پذیری روان‌شناختی با ضریب استاندارد ۰.۳۴۰- و مقدار آماره ۴.۲۲۴- = t در سطح ۰.۰۰۱ &gt; p به صورت منفی و معنادار فرسودگی شغلی را پیش‌بینی می‌نماید؛ بدین ترتیب، کارکنانی که از سطوح بالاتری از پذیرش و انعطاف‌پذیری در مواجهه با تجارب درونی دشوار برخوردارند، نشانه‌های فرسودگی شغلی کمتری را تجربه می‌کنند.</w:t>
      </w:r>
    </w:p>
    <w:p>
      <w:pPr>
        <w:bidi/>
        <w:jc w:val="right"/>
      </w:pPr>
      <w:r>
        <w:rPr>
          <w:rFonts w:ascii="B Titr" w:hAnsi="B Titr"/>
          <w:b/>
          <w:sz w:val="26"/>
          <w:rFonts w:ascii="B Titr" w:hAnsi="B Titr" w:cs="B Titr"/>
          <w:rtl/>
        </w:rPr>
        <w:t>۵. نتیجه‌گیری آماری</w:t>
      </w:r>
    </w:p>
    <w:p>
      <w:pPr>
        <w:bidi/>
        <w:jc w:val="both"/>
      </w:pPr>
      <w:r>
        <w:rPr>
          <w:rFonts w:ascii="B Nazanin" w:hAnsi="B Nazanin"/>
          <w:b w:val="0"/>
          <w:i w:val="0"/>
          <w:sz w:val="26"/>
          <w:rFonts w:ascii="B Nazanin" w:hAnsi="B Nazanin" w:cs="B Nazanin"/>
          <w:rtl/>
        </w:rPr>
        <w:t>با عنایت به معناداری کلی مدل رگرسیونی و معناداری انفرادی ضرایب هر دو متغیر در جهت مورد انتظار، فرضیه اول پژوهش تأیید می‌گردد.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