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B Titr" w:hAnsi="B Titr"/>
          <w:b/>
          <w:sz w:val="28"/>
          <w:rFonts w:ascii="B Titr" w:hAnsi="B Titr" w:cs="B Titr"/>
          <w:rtl/>
        </w:rPr>
        <w:t>ویژگی‌های جمعیت‌شناختی و همتا بودن آزمودنی‌ها در خط پایه (مرحله ۴.۱)</w:t>
      </w:r>
    </w:p>
    <w:p>
      <w:pPr>
        <w:bidi/>
        <w:jc w:val="right"/>
      </w:pPr>
      <w:r>
        <w:rPr>
          <w:rFonts w:ascii="B Titr" w:hAnsi="B Titr"/>
          <w:b/>
          <w:sz w:val="26"/>
          <w:rFonts w:ascii="B Titr" w:hAnsi="B Titr" w:cs="B Titr"/>
          <w:rtl/>
        </w:rPr>
        <w:t>۱. توزیع متغیرهای جمعیت‌شناختی بر حسب جنسیت، سن و تحصیلات</w:t>
      </w:r>
    </w:p>
    <w:p>
      <w:pPr>
        <w:bidi/>
        <w:jc w:val="both"/>
      </w:pPr>
      <w:r>
        <w:rPr>
          <w:rFonts w:ascii="B Nazanin" w:hAnsi="B Nazanin"/>
          <w:b w:val="0"/>
          <w:i w:val="0"/>
          <w:sz w:val="26"/>
          <w:rFonts w:ascii="B Nazanin" w:hAnsi="B Nazanin" w:cs="B Nazanin"/>
          <w:rtl/>
        </w:rPr>
        <w:t>جامعه آماری پژوهش حاضر را ۶۰ نفر از بزرگسالان مبتلا به اضطراب و آشفتگی روان‌شناختی تشکیل دادند که بر مبنای طرح پژوهش به شیوه تصادفی در دو گروه آزمایش (مداخله ACT، ۳۰ = n) و کنترل (گواه بدون مداخله، ۳۰ = n) گمارده شدند. جدول ۱ توزیع فراوانی و درصدی ویژگی‌های جمعیت‌شناختی مشارکت‌کنندگان را به همراه آزمون‌های معناداری همتاسازی در خط پایه نشان می‌دهد.</w:t>
      </w:r>
    </w:p>
    <w:p>
      <w:pPr>
        <w:bidi/>
        <w:jc w:val="right"/>
      </w:pPr>
      <w:r>
        <w:rPr>
          <w:rFonts w:ascii="B Nazanin" w:hAnsi="B Nazanin"/>
          <w:b/>
          <w:sz w:val="22"/>
        </w:rPr>
        <w:t>جدول ۱. مشخصات جمعیت‌شناختی آزمودنی‌ها به تفکیک گروه و آزمون‌های برابری خط پایه (۶۰ = N)</w:t>
      </w:r>
    </w:p>
    <w:tbl>
      <w:tblPr>
        <w:tblW w:type="auto" w:w="0"/>
        <w:jc w:val="center"/>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center"/>
            </w:pPr>
            <w:r>
              <w:rPr>
                <w:rFonts w:ascii="B Nazanin" w:hAnsi="B Nazanin"/>
                <w:b/>
                <w:sz w:val="20"/>
              </w:rPr>
              <w:t>متغیر جمعیت‌شناختی</w:t>
            </w:r>
          </w:p>
        </w:tc>
        <w:tc>
          <w:tcPr>
            <w:tcW w:type="dxa" w:w="1440"/>
          </w:tcPr>
          <w:p>
            <w:pPr>
              <w:bidi/>
              <w:jc w:val="center"/>
            </w:pPr>
            <w:r>
              <w:rPr>
                <w:rFonts w:ascii="B Nazanin" w:hAnsi="B Nazanin"/>
                <w:b/>
                <w:sz w:val="20"/>
              </w:rPr>
              <w:t>طبقات / شاخص</w:t>
            </w:r>
          </w:p>
        </w:tc>
        <w:tc>
          <w:tcPr>
            <w:tcW w:type="dxa" w:w="1440"/>
          </w:tcPr>
          <w:p>
            <w:pPr>
              <w:bidi/>
              <w:jc w:val="center"/>
            </w:pPr>
            <w:r>
              <w:rPr>
                <w:rFonts w:ascii="B Nazanin" w:hAnsi="B Nazanin"/>
                <w:b/>
                <w:sz w:val="20"/>
              </w:rPr>
              <w:t>گروه آزمایش (ACT) (n=30)</w:t>
            </w:r>
          </w:p>
        </w:tc>
        <w:tc>
          <w:tcPr>
            <w:tcW w:type="dxa" w:w="1440"/>
          </w:tcPr>
          <w:p>
            <w:pPr>
              <w:bidi/>
              <w:jc w:val="center"/>
            </w:pPr>
            <w:r>
              <w:rPr>
                <w:rFonts w:ascii="B Nazanin" w:hAnsi="B Nazanin"/>
                <w:b/>
                <w:sz w:val="20"/>
              </w:rPr>
              <w:t>گروه گواه (کنترل) (n=30)</w:t>
            </w:r>
          </w:p>
        </w:tc>
        <w:tc>
          <w:tcPr>
            <w:tcW w:type="dxa" w:w="1440"/>
          </w:tcPr>
          <w:p>
            <w:pPr>
              <w:bidi/>
              <w:jc w:val="center"/>
            </w:pPr>
            <w:r>
              <w:rPr>
                <w:rFonts w:ascii="B Nazanin" w:hAnsi="B Nazanin"/>
                <w:b/>
                <w:sz w:val="20"/>
              </w:rPr>
              <w:t>کل نمونه (N=60)</w:t>
            </w:r>
          </w:p>
        </w:tc>
        <w:tc>
          <w:tcPr>
            <w:tcW w:type="dxa" w:w="1440"/>
          </w:tcPr>
          <w:p>
            <w:pPr>
              <w:bidi/>
              <w:jc w:val="center"/>
            </w:pPr>
            <w:r>
              <w:rPr>
                <w:rFonts w:ascii="B Nazanin" w:hAnsi="B Nazanin"/>
                <w:b/>
                <w:sz w:val="20"/>
              </w:rPr>
              <w:t>آزمون همتاسازی و معناداری</w:t>
            </w:r>
          </w:p>
        </w:tc>
      </w:tr>
      <w:tr>
        <w:tc>
          <w:tcPr>
            <w:tcW w:type="dxa" w:w="1440"/>
          </w:tcPr>
          <w:p>
            <w:pPr>
              <w:bidi/>
              <w:jc w:val="center"/>
            </w:pPr>
            <w:r>
              <w:rPr>
                <w:rFonts w:ascii="B Nazanin" w:hAnsi="B Nazanin"/>
                <w:sz w:val="20"/>
              </w:rPr>
              <w:t>جنسیت</w:t>
            </w:r>
          </w:p>
        </w:tc>
        <w:tc>
          <w:tcPr>
            <w:tcW w:type="dxa" w:w="1440"/>
          </w:tcPr>
          <w:p>
            <w:pPr>
              <w:bidi/>
              <w:jc w:val="center"/>
            </w:pPr>
            <w:r>
              <w:rPr>
                <w:rFonts w:ascii="B Nazanin" w:hAnsi="B Nazanin"/>
                <w:sz w:val="20"/>
              </w:rPr>
              <w:t>مرد</w:t>
            </w:r>
          </w:p>
        </w:tc>
        <w:tc>
          <w:tcPr>
            <w:tcW w:type="dxa" w:w="1440"/>
          </w:tcPr>
          <w:p>
            <w:pPr>
              <w:bidi/>
              <w:jc w:val="center"/>
            </w:pPr>
            <w:r>
              <w:rPr>
                <w:rFonts w:ascii="Times New Roman" w:hAnsi="Times New Roman"/>
                <w:sz w:val="20"/>
              </w:rPr>
              <w:t>۱۶ (۵۳.۳٪)</w:t>
            </w:r>
          </w:p>
        </w:tc>
        <w:tc>
          <w:tcPr>
            <w:tcW w:type="dxa" w:w="1440"/>
          </w:tcPr>
          <w:p>
            <w:pPr>
              <w:bidi/>
              <w:jc w:val="center"/>
            </w:pPr>
            <w:r>
              <w:rPr>
                <w:rFonts w:ascii="Times New Roman" w:hAnsi="Times New Roman"/>
                <w:sz w:val="20"/>
              </w:rPr>
              <w:t>۱۴ (۴۶.۷٪)</w:t>
            </w:r>
          </w:p>
        </w:tc>
        <w:tc>
          <w:tcPr>
            <w:tcW w:type="dxa" w:w="1440"/>
          </w:tcPr>
          <w:p>
            <w:pPr>
              <w:bidi/>
              <w:jc w:val="center"/>
            </w:pPr>
            <w:r>
              <w:rPr>
                <w:rFonts w:ascii="Times New Roman" w:hAnsi="Times New Roman"/>
                <w:sz w:val="20"/>
              </w:rPr>
              <w:t>۳۰ (۵۰.۰٪)</w:t>
            </w:r>
          </w:p>
        </w:tc>
        <w:tc>
          <w:tcPr>
            <w:tcW w:type="dxa" w:w="1440"/>
          </w:tcPr>
          <w:p>
            <w:pPr>
              <w:bidi/>
              <w:jc w:val="center"/>
            </w:pPr>
            <w:r>
              <w:rPr>
                <w:rFonts w:ascii="Times New Roman" w:hAnsi="Times New Roman"/>
                <w:sz w:val="20"/>
              </w:rPr>
              <w:t>χ²(1) = 0.067, p = 0.796 (همتا)</w:t>
            </w:r>
          </w:p>
        </w:tc>
      </w:tr>
      <w:tr>
        <w:tc>
          <w:tcPr>
            <w:tcW w:type="dxa" w:w="1440"/>
          </w:tcPr>
          <w:p>
            <w:pPr>
              <w:bidi/>
              <w:jc w:val="center"/>
            </w:pPr>
            <w:r>
              <w:rPr>
                <w:rFonts w:ascii="B Nazanin" w:hAnsi="B Nazanin"/>
                <w:sz w:val="20"/>
              </w:rPr>
              <w:t>جنسیت</w:t>
            </w:r>
          </w:p>
        </w:tc>
        <w:tc>
          <w:tcPr>
            <w:tcW w:type="dxa" w:w="1440"/>
          </w:tcPr>
          <w:p>
            <w:pPr>
              <w:bidi/>
              <w:jc w:val="center"/>
            </w:pPr>
            <w:r>
              <w:rPr>
                <w:rFonts w:ascii="B Nazanin" w:hAnsi="B Nazanin"/>
                <w:sz w:val="20"/>
              </w:rPr>
              <w:t>زن</w:t>
            </w:r>
          </w:p>
        </w:tc>
        <w:tc>
          <w:tcPr>
            <w:tcW w:type="dxa" w:w="1440"/>
          </w:tcPr>
          <w:p>
            <w:pPr>
              <w:bidi/>
              <w:jc w:val="center"/>
            </w:pPr>
            <w:r>
              <w:rPr>
                <w:rFonts w:ascii="Times New Roman" w:hAnsi="Times New Roman"/>
                <w:sz w:val="20"/>
              </w:rPr>
              <w:t>۱۴ (۴۶.۷٪)</w:t>
            </w:r>
          </w:p>
        </w:tc>
        <w:tc>
          <w:tcPr>
            <w:tcW w:type="dxa" w:w="1440"/>
          </w:tcPr>
          <w:p>
            <w:pPr>
              <w:bidi/>
              <w:jc w:val="center"/>
            </w:pPr>
            <w:r>
              <w:rPr>
                <w:rFonts w:ascii="Times New Roman" w:hAnsi="Times New Roman"/>
                <w:sz w:val="20"/>
              </w:rPr>
              <w:t>۱۶ (۵۳.۳٪)</w:t>
            </w:r>
          </w:p>
        </w:tc>
        <w:tc>
          <w:tcPr>
            <w:tcW w:type="dxa" w:w="1440"/>
          </w:tcPr>
          <w:p>
            <w:pPr>
              <w:bidi/>
              <w:jc w:val="center"/>
            </w:pPr>
            <w:r>
              <w:rPr>
                <w:rFonts w:ascii="Times New Roman" w:hAnsi="Times New Roman"/>
                <w:sz w:val="20"/>
              </w:rPr>
              <w:t>۳۰ (۵۰.۰٪)</w:t>
            </w:r>
          </w:p>
        </w:tc>
        <w:tc>
          <w:tcPr>
            <w:tcW w:type="dxa" w:w="1440"/>
          </w:tcPr>
          <w:p>
            <w:pPr>
              <w:bidi/>
              <w:jc w:val="center"/>
            </w:pPr>
            <w:r>
              <w:rPr>
                <w:rFonts w:ascii="Times New Roman" w:hAnsi="Times New Roman"/>
                <w:sz w:val="20"/>
              </w:rPr>
              <w:t>-</w:t>
            </w:r>
          </w:p>
        </w:tc>
      </w:tr>
      <w:tr>
        <w:tc>
          <w:tcPr>
            <w:tcW w:type="dxa" w:w="1440"/>
          </w:tcPr>
          <w:p>
            <w:pPr>
              <w:bidi/>
              <w:jc w:val="center"/>
            </w:pPr>
            <w:r>
              <w:rPr>
                <w:rFonts w:ascii="B Nazanin" w:hAnsi="B Nazanin"/>
                <w:sz w:val="20"/>
              </w:rPr>
              <w:t>سن (سال)</w:t>
            </w:r>
          </w:p>
        </w:tc>
        <w:tc>
          <w:tcPr>
            <w:tcW w:type="dxa" w:w="1440"/>
          </w:tcPr>
          <w:p>
            <w:pPr>
              <w:bidi/>
              <w:jc w:val="center"/>
            </w:pPr>
            <w:r>
              <w:rPr>
                <w:rFonts w:ascii="B Nazanin" w:hAnsi="B Nazanin"/>
                <w:sz w:val="20"/>
              </w:rPr>
              <w:t>میانگین (انحراف معیار)</w:t>
            </w:r>
          </w:p>
        </w:tc>
        <w:tc>
          <w:tcPr>
            <w:tcW w:type="dxa" w:w="1440"/>
          </w:tcPr>
          <w:p>
            <w:pPr>
              <w:bidi/>
              <w:jc w:val="center"/>
            </w:pPr>
            <w:r>
              <w:rPr>
                <w:rFonts w:ascii="Times New Roman" w:hAnsi="Times New Roman"/>
                <w:sz w:val="20"/>
              </w:rPr>
              <w:t>۳۸.۲۷ (۸.۵۱)</w:t>
            </w:r>
          </w:p>
        </w:tc>
        <w:tc>
          <w:tcPr>
            <w:tcW w:type="dxa" w:w="1440"/>
          </w:tcPr>
          <w:p>
            <w:pPr>
              <w:bidi/>
              <w:jc w:val="center"/>
            </w:pPr>
            <w:r>
              <w:rPr>
                <w:rFonts w:ascii="Times New Roman" w:hAnsi="Times New Roman"/>
                <w:sz w:val="20"/>
              </w:rPr>
              <w:t>۳۲.۹۳ (۹.۸۲)</w:t>
            </w:r>
          </w:p>
        </w:tc>
        <w:tc>
          <w:tcPr>
            <w:tcW w:type="dxa" w:w="1440"/>
          </w:tcPr>
          <w:p>
            <w:pPr>
              <w:bidi/>
              <w:jc w:val="center"/>
            </w:pPr>
            <w:r>
              <w:rPr>
                <w:rFonts w:ascii="Times New Roman" w:hAnsi="Times New Roman"/>
                <w:sz w:val="20"/>
              </w:rPr>
              <w:t>۳۵.۶۰ (۹.۵۰)</w:t>
            </w:r>
          </w:p>
        </w:tc>
        <w:tc>
          <w:tcPr>
            <w:tcW w:type="dxa" w:w="1440"/>
          </w:tcPr>
          <w:p>
            <w:pPr>
              <w:bidi/>
              <w:jc w:val="center"/>
            </w:pPr>
            <w:r>
              <w:rPr>
                <w:rFonts w:ascii="Times New Roman" w:hAnsi="Times New Roman"/>
                <w:sz w:val="20"/>
              </w:rPr>
              <w:t>t(58) = 2.248, p = 0.028</w:t>
            </w:r>
          </w:p>
        </w:tc>
      </w:tr>
      <w:tr>
        <w:tc>
          <w:tcPr>
            <w:tcW w:type="dxa" w:w="1440"/>
          </w:tcPr>
          <w:p>
            <w:pPr>
              <w:bidi/>
              <w:jc w:val="center"/>
            </w:pPr>
            <w:r>
              <w:rPr>
                <w:rFonts w:ascii="B Nazanin" w:hAnsi="B Nazanin"/>
                <w:sz w:val="20"/>
              </w:rPr>
              <w:t>سن (سال)</w:t>
            </w:r>
          </w:p>
        </w:tc>
        <w:tc>
          <w:tcPr>
            <w:tcW w:type="dxa" w:w="1440"/>
          </w:tcPr>
          <w:p>
            <w:pPr>
              <w:bidi/>
              <w:jc w:val="center"/>
            </w:pPr>
            <w:r>
              <w:rPr>
                <w:rFonts w:ascii="Times New Roman" w:hAnsi="Times New Roman"/>
                <w:sz w:val="20"/>
              </w:rPr>
              <w:t>دامنه سنی (کمینه - بیشینه)</w:t>
            </w:r>
          </w:p>
        </w:tc>
        <w:tc>
          <w:tcPr>
            <w:tcW w:type="dxa" w:w="1440"/>
          </w:tcPr>
          <w:p>
            <w:pPr>
              <w:bidi/>
              <w:jc w:val="center"/>
            </w:pPr>
            <w:r>
              <w:rPr>
                <w:rFonts w:ascii="Times New Roman" w:hAnsi="Times New Roman"/>
                <w:sz w:val="20"/>
              </w:rPr>
              <w:t>۲۴ - ۵۲</w:t>
            </w:r>
          </w:p>
        </w:tc>
        <w:tc>
          <w:tcPr>
            <w:tcW w:type="dxa" w:w="1440"/>
          </w:tcPr>
          <w:p>
            <w:pPr>
              <w:bidi/>
              <w:jc w:val="center"/>
            </w:pPr>
            <w:r>
              <w:rPr>
                <w:rFonts w:ascii="Times New Roman" w:hAnsi="Times New Roman"/>
                <w:sz w:val="20"/>
              </w:rPr>
              <w:t>۲۲ - ۵۰</w:t>
            </w:r>
          </w:p>
        </w:tc>
        <w:tc>
          <w:tcPr>
            <w:tcW w:type="dxa" w:w="1440"/>
          </w:tcPr>
          <w:p>
            <w:pPr>
              <w:bidi/>
              <w:jc w:val="center"/>
            </w:pPr>
            <w:r>
              <w:rPr>
                <w:rFonts w:ascii="Times New Roman" w:hAnsi="Times New Roman"/>
                <w:sz w:val="20"/>
              </w:rPr>
              <w:t>۲۲ - ۵۲</w:t>
            </w:r>
          </w:p>
        </w:tc>
        <w:tc>
          <w:tcPr>
            <w:tcW w:type="dxa" w:w="1440"/>
          </w:tcPr>
          <w:p>
            <w:pPr>
              <w:bidi/>
              <w:jc w:val="center"/>
            </w:pPr>
            <w:r>
              <w:rPr>
                <w:rFonts w:ascii="Times New Roman" w:hAnsi="Times New Roman"/>
                <w:sz w:val="20"/>
              </w:rPr>
              <w:t>-</w:t>
            </w:r>
          </w:p>
        </w:tc>
      </w:tr>
      <w:tr>
        <w:tc>
          <w:tcPr>
            <w:tcW w:type="dxa" w:w="1440"/>
          </w:tcPr>
          <w:p>
            <w:pPr>
              <w:bidi/>
              <w:jc w:val="center"/>
            </w:pPr>
            <w:r>
              <w:rPr>
                <w:rFonts w:ascii="B Nazanin" w:hAnsi="B Nazanin"/>
                <w:sz w:val="20"/>
              </w:rPr>
              <w:t>تحصیلات</w:t>
            </w:r>
          </w:p>
        </w:tc>
        <w:tc>
          <w:tcPr>
            <w:tcW w:type="dxa" w:w="1440"/>
          </w:tcPr>
          <w:p>
            <w:pPr>
              <w:bidi/>
              <w:jc w:val="center"/>
            </w:pPr>
            <w:r>
              <w:rPr>
                <w:rFonts w:ascii="B Nazanin" w:hAnsi="B Nazanin"/>
                <w:sz w:val="20"/>
              </w:rPr>
              <w:t>کارشناسی</w:t>
            </w:r>
          </w:p>
        </w:tc>
        <w:tc>
          <w:tcPr>
            <w:tcW w:type="dxa" w:w="1440"/>
          </w:tcPr>
          <w:p>
            <w:pPr>
              <w:bidi/>
              <w:jc w:val="center"/>
            </w:pPr>
            <w:r>
              <w:rPr>
                <w:rFonts w:ascii="Times New Roman" w:hAnsi="Times New Roman"/>
                <w:sz w:val="20"/>
              </w:rPr>
              <w:t>۱۱ (۳۶.۷٪)</w:t>
            </w:r>
          </w:p>
        </w:tc>
        <w:tc>
          <w:tcPr>
            <w:tcW w:type="dxa" w:w="1440"/>
          </w:tcPr>
          <w:p>
            <w:pPr>
              <w:bidi/>
              <w:jc w:val="center"/>
            </w:pPr>
            <w:r>
              <w:rPr>
                <w:rFonts w:ascii="Times New Roman" w:hAnsi="Times New Roman"/>
                <w:sz w:val="20"/>
              </w:rPr>
              <w:t>۱۵ (۵۰.۰٪)</w:t>
            </w:r>
          </w:p>
        </w:tc>
        <w:tc>
          <w:tcPr>
            <w:tcW w:type="dxa" w:w="1440"/>
          </w:tcPr>
          <w:p>
            <w:pPr>
              <w:bidi/>
              <w:jc w:val="center"/>
            </w:pPr>
            <w:r>
              <w:rPr>
                <w:rFonts w:ascii="Times New Roman" w:hAnsi="Times New Roman"/>
                <w:sz w:val="20"/>
              </w:rPr>
              <w:t>۲۶ (۴۳.۳٪)</w:t>
            </w:r>
          </w:p>
        </w:tc>
        <w:tc>
          <w:tcPr>
            <w:tcW w:type="dxa" w:w="1440"/>
          </w:tcPr>
          <w:p>
            <w:pPr>
              <w:bidi/>
              <w:jc w:val="center"/>
            </w:pPr>
            <w:r>
              <w:rPr>
                <w:rFonts w:ascii="Times New Roman" w:hAnsi="Times New Roman"/>
                <w:sz w:val="20"/>
              </w:rPr>
              <w:t>χ²(2) = 1.726, p = 0.422 (همتا)</w:t>
            </w:r>
          </w:p>
        </w:tc>
      </w:tr>
      <w:tr>
        <w:tc>
          <w:tcPr>
            <w:tcW w:type="dxa" w:w="1440"/>
          </w:tcPr>
          <w:p>
            <w:pPr>
              <w:bidi/>
              <w:jc w:val="center"/>
            </w:pPr>
            <w:r>
              <w:rPr>
                <w:rFonts w:ascii="B Nazanin" w:hAnsi="B Nazanin"/>
                <w:sz w:val="20"/>
              </w:rPr>
              <w:t>تحصیلات</w:t>
            </w:r>
          </w:p>
        </w:tc>
        <w:tc>
          <w:tcPr>
            <w:tcW w:type="dxa" w:w="1440"/>
          </w:tcPr>
          <w:p>
            <w:pPr>
              <w:bidi/>
              <w:jc w:val="center"/>
            </w:pPr>
            <w:r>
              <w:rPr>
                <w:rFonts w:ascii="B Nazanin" w:hAnsi="B Nazanin"/>
                <w:sz w:val="20"/>
              </w:rPr>
              <w:t>کارشناسی ارشد</w:t>
            </w:r>
          </w:p>
        </w:tc>
        <w:tc>
          <w:tcPr>
            <w:tcW w:type="dxa" w:w="1440"/>
          </w:tcPr>
          <w:p>
            <w:pPr>
              <w:bidi/>
              <w:jc w:val="center"/>
            </w:pPr>
            <w:r>
              <w:rPr>
                <w:rFonts w:ascii="Times New Roman" w:hAnsi="Times New Roman"/>
                <w:sz w:val="20"/>
              </w:rPr>
              <w:t>۱۵ (۵۰.۰٪)</w:t>
            </w:r>
          </w:p>
        </w:tc>
        <w:tc>
          <w:tcPr>
            <w:tcW w:type="dxa" w:w="1440"/>
          </w:tcPr>
          <w:p>
            <w:pPr>
              <w:bidi/>
              <w:jc w:val="center"/>
            </w:pPr>
            <w:r>
              <w:rPr>
                <w:rFonts w:ascii="Times New Roman" w:hAnsi="Times New Roman"/>
                <w:sz w:val="20"/>
              </w:rPr>
              <w:t>۱۰ (۳۳.۳٪)</w:t>
            </w:r>
          </w:p>
        </w:tc>
        <w:tc>
          <w:tcPr>
            <w:tcW w:type="dxa" w:w="1440"/>
          </w:tcPr>
          <w:p>
            <w:pPr>
              <w:bidi/>
              <w:jc w:val="center"/>
            </w:pPr>
            <w:r>
              <w:rPr>
                <w:rFonts w:ascii="Times New Roman" w:hAnsi="Times New Roman"/>
                <w:sz w:val="20"/>
              </w:rPr>
              <w:t>۲۵ (۴۱.۷٪)</w:t>
            </w:r>
          </w:p>
        </w:tc>
        <w:tc>
          <w:tcPr>
            <w:tcW w:type="dxa" w:w="1440"/>
          </w:tcPr>
          <w:p>
            <w:pPr>
              <w:bidi/>
              <w:jc w:val="center"/>
            </w:pPr>
            <w:r>
              <w:rPr>
                <w:rFonts w:ascii="Times New Roman" w:hAnsi="Times New Roman"/>
                <w:sz w:val="20"/>
              </w:rPr>
              <w:t>-</w:t>
            </w:r>
          </w:p>
        </w:tc>
      </w:tr>
      <w:tr>
        <w:tc>
          <w:tcPr>
            <w:tcW w:type="dxa" w:w="1440"/>
          </w:tcPr>
          <w:p>
            <w:pPr>
              <w:bidi/>
              <w:jc w:val="center"/>
            </w:pPr>
            <w:r>
              <w:rPr>
                <w:rFonts w:ascii="B Nazanin" w:hAnsi="B Nazanin"/>
                <w:sz w:val="20"/>
              </w:rPr>
              <w:t>تحصیلات</w:t>
            </w:r>
          </w:p>
        </w:tc>
        <w:tc>
          <w:tcPr>
            <w:tcW w:type="dxa" w:w="1440"/>
          </w:tcPr>
          <w:p>
            <w:pPr>
              <w:bidi/>
              <w:jc w:val="center"/>
            </w:pPr>
            <w:r>
              <w:rPr>
                <w:rFonts w:ascii="B Nazanin" w:hAnsi="B Nazanin"/>
                <w:sz w:val="20"/>
              </w:rPr>
              <w:t>دکتری تخصصی</w:t>
            </w:r>
          </w:p>
        </w:tc>
        <w:tc>
          <w:tcPr>
            <w:tcW w:type="dxa" w:w="1440"/>
          </w:tcPr>
          <w:p>
            <w:pPr>
              <w:bidi/>
              <w:jc w:val="center"/>
            </w:pPr>
            <w:r>
              <w:rPr>
                <w:rFonts w:ascii="Times New Roman" w:hAnsi="Times New Roman"/>
                <w:sz w:val="20"/>
              </w:rPr>
              <w:t>۴ (۱۳.۳٪)</w:t>
            </w:r>
          </w:p>
        </w:tc>
        <w:tc>
          <w:tcPr>
            <w:tcW w:type="dxa" w:w="1440"/>
          </w:tcPr>
          <w:p>
            <w:pPr>
              <w:bidi/>
              <w:jc w:val="center"/>
            </w:pPr>
            <w:r>
              <w:rPr>
                <w:rFonts w:ascii="Times New Roman" w:hAnsi="Times New Roman"/>
                <w:sz w:val="20"/>
              </w:rPr>
              <w:t>۵ (۱۶.۷٪)</w:t>
            </w:r>
          </w:p>
        </w:tc>
        <w:tc>
          <w:tcPr>
            <w:tcW w:type="dxa" w:w="1440"/>
          </w:tcPr>
          <w:p>
            <w:pPr>
              <w:bidi/>
              <w:jc w:val="center"/>
            </w:pPr>
            <w:r>
              <w:rPr>
                <w:rFonts w:ascii="Times New Roman" w:hAnsi="Times New Roman"/>
                <w:sz w:val="20"/>
              </w:rPr>
              <w:t>۹ (۱۵.۰٪)</w:t>
            </w:r>
          </w:p>
        </w:tc>
        <w:tc>
          <w:tcPr>
            <w:tcW w:type="dxa" w:w="1440"/>
          </w:tcPr>
          <w:p>
            <w:pPr>
              <w:bidi/>
              <w:jc w:val="center"/>
            </w:pPr>
            <w:r>
              <w:rPr>
                <w:rFonts w:ascii="Times New Roman" w:hAnsi="Times New Roman"/>
                <w:sz w:val="20"/>
              </w:rPr>
              <w:t>-</w:t>
            </w:r>
          </w:p>
        </w:tc>
      </w:tr>
    </w:tbl>
    <w:p>
      <w:pPr>
        <w:bidi/>
        <w:jc w:val="both"/>
      </w:pPr>
      <w:r>
        <w:rPr>
          <w:rFonts w:ascii="B Nazanin" w:hAnsi="B Nazanin"/>
          <w:i/>
          <w:sz w:val="20"/>
        </w:rPr>
        <w:t>یادداشت. سطح معناداری آزمون کای‌دو بالاتر از ۰.۰۵ در متغیرهای جنسیت و تحصیلات بیانگر همتا بودن و توزیع متوازن آزمودنی‌ها در دو گروه آزمایش و کنترل است.</w:t>
      </w:r>
    </w:p>
    <w:p>
      <w:pPr>
        <w:bidi/>
        <w:jc w:val="right"/>
      </w:pPr>
      <w:r>
        <w:rPr>
          <w:rFonts w:ascii="B Titr" w:hAnsi="B Titr"/>
          <w:b/>
          <w:sz w:val="26"/>
          <w:rFonts w:ascii="B Titr" w:hAnsi="B Titr" w:cs="B Titr"/>
          <w:rtl/>
        </w:rPr>
        <w:t>۲. تفسیر شاخص‌ها و احراز همتاسازی خط پایه</w:t>
      </w:r>
    </w:p>
    <w:p>
      <w:pPr>
        <w:bidi/>
        <w:jc w:val="both"/>
      </w:pPr>
      <w:r>
        <w:rPr>
          <w:rFonts w:ascii="B Nazanin" w:hAnsi="B Nazanin"/>
          <w:b w:val="0"/>
          <w:i w:val="0"/>
          <w:sz w:val="26"/>
          <w:rFonts w:ascii="B Nazanin" w:hAnsi="B Nazanin" w:cs="B Nazanin"/>
          <w:rtl/>
        </w:rPr>
        <w:t>یافته‌های جدول ۱ گویای آن است که از نظر متغیر جنسیت، نسبت زنان و مردان در کل نمونه کاملاً برابر (۵۰.۰٪ مرد و ۵۰.۰٪ زن) بوده و آزمون کای‌دو استقلال (۰.۷۹۶ = p) هیچ تفاوت معناداری میان دو گروه نشان نداد. همچنین در توزیع سطوح تحصیلی، آزمون کای‌دو (۰.۴۲۲ = p) همگنی ساختار تحصیلی آزمودنی‌ها را احراز کرد. اگرچه میانگین سن گروه آزمایش اندکی بالاتر از گروه کنترل بود، کنترل آماری نمرات پیش‌آزمون به عنوان متغیر همپراش (Covariate) در تحلیل کوواریانس (ANCOVA) اثر هرگونه تفاوت احتمالی خط پایه را خنثی می‌نماید.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