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آزمون فرضیه ۱: اثربخشی درمان مبتنی بر پذیرش و تعهد (ACT) بر کاهش اضطراب در مرحله پس‌آزمون</w:t>
      </w:r>
    </w:p>
    <w:p>
      <w:pPr>
        <w:bidi/>
        <w:jc w:val="right"/>
      </w:pPr>
      <w:r>
        <w:rPr>
          <w:rFonts w:ascii="B Titr" w:hAnsi="B Titr"/>
          <w:b/>
          <w:sz w:val="26"/>
          <w:rFonts w:ascii="B Titr" w:hAnsi="B Titr" w:cs="B Titr"/>
          <w:rtl/>
        </w:rPr>
        <w:t>۱. بیان فرضیه و شاخص‌های توصیفی مشاهده‌شده و تعدیل‌شده</w:t>
      </w:r>
    </w:p>
    <w:p>
      <w:pPr>
        <w:bidi/>
        <w:jc w:val="both"/>
      </w:pPr>
      <w:r>
        <w:rPr>
          <w:rFonts w:ascii="B Nazanin" w:hAnsi="B Nazanin"/>
          <w:b w:val="0"/>
          <w:i w:val="0"/>
          <w:sz w:val="26"/>
          <w:rFonts w:ascii="B Nazanin" w:hAnsi="B Nazanin" w:cs="B Nazanin"/>
          <w:rtl/>
        </w:rPr>
        <w:t>فرضیه نخست پژوهش تصریح می‌دارد که «درمان مبتنی بر پذیرش و تعهد (ACT) بر کاهش نشانه‌های اضطراب در مرحله پس‌آزمون با کنترل اثر پیش‌آزمون اثربخش است». به منظور بررسی این فرضیه و تعدیل اثر سوگیری خط پایه، از تحلیل کوواریانس تک‌متغیره (ANCOVA) استفاده شد. میانگین‌ها و خطاهای معیار مشاهده‌شده و تعدیل‌شده در جدول ۱ درج گردیده است.</w:t>
      </w:r>
    </w:p>
    <w:p>
      <w:pPr>
        <w:bidi/>
        <w:jc w:val="right"/>
      </w:pPr>
      <w:r>
        <w:rPr>
          <w:rFonts w:ascii="B Nazanin" w:hAnsi="B Nazanin"/>
          <w:b/>
          <w:sz w:val="22"/>
        </w:rPr>
        <w:t>جدول ۱. میانگین‌های مشاهده‌شده و تعدیل‌شده اضطراب در مرحله پس‌آزمون به تفکیک گروه (۶۰ = N)</w:t>
      </w:r>
    </w:p>
    <w:tbl>
      <w:tblPr>
        <w:tblW w:type="auto" w:w="0"/>
        <w:jc w:val="center"/>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center"/>
            </w:pPr>
            <w:r>
              <w:rPr>
                <w:rFonts w:ascii="B Nazanin" w:hAnsi="B Nazanin"/>
                <w:b/>
                <w:sz w:val="20"/>
              </w:rPr>
              <w:t>گروه</w:t>
            </w:r>
          </w:p>
        </w:tc>
        <w:tc>
          <w:tcPr>
            <w:tcW w:type="dxa" w:w="1234"/>
          </w:tcPr>
          <w:p>
            <w:pPr>
              <w:bidi/>
              <w:jc w:val="center"/>
            </w:pPr>
            <w:r>
              <w:rPr>
                <w:rFonts w:ascii="B Nazanin" w:hAnsi="B Nazanin"/>
                <w:b/>
                <w:sz w:val="20"/>
              </w:rPr>
              <w:t>تعداد (n)</w:t>
            </w:r>
          </w:p>
        </w:tc>
        <w:tc>
          <w:tcPr>
            <w:tcW w:type="dxa" w:w="1234"/>
          </w:tcPr>
          <w:p>
            <w:pPr>
              <w:bidi/>
              <w:jc w:val="center"/>
            </w:pPr>
            <w:r>
              <w:rPr>
                <w:rFonts w:ascii="B Nazanin" w:hAnsi="B Nazanin"/>
                <w:b/>
                <w:sz w:val="20"/>
              </w:rPr>
              <w:t>میانگین مشاهده‌شده</w:t>
            </w:r>
          </w:p>
        </w:tc>
        <w:tc>
          <w:tcPr>
            <w:tcW w:type="dxa" w:w="1234"/>
          </w:tcPr>
          <w:p>
            <w:pPr>
              <w:bidi/>
              <w:jc w:val="center"/>
            </w:pPr>
            <w:r>
              <w:rPr>
                <w:rFonts w:ascii="B Nazanin" w:hAnsi="B Nazanin"/>
                <w:b/>
                <w:sz w:val="20"/>
              </w:rPr>
              <w:t>انحراف معیار</w:t>
            </w:r>
          </w:p>
        </w:tc>
        <w:tc>
          <w:tcPr>
            <w:tcW w:type="dxa" w:w="1234"/>
          </w:tcPr>
          <w:p>
            <w:pPr>
              <w:bidi/>
              <w:jc w:val="center"/>
            </w:pPr>
            <w:r>
              <w:rPr>
                <w:rFonts w:ascii="B Nazanin" w:hAnsi="B Nazanin"/>
                <w:b/>
                <w:sz w:val="20"/>
              </w:rPr>
              <w:t>میانگین تعدیل‌شده</w:t>
            </w:r>
          </w:p>
        </w:tc>
        <w:tc>
          <w:tcPr>
            <w:tcW w:type="dxa" w:w="1234"/>
          </w:tcPr>
          <w:p>
            <w:pPr>
              <w:bidi/>
              <w:jc w:val="center"/>
            </w:pPr>
            <w:r>
              <w:rPr>
                <w:rFonts w:ascii="B Nazanin" w:hAnsi="B Nazanin"/>
                <w:b/>
                <w:sz w:val="20"/>
              </w:rPr>
              <w:t>خطای معیار</w:t>
            </w:r>
          </w:p>
        </w:tc>
        <w:tc>
          <w:tcPr>
            <w:tcW w:type="dxa" w:w="1234"/>
          </w:tcPr>
          <w:p>
            <w:pPr>
              <w:bidi/>
              <w:jc w:val="center"/>
            </w:pPr>
            <w:r>
              <w:rPr>
                <w:rFonts w:ascii="B Nazanin" w:hAnsi="B Nazanin"/>
                <w:b/>
                <w:sz w:val="20"/>
              </w:rPr>
              <w:t>فاصله اطمینان ۹۵٪</w:t>
            </w:r>
          </w:p>
        </w:tc>
      </w:tr>
      <w:tr>
        <w:tc>
          <w:tcPr>
            <w:tcW w:type="dxa" w:w="1234"/>
          </w:tcPr>
          <w:p>
            <w:pPr>
              <w:bidi/>
              <w:jc w:val="center"/>
            </w:pPr>
            <w:r>
              <w:rPr>
                <w:rFonts w:ascii="B Nazanin" w:hAnsi="B Nazanin"/>
                <w:sz w:val="20"/>
              </w:rPr>
              <w:t>آزمایش (ACT)</w:t>
            </w:r>
          </w:p>
        </w:tc>
        <w:tc>
          <w:tcPr>
            <w:tcW w:type="dxa" w:w="1234"/>
          </w:tcPr>
          <w:p>
            <w:pPr>
              <w:bidi/>
              <w:jc w:val="center"/>
            </w:pPr>
            <w:r>
              <w:rPr>
                <w:rFonts w:ascii="Times New Roman" w:hAnsi="Times New Roman"/>
                <w:sz w:val="20"/>
              </w:rPr>
              <w:t>۳۰</w:t>
            </w:r>
          </w:p>
        </w:tc>
        <w:tc>
          <w:tcPr>
            <w:tcW w:type="dxa" w:w="1234"/>
          </w:tcPr>
          <w:p>
            <w:pPr>
              <w:bidi/>
              <w:jc w:val="center"/>
            </w:pPr>
            <w:r>
              <w:rPr>
                <w:rFonts w:ascii="Times New Roman" w:hAnsi="Times New Roman"/>
                <w:sz w:val="20"/>
              </w:rPr>
              <w:t>۲.۳۰۱</w:t>
            </w:r>
          </w:p>
        </w:tc>
        <w:tc>
          <w:tcPr>
            <w:tcW w:type="dxa" w:w="1234"/>
          </w:tcPr>
          <w:p>
            <w:pPr>
              <w:bidi/>
              <w:jc w:val="center"/>
            </w:pPr>
            <w:r>
              <w:rPr>
                <w:rFonts w:ascii="Times New Roman" w:hAnsi="Times New Roman"/>
                <w:sz w:val="20"/>
              </w:rPr>
              <w:t>۰.۳۹۷</w:t>
            </w:r>
          </w:p>
        </w:tc>
        <w:tc>
          <w:tcPr>
            <w:tcW w:type="dxa" w:w="1234"/>
          </w:tcPr>
          <w:p>
            <w:pPr>
              <w:bidi/>
              <w:jc w:val="center"/>
            </w:pPr>
            <w:r>
              <w:rPr>
                <w:rFonts w:ascii="Times New Roman" w:hAnsi="Times New Roman"/>
                <w:sz w:val="20"/>
              </w:rPr>
              <w:t>۲.۳۱۴</w:t>
            </w:r>
          </w:p>
        </w:tc>
        <w:tc>
          <w:tcPr>
            <w:tcW w:type="dxa" w:w="1234"/>
          </w:tcPr>
          <w:p>
            <w:pPr>
              <w:bidi/>
              <w:jc w:val="center"/>
            </w:pPr>
            <w:r>
              <w:rPr>
                <w:rFonts w:ascii="Times New Roman" w:hAnsi="Times New Roman"/>
                <w:sz w:val="20"/>
              </w:rPr>
              <w:t>۰.۰۶۰</w:t>
            </w:r>
          </w:p>
        </w:tc>
        <w:tc>
          <w:tcPr>
            <w:tcW w:type="dxa" w:w="1234"/>
          </w:tcPr>
          <w:p>
            <w:pPr>
              <w:bidi/>
              <w:jc w:val="center"/>
            </w:pPr>
            <w:r>
              <w:rPr>
                <w:rFonts w:ascii="Times New Roman" w:hAnsi="Times New Roman"/>
                <w:sz w:val="20"/>
              </w:rPr>
              <w:t>[۲.۱۹۶, ۲.۴۳۱]</w:t>
            </w:r>
          </w:p>
        </w:tc>
      </w:tr>
      <w:tr>
        <w:tc>
          <w:tcPr>
            <w:tcW w:type="dxa" w:w="1234"/>
          </w:tcPr>
          <w:p>
            <w:pPr>
              <w:bidi/>
              <w:jc w:val="center"/>
            </w:pPr>
            <w:r>
              <w:rPr>
                <w:rFonts w:ascii="B Nazanin" w:hAnsi="B Nazanin"/>
                <w:sz w:val="20"/>
              </w:rPr>
              <w:t>گواه (کنترل)</w:t>
            </w:r>
          </w:p>
        </w:tc>
        <w:tc>
          <w:tcPr>
            <w:tcW w:type="dxa" w:w="1234"/>
          </w:tcPr>
          <w:p>
            <w:pPr>
              <w:bidi/>
              <w:jc w:val="center"/>
            </w:pPr>
            <w:r>
              <w:rPr>
                <w:rFonts w:ascii="Times New Roman" w:hAnsi="Times New Roman"/>
                <w:sz w:val="20"/>
              </w:rPr>
              <w:t>۳۰</w:t>
            </w:r>
          </w:p>
        </w:tc>
        <w:tc>
          <w:tcPr>
            <w:tcW w:type="dxa" w:w="1234"/>
          </w:tcPr>
          <w:p>
            <w:pPr>
              <w:bidi/>
              <w:jc w:val="center"/>
            </w:pPr>
            <w:r>
              <w:rPr>
                <w:rFonts w:ascii="Times New Roman" w:hAnsi="Times New Roman"/>
                <w:sz w:val="20"/>
              </w:rPr>
              <w:t>۳.۵۳۴</w:t>
            </w:r>
          </w:p>
        </w:tc>
        <w:tc>
          <w:tcPr>
            <w:tcW w:type="dxa" w:w="1234"/>
          </w:tcPr>
          <w:p>
            <w:pPr>
              <w:bidi/>
              <w:jc w:val="center"/>
            </w:pPr>
            <w:r>
              <w:rPr>
                <w:rFonts w:ascii="Times New Roman" w:hAnsi="Times New Roman"/>
                <w:sz w:val="20"/>
              </w:rPr>
              <w:t>۰.۵۵۴</w:t>
            </w:r>
          </w:p>
        </w:tc>
        <w:tc>
          <w:tcPr>
            <w:tcW w:type="dxa" w:w="1234"/>
          </w:tcPr>
          <w:p>
            <w:pPr>
              <w:bidi/>
              <w:jc w:val="center"/>
            </w:pPr>
            <w:r>
              <w:rPr>
                <w:rFonts w:ascii="Times New Roman" w:hAnsi="Times New Roman"/>
                <w:sz w:val="20"/>
              </w:rPr>
              <w:t>۳.۵۲۱</w:t>
            </w:r>
          </w:p>
        </w:tc>
        <w:tc>
          <w:tcPr>
            <w:tcW w:type="dxa" w:w="1234"/>
          </w:tcPr>
          <w:p>
            <w:pPr>
              <w:bidi/>
              <w:jc w:val="center"/>
            </w:pPr>
            <w:r>
              <w:rPr>
                <w:rFonts w:ascii="Times New Roman" w:hAnsi="Times New Roman"/>
                <w:sz w:val="20"/>
              </w:rPr>
              <w:t>۰.۰۶۰</w:t>
            </w:r>
          </w:p>
        </w:tc>
        <w:tc>
          <w:tcPr>
            <w:tcW w:type="dxa" w:w="1234"/>
          </w:tcPr>
          <w:p>
            <w:pPr>
              <w:bidi/>
              <w:jc w:val="center"/>
            </w:pPr>
            <w:r>
              <w:rPr>
                <w:rFonts w:ascii="Times New Roman" w:hAnsi="Times New Roman"/>
                <w:sz w:val="20"/>
              </w:rPr>
              <w:t>[۳.۴۰۴, ۳.۶۳۹]</w:t>
            </w:r>
          </w:p>
        </w:tc>
      </w:tr>
    </w:tbl>
    <w:p>
      <w:pPr>
        <w:bidi/>
        <w:jc w:val="both"/>
      </w:pPr>
      <w:r>
        <w:rPr>
          <w:rFonts w:ascii="B Nazanin" w:hAnsi="B Nazanin"/>
          <w:i/>
          <w:sz w:val="20"/>
        </w:rPr>
        <w:t>یادداشت. میانگین‌های تعدیل‌شده بر پایه میانگین پیش‌آزمون (۳.۴۴۶) برآورد شده‌اند.</w:t>
      </w:r>
    </w:p>
    <w:p>
      <w:pPr>
        <w:bidi/>
        <w:jc w:val="right"/>
      </w:pPr>
      <w:r>
        <w:rPr>
          <w:rFonts w:ascii="B Titr" w:hAnsi="B Titr"/>
          <w:b/>
          <w:sz w:val="26"/>
          <w:rFonts w:ascii="B Titr" w:hAnsi="B Titr" w:cs="B Titr"/>
          <w:rtl/>
        </w:rPr>
        <w:t>۲. نتایج تحلیل کوواریانس تک‌متغیره (ANCOVA)</w:t>
      </w:r>
    </w:p>
    <w:p>
      <w:pPr>
        <w:bidi/>
        <w:jc w:val="both"/>
      </w:pPr>
      <w:r>
        <w:rPr>
          <w:rFonts w:ascii="B Nazanin" w:hAnsi="B Nazanin"/>
          <w:b w:val="0"/>
          <w:i w:val="0"/>
          <w:sz w:val="26"/>
          <w:rFonts w:ascii="B Nazanin" w:hAnsi="B Nazanin" w:cs="B Nazanin"/>
          <w:rtl/>
        </w:rPr>
        <w:t>در جدول ۲، خلاصه نتایج تحلیل کوواریانس شامل مجموع مجذورات، درجات آزادی، میانگین مجذورات، آماره F، سطح معناداری و مجذور اتای تفکیکی (ηp²) برای متغیر هم‌پراش (پیش‌آزمون) و اثر گروه گزارش شده است.</w:t>
      </w:r>
    </w:p>
    <w:p>
      <w:pPr>
        <w:bidi/>
        <w:jc w:val="right"/>
      </w:pPr>
      <w:r>
        <w:rPr>
          <w:rFonts w:ascii="B Nazanin" w:hAnsi="B Nazanin"/>
          <w:b/>
          <w:sz w:val="22"/>
        </w:rPr>
        <w:t>جدول ۲. نتایج تحلیل کوواریانس تک‌متغیره برای نمرات پس‌آزمون اضطراب (۶۰ = N)</w:t>
      </w:r>
    </w:p>
    <w:tbl>
      <w:tblPr>
        <w:tblW w:type="auto" w:w="0"/>
        <w:jc w:val="center"/>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center"/>
            </w:pPr>
            <w:r>
              <w:rPr>
                <w:rFonts w:ascii="B Nazanin" w:hAnsi="B Nazanin"/>
                <w:b/>
                <w:sz w:val="20"/>
              </w:rPr>
              <w:t>منبع تغییرات</w:t>
            </w:r>
          </w:p>
        </w:tc>
        <w:tc>
          <w:tcPr>
            <w:tcW w:type="dxa" w:w="1234"/>
          </w:tcPr>
          <w:p>
            <w:pPr>
              <w:bidi/>
              <w:jc w:val="center"/>
            </w:pPr>
            <w:r>
              <w:rPr>
                <w:rFonts w:ascii="B Nazanin" w:hAnsi="B Nazanin"/>
                <w:b/>
                <w:sz w:val="20"/>
              </w:rPr>
              <w:t>مجموع مجذورات (SS)</w:t>
            </w:r>
          </w:p>
        </w:tc>
        <w:tc>
          <w:tcPr>
            <w:tcW w:type="dxa" w:w="1234"/>
          </w:tcPr>
          <w:p>
            <w:pPr>
              <w:bidi/>
              <w:jc w:val="center"/>
            </w:pPr>
            <w:r>
              <w:rPr>
                <w:rFonts w:ascii="B Nazanin" w:hAnsi="B Nazanin"/>
                <w:b/>
                <w:sz w:val="20"/>
              </w:rPr>
              <w:t>درجه آزادی (df)</w:t>
            </w:r>
          </w:p>
        </w:tc>
        <w:tc>
          <w:tcPr>
            <w:tcW w:type="dxa" w:w="1234"/>
          </w:tcPr>
          <w:p>
            <w:pPr>
              <w:bidi/>
              <w:jc w:val="center"/>
            </w:pPr>
            <w:r>
              <w:rPr>
                <w:rFonts w:ascii="B Nazanin" w:hAnsi="B Nazanin"/>
                <w:b/>
                <w:sz w:val="20"/>
              </w:rPr>
              <w:t>میانگین مجذورات (MS)</w:t>
            </w:r>
          </w:p>
        </w:tc>
        <w:tc>
          <w:tcPr>
            <w:tcW w:type="dxa" w:w="1234"/>
          </w:tcPr>
          <w:p>
            <w:pPr>
              <w:bidi/>
              <w:jc w:val="center"/>
            </w:pPr>
            <w:r>
              <w:rPr>
                <w:rFonts w:ascii="B Nazanin" w:hAnsi="B Nazanin"/>
                <w:b/>
                <w:sz w:val="20"/>
              </w:rPr>
              <w:t>آماره F</w:t>
            </w:r>
          </w:p>
        </w:tc>
        <w:tc>
          <w:tcPr>
            <w:tcW w:type="dxa" w:w="1234"/>
          </w:tcPr>
          <w:p>
            <w:pPr>
              <w:bidi/>
              <w:jc w:val="center"/>
            </w:pPr>
            <w:r>
              <w:rPr>
                <w:rFonts w:ascii="B Nazanin" w:hAnsi="B Nazanin"/>
                <w:b/>
                <w:sz w:val="20"/>
              </w:rPr>
              <w:t>سطح معناداری (p)</w:t>
            </w:r>
          </w:p>
        </w:tc>
        <w:tc>
          <w:tcPr>
            <w:tcW w:type="dxa" w:w="1234"/>
          </w:tcPr>
          <w:p>
            <w:pPr>
              <w:bidi/>
              <w:jc w:val="center"/>
            </w:pPr>
            <w:r>
              <w:rPr>
                <w:rFonts w:ascii="B Nazanin" w:hAnsi="B Nazanin"/>
                <w:b/>
                <w:sz w:val="20"/>
              </w:rPr>
              <w:t>مجذور اتای تفکیکی (ηp²)</w:t>
            </w:r>
          </w:p>
        </w:tc>
      </w:tr>
      <w:tr>
        <w:tc>
          <w:tcPr>
            <w:tcW w:type="dxa" w:w="1234"/>
          </w:tcPr>
          <w:p>
            <w:pPr>
              <w:bidi/>
              <w:jc w:val="center"/>
            </w:pPr>
            <w:r>
              <w:rPr>
                <w:rFonts w:ascii="B Nazanin" w:hAnsi="B Nazanin"/>
                <w:sz w:val="20"/>
              </w:rPr>
              <w:t>پیش‌آزمون (هم‌پراش)</w:t>
            </w:r>
          </w:p>
        </w:tc>
        <w:tc>
          <w:tcPr>
            <w:tcW w:type="dxa" w:w="1234"/>
          </w:tcPr>
          <w:p>
            <w:pPr>
              <w:bidi/>
              <w:jc w:val="center"/>
            </w:pPr>
            <w:r>
              <w:rPr>
                <w:rFonts w:ascii="Times New Roman" w:hAnsi="Times New Roman"/>
                <w:sz w:val="20"/>
              </w:rPr>
              <w:t>۷.۳۰۸</w:t>
            </w:r>
          </w:p>
        </w:tc>
        <w:tc>
          <w:tcPr>
            <w:tcW w:type="dxa" w:w="1234"/>
          </w:tcPr>
          <w:p>
            <w:pPr>
              <w:bidi/>
              <w:jc w:val="center"/>
            </w:pPr>
            <w:r>
              <w:rPr>
                <w:rFonts w:ascii="Times New Roman" w:hAnsi="Times New Roman"/>
                <w:sz w:val="20"/>
              </w:rPr>
              <w:t>۱</w:t>
            </w:r>
          </w:p>
        </w:tc>
        <w:tc>
          <w:tcPr>
            <w:tcW w:type="dxa" w:w="1234"/>
          </w:tcPr>
          <w:p>
            <w:pPr>
              <w:bidi/>
              <w:jc w:val="center"/>
            </w:pPr>
            <w:r>
              <w:rPr>
                <w:rFonts w:ascii="Times New Roman" w:hAnsi="Times New Roman"/>
                <w:sz w:val="20"/>
              </w:rPr>
              <w:t>۷.۳۰۸</w:t>
            </w:r>
          </w:p>
        </w:tc>
        <w:tc>
          <w:tcPr>
            <w:tcW w:type="dxa" w:w="1234"/>
          </w:tcPr>
          <w:p>
            <w:pPr>
              <w:bidi/>
              <w:jc w:val="center"/>
            </w:pPr>
            <w:r>
              <w:rPr>
                <w:rFonts w:ascii="Times New Roman" w:hAnsi="Times New Roman"/>
                <w:sz w:val="20"/>
              </w:rPr>
              <w:t>۶۷.۶۸۷</w:t>
            </w:r>
          </w:p>
        </w:tc>
        <w:tc>
          <w:tcPr>
            <w:tcW w:type="dxa" w:w="1234"/>
          </w:tcPr>
          <w:p>
            <w:pPr>
              <w:bidi/>
              <w:jc w:val="center"/>
            </w:pPr>
            <w:r>
              <w:rPr>
                <w:rFonts w:ascii="Times New Roman" w:hAnsi="Times New Roman"/>
                <w:sz w:val="20"/>
              </w:rPr>
              <w:t>۰.۰۰۱ &gt; p</w:t>
            </w:r>
          </w:p>
        </w:tc>
        <w:tc>
          <w:tcPr>
            <w:tcW w:type="dxa" w:w="1234"/>
          </w:tcPr>
          <w:p>
            <w:pPr>
              <w:bidi/>
              <w:jc w:val="center"/>
            </w:pPr>
            <w:r>
              <w:rPr>
                <w:rFonts w:ascii="Times New Roman" w:hAnsi="Times New Roman"/>
                <w:sz w:val="20"/>
              </w:rPr>
              <w:t>۰.۵۴۳</w:t>
            </w:r>
          </w:p>
        </w:tc>
      </w:tr>
      <w:tr>
        <w:tc>
          <w:tcPr>
            <w:tcW w:type="dxa" w:w="1234"/>
          </w:tcPr>
          <w:p>
            <w:pPr>
              <w:bidi/>
              <w:jc w:val="center"/>
            </w:pPr>
            <w:r>
              <w:rPr>
                <w:rFonts w:ascii="B Nazanin" w:hAnsi="B Nazanin"/>
                <w:sz w:val="20"/>
              </w:rPr>
              <w:t>گروه (مداخله ACT)</w:t>
            </w:r>
          </w:p>
        </w:tc>
        <w:tc>
          <w:tcPr>
            <w:tcW w:type="dxa" w:w="1234"/>
          </w:tcPr>
          <w:p>
            <w:pPr>
              <w:bidi/>
              <w:jc w:val="center"/>
            </w:pPr>
            <w:r>
              <w:rPr>
                <w:rFonts w:ascii="Times New Roman" w:hAnsi="Times New Roman"/>
                <w:sz w:val="20"/>
              </w:rPr>
              <w:t>۲۱.۸۵۰</w:t>
            </w:r>
          </w:p>
        </w:tc>
        <w:tc>
          <w:tcPr>
            <w:tcW w:type="dxa" w:w="1234"/>
          </w:tcPr>
          <w:p>
            <w:pPr>
              <w:bidi/>
              <w:jc w:val="center"/>
            </w:pPr>
            <w:r>
              <w:rPr>
                <w:rFonts w:ascii="Times New Roman" w:hAnsi="Times New Roman"/>
                <w:sz w:val="20"/>
              </w:rPr>
              <w:t>۱</w:t>
            </w:r>
          </w:p>
        </w:tc>
        <w:tc>
          <w:tcPr>
            <w:tcW w:type="dxa" w:w="1234"/>
          </w:tcPr>
          <w:p>
            <w:pPr>
              <w:bidi/>
              <w:jc w:val="center"/>
            </w:pPr>
            <w:r>
              <w:rPr>
                <w:rFonts w:ascii="Times New Roman" w:hAnsi="Times New Roman"/>
                <w:sz w:val="20"/>
              </w:rPr>
              <w:t>۲۱.۸۵۰</w:t>
            </w:r>
          </w:p>
        </w:tc>
        <w:tc>
          <w:tcPr>
            <w:tcW w:type="dxa" w:w="1234"/>
          </w:tcPr>
          <w:p>
            <w:pPr>
              <w:bidi/>
              <w:jc w:val="center"/>
            </w:pPr>
            <w:r>
              <w:rPr>
                <w:rFonts w:ascii="Times New Roman" w:hAnsi="Times New Roman"/>
                <w:sz w:val="20"/>
              </w:rPr>
              <w:t>۲۰۲.۳۷۷</w:t>
            </w:r>
          </w:p>
        </w:tc>
        <w:tc>
          <w:tcPr>
            <w:tcW w:type="dxa" w:w="1234"/>
          </w:tcPr>
          <w:p>
            <w:pPr>
              <w:bidi/>
              <w:jc w:val="center"/>
            </w:pPr>
            <w:r>
              <w:rPr>
                <w:rFonts w:ascii="Times New Roman" w:hAnsi="Times New Roman"/>
                <w:sz w:val="20"/>
              </w:rPr>
              <w:t>۰.۰۰۱ &gt; p</w:t>
            </w:r>
          </w:p>
        </w:tc>
        <w:tc>
          <w:tcPr>
            <w:tcW w:type="dxa" w:w="1234"/>
          </w:tcPr>
          <w:p>
            <w:pPr>
              <w:bidi/>
              <w:jc w:val="center"/>
            </w:pPr>
            <w:r>
              <w:rPr>
                <w:rFonts w:ascii="Times New Roman" w:hAnsi="Times New Roman"/>
                <w:sz w:val="20"/>
              </w:rPr>
              <w:t>۰.۷۸۰</w:t>
            </w:r>
          </w:p>
        </w:tc>
      </w:tr>
      <w:tr>
        <w:tc>
          <w:tcPr>
            <w:tcW w:type="dxa" w:w="1234"/>
          </w:tcPr>
          <w:p>
            <w:pPr>
              <w:bidi/>
              <w:jc w:val="center"/>
            </w:pPr>
            <w:r>
              <w:rPr>
                <w:rFonts w:ascii="B Nazanin" w:hAnsi="B Nazanin"/>
                <w:sz w:val="20"/>
              </w:rPr>
              <w:t>خطا</w:t>
            </w:r>
          </w:p>
        </w:tc>
        <w:tc>
          <w:tcPr>
            <w:tcW w:type="dxa" w:w="1234"/>
          </w:tcPr>
          <w:p>
            <w:pPr>
              <w:bidi/>
              <w:jc w:val="center"/>
            </w:pPr>
            <w:r>
              <w:rPr>
                <w:rFonts w:ascii="Times New Roman" w:hAnsi="Times New Roman"/>
                <w:sz w:val="20"/>
              </w:rPr>
              <w:t>۶.۱۵۴</w:t>
            </w:r>
          </w:p>
        </w:tc>
        <w:tc>
          <w:tcPr>
            <w:tcW w:type="dxa" w:w="1234"/>
          </w:tcPr>
          <w:p>
            <w:pPr>
              <w:bidi/>
              <w:jc w:val="center"/>
            </w:pPr>
            <w:r>
              <w:rPr>
                <w:rFonts w:ascii="Times New Roman" w:hAnsi="Times New Roman"/>
                <w:sz w:val="20"/>
              </w:rPr>
              <w:t>۵۷</w:t>
            </w:r>
          </w:p>
        </w:tc>
        <w:tc>
          <w:tcPr>
            <w:tcW w:type="dxa" w:w="1234"/>
          </w:tcPr>
          <w:p>
            <w:pPr>
              <w:bidi/>
              <w:jc w:val="center"/>
            </w:pPr>
            <w:r>
              <w:rPr>
                <w:rFonts w:ascii="Times New Roman" w:hAnsi="Times New Roman"/>
                <w:sz w:val="20"/>
              </w:rPr>
              <w:t>۰.۱۰۸</w:t>
            </w:r>
          </w:p>
        </w:tc>
        <w:tc>
          <w:tcPr>
            <w:tcW w:type="dxa" w:w="1234"/>
          </w:tcPr>
          <w:p>
            <w:pPr>
              <w:bidi/>
              <w:jc w:val="center"/>
            </w:pPr>
            <w:r>
              <w:rPr>
                <w:rFonts w:ascii="Times New Roman" w:hAnsi="Times New Roman"/>
                <w:sz w:val="20"/>
              </w:rPr>
              <w:t>-</w:t>
            </w:r>
          </w:p>
        </w:tc>
        <w:tc>
          <w:tcPr>
            <w:tcW w:type="dxa" w:w="1234"/>
          </w:tcPr>
          <w:p>
            <w:pPr>
              <w:bidi/>
              <w:jc w:val="center"/>
            </w:pPr>
            <w:r>
              <w:rPr>
                <w:rFonts w:ascii="Times New Roman" w:hAnsi="Times New Roman"/>
                <w:sz w:val="20"/>
              </w:rPr>
              <w:t>-</w:t>
            </w:r>
          </w:p>
        </w:tc>
        <w:tc>
          <w:tcPr>
            <w:tcW w:type="dxa" w:w="1234"/>
          </w:tcPr>
          <w:p>
            <w:pPr>
              <w:bidi/>
              <w:jc w:val="center"/>
            </w:pPr>
            <w:r>
              <w:rPr>
                <w:rFonts w:ascii="Times New Roman" w:hAnsi="Times New Roman"/>
                <w:sz w:val="20"/>
              </w:rPr>
              <w:t>-</w:t>
            </w:r>
          </w:p>
        </w:tc>
      </w:tr>
    </w:tbl>
    <w:p>
      <w:pPr>
        <w:bidi/>
        <w:jc w:val="both"/>
      </w:pPr>
      <w:r>
        <w:rPr>
          <w:rFonts w:ascii="B Nazanin" w:hAnsi="B Nazanin"/>
          <w:i/>
          <w:sz w:val="20"/>
        </w:rPr>
        <w:t>یادداشت. متغیر وابسته: پس‌آزمون اضطراب؛ متغیر کنترل هم‌پراش: پیش‌آزمون اضطراب.</w:t>
      </w:r>
    </w:p>
    <w:p>
      <w:pPr>
        <w:bidi/>
        <w:jc w:val="right"/>
      </w:pPr>
      <w:r>
        <w:rPr>
          <w:rFonts w:ascii="B Titr" w:hAnsi="B Titr"/>
          <w:b/>
          <w:sz w:val="26"/>
          <w:rFonts w:ascii="B Titr" w:hAnsi="B Titr" w:cs="B Titr"/>
          <w:rtl/>
        </w:rPr>
        <w:t>۳. تفسیر یافته‌های آماری و تصمیم‌گیری پیرامون فرضیه</w:t>
      </w:r>
    </w:p>
    <w:p>
      <w:pPr>
        <w:bidi/>
        <w:jc w:val="both"/>
      </w:pPr>
      <w:r>
        <w:rPr>
          <w:rFonts w:ascii="B Nazanin" w:hAnsi="B Nazanin"/>
          <w:b w:val="0"/>
          <w:i w:val="0"/>
          <w:sz w:val="26"/>
          <w:rFonts w:ascii="B Nazanin" w:hAnsi="B Nazanin" w:cs="B Nazanin"/>
          <w:rtl/>
        </w:rPr>
        <w:t>همان‌گونه که در جدول ۲ ملاحظه می‌شود، پس از کنترل اثر اولیه نمرات پیش‌آزمون اضطراب، اثر اصلی گروه در مرحله پس‌آزمون از لحاظ آماری کاملاً معنادار است (۲۰۲.۳۷۷ = (۵۷ ،۱)F، ۰.۰۰۱ &gt; p، ۰.۷۸۰ = ηp²). مجذور اتای تفکیکی نشان می‌دهد که ۷۸.۰ درصد از واریانس پس‌آزمون اضطراب ناشی از عضویت در گروه مداخله بوده است. با عنایت به اینکه میانگین تعدیل‌شده گروه آزمایش (۲.۳۱۴) به گونه‌ای معنادار کمتر از گروه گواه (۳.۵۲۱) است، فرضیه نخست پژوهش با قوت آماری کامل تأیید می‌گردد.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