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ماتریس جامع تصمیم‌گیری فرضیه‌ها و جمع‌بندی یافته‌های فصل چهارم (مرحله ۴.۸)</w:t>
      </w:r>
    </w:p>
    <w:p>
      <w:pPr>
        <w:bidi/>
        <w:jc w:val="right"/>
      </w:pPr>
      <w:r>
        <w:rPr>
          <w:rFonts w:ascii="B Titr" w:hAnsi="B Titr"/>
          <w:b/>
          <w:sz w:val="26"/>
          <w:rFonts w:ascii="B Titr" w:hAnsi="B Titr" w:cs="B Titr"/>
          <w:rtl/>
        </w:rPr>
        <w:t>۱. خلاصه برآیند آزمون فرضیه‌های پژوهش</w:t>
      </w:r>
    </w:p>
    <w:p>
      <w:pPr>
        <w:bidi/>
        <w:jc w:val="both"/>
      </w:pPr>
      <w:r>
        <w:rPr>
          <w:rFonts w:ascii="B Nazanin" w:hAnsi="B Nazanin"/>
          <w:b w:val="0"/>
          <w:i w:val="0"/>
          <w:sz w:val="26"/>
          <w:rFonts w:ascii="B Nazanin" w:hAnsi="B Nazanin" w:cs="B Nazanin"/>
          <w:rtl/>
        </w:rPr>
        <w:t>پژوهش حاضر با هدف بررسی اثربخشی درمان مبتنی بر پذیرش و تعهد (ACT) بر کاهش اضطراب و آشفتگی روان‌شناختی با طرح آزمایشی پیش‌آزمون-پس‌آزمون با گروه کنترل و دوره پیگیری دو ماهه اجرا گردید. جدول ۱ ماتریس جامع تصمیم‌گیری پیرامون فرضیه‌های سه‌گانه پژوهش را بر پایه آزمون‌های تحلیل کوواریانس (ANCOVA) و تحلیل واریانس آمیخته با اندازه‌گیری مکرر نشان می‌دهد.</w:t>
      </w:r>
    </w:p>
    <w:p>
      <w:pPr>
        <w:bidi/>
        <w:jc w:val="right"/>
      </w:pPr>
      <w:r>
        <w:rPr>
          <w:rFonts w:ascii="B Nazanin" w:hAnsi="B Nazanin"/>
          <w:b/>
          <w:sz w:val="22"/>
        </w:rPr>
        <w:t>جدول ۱. ماتریس جامع آزمون و تصمیم‌گیری فرضیه‌های پژوهش (۶۰ = N)</w:t>
      </w:r>
    </w:p>
    <w:tbl>
      <w:tblPr>
        <w:tblW w:type="auto" w:w="0"/>
        <w:jc w:val="center"/>
        <w:tblLook w:firstColumn="1" w:firstRow="1" w:lastColumn="0" w:lastRow="0" w:noHBand="0" w:noVBand="1" w:val="04A0"/>
        <w:bidiVisual/>
      </w:tblPr>
      <w:tblGrid>
        <w:gridCol w:w="1080"/>
        <w:gridCol w:w="1080"/>
        <w:gridCol w:w="1080"/>
        <w:gridCol w:w="1080"/>
        <w:gridCol w:w="1080"/>
        <w:gridCol w:w="1080"/>
        <w:gridCol w:w="1080"/>
        <w:gridCol w:w="1080"/>
      </w:tblGrid>
      <w:tr>
        <w:tc>
          <w:tcPr>
            <w:tcW w:type="dxa" w:w="1080"/>
          </w:tcPr>
          <w:p>
            <w:pPr>
              <w:bidi/>
              <w:jc w:val="center"/>
            </w:pPr>
            <w:r>
              <w:rPr>
                <w:rFonts w:ascii="B Nazanin" w:hAnsi="B Nazanin"/>
                <w:b/>
                <w:sz w:val="20"/>
              </w:rPr>
              <w:t>شماره</w:t>
            </w:r>
          </w:p>
        </w:tc>
        <w:tc>
          <w:tcPr>
            <w:tcW w:type="dxa" w:w="1080"/>
          </w:tcPr>
          <w:p>
            <w:pPr>
              <w:bidi/>
              <w:jc w:val="center"/>
            </w:pPr>
            <w:r>
              <w:rPr>
                <w:rFonts w:ascii="B Nazanin" w:hAnsi="B Nazanin"/>
                <w:b/>
                <w:sz w:val="20"/>
              </w:rPr>
              <w:t>عنوان فرضیه پژوهش</w:t>
            </w:r>
          </w:p>
        </w:tc>
        <w:tc>
          <w:tcPr>
            <w:tcW w:type="dxa" w:w="1080"/>
          </w:tcPr>
          <w:p>
            <w:pPr>
              <w:bidi/>
              <w:jc w:val="center"/>
            </w:pPr>
            <w:r>
              <w:rPr>
                <w:rFonts w:ascii="B Nazanin" w:hAnsi="B Nazanin"/>
                <w:b/>
                <w:sz w:val="20"/>
              </w:rPr>
              <w:t>مدل تحلیلی</w:t>
            </w:r>
          </w:p>
        </w:tc>
        <w:tc>
          <w:tcPr>
            <w:tcW w:type="dxa" w:w="1080"/>
          </w:tcPr>
          <w:p>
            <w:pPr>
              <w:bidi/>
              <w:jc w:val="center"/>
            </w:pPr>
            <w:r>
              <w:rPr>
                <w:rFonts w:ascii="B Nazanin" w:hAnsi="B Nazanin"/>
                <w:b/>
                <w:sz w:val="20"/>
              </w:rPr>
              <w:t>آماره آزمون (F)</w:t>
            </w:r>
          </w:p>
        </w:tc>
        <w:tc>
          <w:tcPr>
            <w:tcW w:type="dxa" w:w="1080"/>
          </w:tcPr>
          <w:p>
            <w:pPr>
              <w:bidi/>
              <w:jc w:val="center"/>
            </w:pPr>
            <w:r>
              <w:rPr>
                <w:rFonts w:ascii="B Nazanin" w:hAnsi="B Nazanin"/>
                <w:b/>
                <w:sz w:val="20"/>
              </w:rPr>
              <w:t>درجه آزادی</w:t>
            </w:r>
          </w:p>
        </w:tc>
        <w:tc>
          <w:tcPr>
            <w:tcW w:type="dxa" w:w="1080"/>
          </w:tcPr>
          <w:p>
            <w:pPr>
              <w:bidi/>
              <w:jc w:val="center"/>
            </w:pPr>
            <w:r>
              <w:rPr>
                <w:rFonts w:ascii="B Nazanin" w:hAnsi="B Nazanin"/>
                <w:b/>
                <w:sz w:val="20"/>
              </w:rPr>
              <w:t>سطح معناداری (p)</w:t>
            </w:r>
          </w:p>
        </w:tc>
        <w:tc>
          <w:tcPr>
            <w:tcW w:type="dxa" w:w="1080"/>
          </w:tcPr>
          <w:p>
            <w:pPr>
              <w:bidi/>
              <w:jc w:val="center"/>
            </w:pPr>
            <w:r>
              <w:rPr>
                <w:rFonts w:ascii="B Nazanin" w:hAnsi="B Nazanin"/>
                <w:b/>
                <w:sz w:val="20"/>
              </w:rPr>
              <w:t>اندازه اثر (η²p)</w:t>
            </w:r>
          </w:p>
        </w:tc>
        <w:tc>
          <w:tcPr>
            <w:tcW w:type="dxa" w:w="1080"/>
          </w:tcPr>
          <w:p>
            <w:pPr>
              <w:bidi/>
              <w:jc w:val="center"/>
            </w:pPr>
            <w:r>
              <w:rPr>
                <w:rFonts w:ascii="B Nazanin" w:hAnsi="B Nazanin"/>
                <w:b/>
                <w:sz w:val="20"/>
              </w:rPr>
              <w:t>تصمیم نهایی</w:t>
            </w:r>
          </w:p>
        </w:tc>
      </w:tr>
      <w:tr>
        <w:tc>
          <w:tcPr>
            <w:tcW w:type="dxa" w:w="1080"/>
          </w:tcPr>
          <w:p>
            <w:pPr>
              <w:bidi/>
              <w:jc w:val="center"/>
            </w:pPr>
            <w:r>
              <w:rPr>
                <w:rFonts w:ascii="Times New Roman" w:hAnsi="Times New Roman"/>
                <w:sz w:val="20"/>
              </w:rPr>
              <w:t>۱</w:t>
            </w:r>
          </w:p>
        </w:tc>
        <w:tc>
          <w:tcPr>
            <w:tcW w:type="dxa" w:w="1080"/>
          </w:tcPr>
          <w:p>
            <w:pPr>
              <w:bidi/>
              <w:jc w:val="center"/>
            </w:pPr>
            <w:r>
              <w:rPr>
                <w:rFonts w:ascii="B Nazanin" w:hAnsi="B Nazanin"/>
                <w:sz w:val="20"/>
              </w:rPr>
              <w:t>اثربخشی مداخله ACT بر کاهش اضطراب در مرحله پس‌آزمون</w:t>
            </w:r>
          </w:p>
        </w:tc>
        <w:tc>
          <w:tcPr>
            <w:tcW w:type="dxa" w:w="1080"/>
          </w:tcPr>
          <w:p>
            <w:pPr>
              <w:bidi/>
              <w:jc w:val="center"/>
            </w:pPr>
            <w:r>
              <w:rPr>
                <w:rFonts w:ascii="B Nazanin" w:hAnsi="B Nazanin"/>
                <w:sz w:val="20"/>
              </w:rPr>
              <w:t>تحلیل کوواریانس (ANCOVA)</w:t>
            </w:r>
          </w:p>
        </w:tc>
        <w:tc>
          <w:tcPr>
            <w:tcW w:type="dxa" w:w="1080"/>
          </w:tcPr>
          <w:p>
            <w:pPr>
              <w:bidi/>
              <w:jc w:val="center"/>
            </w:pPr>
            <w:r>
              <w:rPr>
                <w:rFonts w:ascii="Times New Roman" w:hAnsi="Times New Roman"/>
                <w:sz w:val="20"/>
              </w:rPr>
              <w:t>۲۰۸.۵۲</w:t>
            </w:r>
          </w:p>
        </w:tc>
        <w:tc>
          <w:tcPr>
            <w:tcW w:type="dxa" w:w="1080"/>
          </w:tcPr>
          <w:p>
            <w:pPr>
              <w:bidi/>
              <w:jc w:val="center"/>
            </w:pPr>
            <w:r>
              <w:rPr>
                <w:rFonts w:ascii="Times New Roman" w:hAnsi="Times New Roman"/>
                <w:sz w:val="20"/>
              </w:rPr>
              <w:t>(۱ و ۵۷)</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۰.۷۸۵</w:t>
            </w:r>
          </w:p>
        </w:tc>
        <w:tc>
          <w:tcPr>
            <w:tcW w:type="dxa" w:w="1080"/>
          </w:tcPr>
          <w:p>
            <w:pPr>
              <w:bidi/>
              <w:jc w:val="center"/>
            </w:pPr>
            <w:r>
              <w:rPr>
                <w:rFonts w:ascii="B Nazanin" w:hAnsi="B Nazanin"/>
                <w:sz w:val="20"/>
              </w:rPr>
              <w:t>تأیید کامل فرضیه</w:t>
            </w:r>
          </w:p>
        </w:tc>
      </w:tr>
      <w:tr>
        <w:tc>
          <w:tcPr>
            <w:tcW w:type="dxa" w:w="1080"/>
          </w:tcPr>
          <w:p>
            <w:pPr>
              <w:bidi/>
              <w:jc w:val="center"/>
            </w:pPr>
            <w:r>
              <w:rPr>
                <w:rFonts w:ascii="Times New Roman" w:hAnsi="Times New Roman"/>
                <w:sz w:val="20"/>
              </w:rPr>
              <w:t>۲</w:t>
            </w:r>
          </w:p>
        </w:tc>
        <w:tc>
          <w:tcPr>
            <w:tcW w:type="dxa" w:w="1080"/>
          </w:tcPr>
          <w:p>
            <w:pPr>
              <w:bidi/>
              <w:jc w:val="center"/>
            </w:pPr>
            <w:r>
              <w:rPr>
                <w:rFonts w:ascii="B Nazanin" w:hAnsi="B Nazanin"/>
                <w:sz w:val="20"/>
              </w:rPr>
              <w:t>تداوم و ماندگاری اثربخشی ACT در دوره پیگیری دو ماهه</w:t>
            </w:r>
          </w:p>
        </w:tc>
        <w:tc>
          <w:tcPr>
            <w:tcW w:type="dxa" w:w="1080"/>
          </w:tcPr>
          <w:p>
            <w:pPr>
              <w:bidi/>
              <w:jc w:val="center"/>
            </w:pPr>
            <w:r>
              <w:rPr>
                <w:rFonts w:ascii="B Nazanin" w:hAnsi="B Nazanin"/>
                <w:sz w:val="20"/>
              </w:rPr>
              <w:t>تحلیل کوواریانس (ANCOVA)</w:t>
            </w:r>
          </w:p>
        </w:tc>
        <w:tc>
          <w:tcPr>
            <w:tcW w:type="dxa" w:w="1080"/>
          </w:tcPr>
          <w:p>
            <w:pPr>
              <w:bidi/>
              <w:jc w:val="center"/>
            </w:pPr>
            <w:r>
              <w:rPr>
                <w:rFonts w:ascii="Times New Roman" w:hAnsi="Times New Roman"/>
                <w:sz w:val="20"/>
              </w:rPr>
              <w:t>۱۳۱.۸۷</w:t>
            </w:r>
          </w:p>
        </w:tc>
        <w:tc>
          <w:tcPr>
            <w:tcW w:type="dxa" w:w="1080"/>
          </w:tcPr>
          <w:p>
            <w:pPr>
              <w:bidi/>
              <w:jc w:val="center"/>
            </w:pPr>
            <w:r>
              <w:rPr>
                <w:rFonts w:ascii="Times New Roman" w:hAnsi="Times New Roman"/>
                <w:sz w:val="20"/>
              </w:rPr>
              <w:t>(۱ و ۵۷)</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۰.۶۹۸</w:t>
            </w:r>
          </w:p>
        </w:tc>
        <w:tc>
          <w:tcPr>
            <w:tcW w:type="dxa" w:w="1080"/>
          </w:tcPr>
          <w:p>
            <w:pPr>
              <w:bidi/>
              <w:jc w:val="center"/>
            </w:pPr>
            <w:r>
              <w:rPr>
                <w:rFonts w:ascii="B Nazanin" w:hAnsi="B Nazanin"/>
                <w:sz w:val="20"/>
              </w:rPr>
              <w:t>تأیید کامل فرضیه</w:t>
            </w:r>
          </w:p>
        </w:tc>
      </w:tr>
      <w:tr>
        <w:tc>
          <w:tcPr>
            <w:tcW w:type="dxa" w:w="1080"/>
          </w:tcPr>
          <w:p>
            <w:pPr>
              <w:bidi/>
              <w:jc w:val="center"/>
            </w:pPr>
            <w:r>
              <w:rPr>
                <w:rFonts w:ascii="Times New Roman" w:hAnsi="Times New Roman"/>
                <w:sz w:val="20"/>
              </w:rPr>
              <w:t>۳</w:t>
            </w:r>
          </w:p>
        </w:tc>
        <w:tc>
          <w:tcPr>
            <w:tcW w:type="dxa" w:w="1080"/>
          </w:tcPr>
          <w:p>
            <w:pPr>
              <w:bidi/>
              <w:jc w:val="center"/>
            </w:pPr>
            <w:r>
              <w:rPr>
                <w:rFonts w:ascii="B Nazanin" w:hAnsi="B Nazanin"/>
                <w:sz w:val="20"/>
              </w:rPr>
              <w:t>اثر تعاملی زمان و گروه بر روند کاهش نمرات اضطراب</w:t>
            </w:r>
          </w:p>
        </w:tc>
        <w:tc>
          <w:tcPr>
            <w:tcW w:type="dxa" w:w="1080"/>
          </w:tcPr>
          <w:p>
            <w:pPr>
              <w:bidi/>
              <w:jc w:val="center"/>
            </w:pPr>
            <w:r>
              <w:rPr>
                <w:rFonts w:ascii="B Nazanin" w:hAnsi="B Nazanin"/>
                <w:sz w:val="20"/>
              </w:rPr>
              <w:t>اندازه‌گیری مکرر (تعدیل GG)</w:t>
            </w:r>
          </w:p>
        </w:tc>
        <w:tc>
          <w:tcPr>
            <w:tcW w:type="dxa" w:w="1080"/>
          </w:tcPr>
          <w:p>
            <w:pPr>
              <w:bidi/>
              <w:jc w:val="center"/>
            </w:pPr>
            <w:r>
              <w:rPr>
                <w:rFonts w:ascii="Times New Roman" w:hAnsi="Times New Roman"/>
                <w:sz w:val="20"/>
              </w:rPr>
              <w:t>۷۶.۰۱</w:t>
            </w:r>
          </w:p>
        </w:tc>
        <w:tc>
          <w:tcPr>
            <w:tcW w:type="dxa" w:w="1080"/>
          </w:tcPr>
          <w:p>
            <w:pPr>
              <w:bidi/>
              <w:jc w:val="center"/>
            </w:pPr>
            <w:r>
              <w:rPr>
                <w:rFonts w:ascii="Times New Roman" w:hAnsi="Times New Roman"/>
                <w:sz w:val="20"/>
              </w:rPr>
              <w:t>(۱.۵۰ و ۸۷.۲۳)</w:t>
            </w:r>
          </w:p>
        </w:tc>
        <w:tc>
          <w:tcPr>
            <w:tcW w:type="dxa" w:w="1080"/>
          </w:tcPr>
          <w:p>
            <w:pPr>
              <w:bidi/>
              <w:jc w:val="center"/>
            </w:pPr>
            <w:r>
              <w:rPr>
                <w:rFonts w:ascii="Times New Roman" w:hAnsi="Times New Roman"/>
                <w:sz w:val="20"/>
              </w:rPr>
              <w:t>۰.۰۰۱ &gt; p</w:t>
            </w:r>
          </w:p>
        </w:tc>
        <w:tc>
          <w:tcPr>
            <w:tcW w:type="dxa" w:w="1080"/>
          </w:tcPr>
          <w:p>
            <w:pPr>
              <w:bidi/>
              <w:jc w:val="center"/>
            </w:pPr>
            <w:r>
              <w:rPr>
                <w:rFonts w:ascii="Times New Roman" w:hAnsi="Times New Roman"/>
                <w:sz w:val="20"/>
              </w:rPr>
              <w:t>۰.۵۷۱</w:t>
            </w:r>
          </w:p>
        </w:tc>
        <w:tc>
          <w:tcPr>
            <w:tcW w:type="dxa" w:w="1080"/>
          </w:tcPr>
          <w:p>
            <w:pPr>
              <w:bidi/>
              <w:jc w:val="center"/>
            </w:pPr>
            <w:r>
              <w:rPr>
                <w:rFonts w:ascii="B Nazanin" w:hAnsi="B Nazanin"/>
                <w:sz w:val="20"/>
              </w:rPr>
              <w:t>تأیید کامل فرضیه</w:t>
            </w:r>
          </w:p>
        </w:tc>
      </w:tr>
    </w:tbl>
    <w:p>
      <w:pPr>
        <w:bidi/>
        <w:jc w:val="both"/>
      </w:pPr>
      <w:r>
        <w:rPr>
          <w:rFonts w:ascii="B Nazanin" w:hAnsi="B Nazanin"/>
          <w:i/>
          <w:sz w:val="20"/>
        </w:rPr>
        <w:t>یادداشت. تمامی فرضیه‌ها در سطح خطای کمتر از ۰.۰۰۱ تأیید شدند. اندازه اثر η²p بالاتر از ۰.۱۴ بیانگر اثرگذاری بسیار قوی مداخله بالینی است.</w:t>
      </w:r>
    </w:p>
    <w:p>
      <w:pPr>
        <w:bidi/>
        <w:jc w:val="right"/>
      </w:pPr>
      <w:r>
        <w:rPr>
          <w:rFonts w:ascii="B Titr" w:hAnsi="B Titr"/>
          <w:b/>
          <w:sz w:val="26"/>
          <w:rFonts w:ascii="B Titr" w:hAnsi="B Titr" w:cs="B Titr"/>
          <w:rtl/>
        </w:rPr>
        <w:t>۲. نتیجه‌گیری نهایی فصل چهارم</w:t>
      </w:r>
    </w:p>
    <w:p>
      <w:pPr>
        <w:bidi/>
        <w:jc w:val="both"/>
      </w:pPr>
      <w:r>
        <w:rPr>
          <w:rFonts w:ascii="B Nazanin" w:hAnsi="B Nazanin"/>
          <w:b w:val="0"/>
          <w:i w:val="0"/>
          <w:sz w:val="26"/>
          <w:rFonts w:ascii="B Nazanin" w:hAnsi="B Nazanin" w:cs="B Nazanin"/>
          <w:rtl/>
        </w:rPr>
        <w:t>برآیند یافته‌های آماری فصل چهارم نشان‌دهنده اثربخشی قاطع و بالینی درمان مبتنی بر پذیرش و تعهد (ACT) بر کاهش اضطراب آزمودنی‌هاست. این مداخله نه‌تنها بلافاصله پس از اتمام دوره جلسات درمانی افت شدیدی در نمرات ایجاد نمود (اندازه اثر ۰.۷۸۵)، بلکه ارزیابی مجدد در مرحله پیگیری دو ماهه نشان داد که این دستاوردهای درمانی پایدار مانده و هیچ‌گونه افت بازگشتی معناداری رخ نداده است. بنابراین، داده‌های تجربی با قدرت آماری ۱۰۰٪ از مدل مفهومی پژوهش پشتیبانی نمودند.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