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تحلیل شیب‌های ساده و منطقه معناداری جانسون-نیمن</w:t>
      </w:r>
    </w:p>
    <w:p>
      <w:pPr>
        <w:bidi/>
        <w:jc w:val="right"/>
      </w:pPr>
      <w:r>
        <w:rPr>
          <w:rFonts w:ascii="B Titr" w:hAnsi="B Titr"/>
          <w:b/>
          <w:sz w:val="26"/>
          <w:rFonts w:ascii="B Titr" w:hAnsi="B Titr" w:cs="B Titr"/>
          <w:rtl/>
        </w:rPr>
        <w:t>۱. آزمون شیب‌های ساده در سطوح مختلف تعدیل‌کننده (-1 SD, Mean, +1 SD)</w:t>
      </w:r>
    </w:p>
    <w:p>
      <w:pPr>
        <w:bidi/>
        <w:jc w:val="both"/>
      </w:pPr>
      <w:r>
        <w:rPr>
          <w:rFonts w:ascii="B Nazanin" w:hAnsi="B Nazanin"/>
          <w:b w:val="0"/>
          <w:i w:val="0"/>
          <w:sz w:val="26"/>
          <w:rFonts w:ascii="B Nazanin" w:hAnsi="B Nazanin" w:cs="B Nazanin"/>
          <w:rtl/>
        </w:rPr>
        <w:t>جهت کالبدشکافی ماهیت اثر تعاملی، شیب‌های ساده خط اثر مطالبات شغلی بر فرسودگی هیجانی در سه سطح استاندارد سرمایه روان‌شناختی مشتمل بر سطح پایین (یک انحراف معیار پایین‌تر از میانگین)، سطح متوسط (میانگین) و سطح بالا (یک انحراف معیار بالاتر از میانگین) به روش ایکن و وست (۱۹۹۱) محاسبه و با خطای معیار تحلیلی ماتریس کوواریانس آزمون شد.</w:t>
      </w:r>
    </w:p>
    <w:p>
      <w:pPr>
        <w:bidi/>
        <w:jc w:val="right"/>
      </w:pPr>
      <w:r>
        <w:rPr>
          <w:rFonts w:ascii="B Nazanin" w:hAnsi="B Nazanin"/>
          <w:b/>
          <w:sz w:val="22"/>
        </w:rPr>
        <w:t>جدول ۱. تحلیل شیب‌های ساده اثر مطالبات شغلی بر فرسودگی هیجانی در سطوح مختلف سرمایه روان‌شناختی (۳۲۰ = N)</w:t>
      </w:r>
    </w:p>
    <w:tbl>
      <w:tblPr>
        <w:tblW w:type="auto" w:w="0"/>
        <w:jc w:val="center"/>
        <w:tblLook w:firstColumn="1" w:firstRow="1" w:lastColumn="0" w:lastRow="0" w:noHBand="0" w:noVBand="1" w:val="04A0"/>
        <w:bidiVisual/>
      </w:tblPr>
      <w:tblGrid>
        <w:gridCol w:w="864"/>
        <w:gridCol w:w="864"/>
        <w:gridCol w:w="864"/>
        <w:gridCol w:w="864"/>
        <w:gridCol w:w="864"/>
        <w:gridCol w:w="864"/>
        <w:gridCol w:w="864"/>
        <w:gridCol w:w="864"/>
        <w:gridCol w:w="864"/>
        <w:gridCol w:w="864"/>
      </w:tblGrid>
      <w:tr>
        <w:tc>
          <w:tcPr>
            <w:tcW w:type="dxa" w:w="864"/>
          </w:tcPr>
          <w:p>
            <w:pPr>
              <w:bidi/>
              <w:jc w:val="center"/>
            </w:pPr>
            <w:r>
              <w:rPr>
                <w:rFonts w:ascii="B Nazanin" w:hAnsi="B Nazanin"/>
                <w:b/>
                <w:sz w:val="20"/>
              </w:rPr>
              <w:t>سطح سرمایه روان‌شناختی</w:t>
            </w:r>
          </w:p>
        </w:tc>
        <w:tc>
          <w:tcPr>
            <w:tcW w:type="dxa" w:w="864"/>
          </w:tcPr>
          <w:p>
            <w:pPr>
              <w:bidi/>
              <w:jc w:val="center"/>
            </w:pPr>
            <w:r>
              <w:rPr>
                <w:rFonts w:ascii="B Nazanin" w:hAnsi="B Nazanin"/>
                <w:b/>
                <w:sz w:val="20"/>
              </w:rPr>
              <w:t>مقدار خام تعدیل‌کننده (W)</w:t>
            </w:r>
          </w:p>
        </w:tc>
        <w:tc>
          <w:tcPr>
            <w:tcW w:type="dxa" w:w="864"/>
          </w:tcPr>
          <w:p>
            <w:pPr>
              <w:bidi/>
              <w:jc w:val="center"/>
            </w:pPr>
            <w:r>
              <w:rPr>
                <w:rFonts w:ascii="B Nazanin" w:hAnsi="B Nazanin"/>
                <w:b/>
                <w:sz w:val="20"/>
              </w:rPr>
              <w:t>مقدار مرکز‌شده (Wc)</w:t>
            </w:r>
          </w:p>
        </w:tc>
        <w:tc>
          <w:tcPr>
            <w:tcW w:type="dxa" w:w="864"/>
          </w:tcPr>
          <w:p>
            <w:pPr>
              <w:bidi/>
              <w:jc w:val="center"/>
            </w:pPr>
            <w:r>
              <w:rPr>
                <w:rFonts w:ascii="B Nazanin" w:hAnsi="B Nazanin"/>
                <w:b/>
                <w:sz w:val="20"/>
              </w:rPr>
              <w:t>شیب ساده (B)</w:t>
            </w:r>
          </w:p>
        </w:tc>
        <w:tc>
          <w:tcPr>
            <w:tcW w:type="dxa" w:w="864"/>
          </w:tcPr>
          <w:p>
            <w:pPr>
              <w:bidi/>
              <w:jc w:val="center"/>
            </w:pPr>
            <w:r>
              <w:rPr>
                <w:rFonts w:ascii="B Nazanin" w:hAnsi="B Nazanin"/>
                <w:b/>
                <w:sz w:val="20"/>
              </w:rPr>
              <w:t>خطای معیار (SE)</w:t>
            </w:r>
          </w:p>
        </w:tc>
        <w:tc>
          <w:tcPr>
            <w:tcW w:type="dxa" w:w="864"/>
          </w:tcPr>
          <w:p>
            <w:pPr>
              <w:bidi/>
              <w:jc w:val="center"/>
            </w:pPr>
            <w:r>
              <w:rPr>
                <w:rFonts w:ascii="B Nazanin" w:hAnsi="B Nazanin"/>
                <w:b/>
                <w:sz w:val="20"/>
              </w:rPr>
              <w:t>آماره t</w:t>
            </w:r>
          </w:p>
        </w:tc>
        <w:tc>
          <w:tcPr>
            <w:tcW w:type="dxa" w:w="864"/>
          </w:tcPr>
          <w:p>
            <w:pPr>
              <w:bidi/>
              <w:jc w:val="center"/>
            </w:pPr>
            <w:r>
              <w:rPr>
                <w:rFonts w:ascii="B Nazanin" w:hAnsi="B Nazanin"/>
                <w:b/>
                <w:sz w:val="20"/>
              </w:rPr>
              <w:t>سطح معناداری (p)</w:t>
            </w:r>
          </w:p>
        </w:tc>
        <w:tc>
          <w:tcPr>
            <w:tcW w:type="dxa" w:w="864"/>
          </w:tcPr>
          <w:p>
            <w:pPr>
              <w:bidi/>
              <w:jc w:val="center"/>
            </w:pPr>
            <w:r>
              <w:rPr>
                <w:rFonts w:ascii="B Nazanin" w:hAnsi="B Nazanin"/>
                <w:b/>
                <w:sz w:val="20"/>
              </w:rPr>
              <w:t>کران پایین ۹۵٪ CI</w:t>
            </w:r>
          </w:p>
        </w:tc>
        <w:tc>
          <w:tcPr>
            <w:tcW w:type="dxa" w:w="864"/>
          </w:tcPr>
          <w:p>
            <w:pPr>
              <w:bidi/>
              <w:jc w:val="center"/>
            </w:pPr>
            <w:r>
              <w:rPr>
                <w:rFonts w:ascii="B Nazanin" w:hAnsi="B Nazanin"/>
                <w:b/>
                <w:sz w:val="20"/>
              </w:rPr>
              <w:t>کران بالا ۹۵٪ CI</w:t>
            </w:r>
          </w:p>
        </w:tc>
        <w:tc>
          <w:tcPr>
            <w:tcW w:type="dxa" w:w="864"/>
          </w:tcPr>
          <w:p>
            <w:pPr>
              <w:bidi/>
              <w:jc w:val="center"/>
            </w:pPr>
            <w:r>
              <w:rPr>
                <w:rFonts w:ascii="B Nazanin" w:hAnsi="B Nazanin"/>
                <w:b/>
                <w:sz w:val="20"/>
              </w:rPr>
              <w:t>نتیجه آزمون</w:t>
            </w:r>
          </w:p>
        </w:tc>
      </w:tr>
      <w:tr>
        <w:tc>
          <w:tcPr>
            <w:tcW w:type="dxa" w:w="864"/>
          </w:tcPr>
          <w:p>
            <w:pPr>
              <w:bidi/>
              <w:jc w:val="center"/>
            </w:pPr>
            <w:r>
              <w:rPr>
                <w:rFonts w:ascii="Times New Roman" w:hAnsi="Times New Roman"/>
                <w:sz w:val="20"/>
              </w:rPr>
              <w:t>سطح پایین (SD ۱-)</w:t>
            </w:r>
          </w:p>
        </w:tc>
        <w:tc>
          <w:tcPr>
            <w:tcW w:type="dxa" w:w="864"/>
          </w:tcPr>
          <w:p>
            <w:pPr>
              <w:bidi/>
              <w:jc w:val="center"/>
            </w:pPr>
            <w:r>
              <w:rPr>
                <w:rFonts w:ascii="Times New Roman" w:hAnsi="Times New Roman"/>
                <w:sz w:val="20"/>
              </w:rPr>
              <w:t>۲.۷۱۶</w:t>
            </w:r>
          </w:p>
        </w:tc>
        <w:tc>
          <w:tcPr>
            <w:tcW w:type="dxa" w:w="864"/>
          </w:tcPr>
          <w:p>
            <w:pPr>
              <w:bidi/>
              <w:jc w:val="center"/>
            </w:pPr>
            <w:r>
              <w:rPr>
                <w:rFonts w:ascii="Times New Roman" w:hAnsi="Times New Roman"/>
                <w:sz w:val="20"/>
              </w:rPr>
              <w:t>-۰.۶۷۹</w:t>
            </w:r>
          </w:p>
        </w:tc>
        <w:tc>
          <w:tcPr>
            <w:tcW w:type="dxa" w:w="864"/>
          </w:tcPr>
          <w:p>
            <w:pPr>
              <w:bidi/>
              <w:jc w:val="center"/>
            </w:pPr>
            <w:r>
              <w:rPr>
                <w:rFonts w:ascii="Times New Roman" w:hAnsi="Times New Roman"/>
                <w:sz w:val="20"/>
              </w:rPr>
              <w:t>۰.۵۰۸</w:t>
            </w:r>
          </w:p>
        </w:tc>
        <w:tc>
          <w:tcPr>
            <w:tcW w:type="dxa" w:w="864"/>
          </w:tcPr>
          <w:p>
            <w:pPr>
              <w:bidi/>
              <w:jc w:val="center"/>
            </w:pPr>
            <w:r>
              <w:rPr>
                <w:rFonts w:ascii="Times New Roman" w:hAnsi="Times New Roman"/>
                <w:sz w:val="20"/>
              </w:rPr>
              <w:t>۰.۰۵۸</w:t>
            </w:r>
          </w:p>
        </w:tc>
        <w:tc>
          <w:tcPr>
            <w:tcW w:type="dxa" w:w="864"/>
          </w:tcPr>
          <w:p>
            <w:pPr>
              <w:bidi/>
              <w:jc w:val="center"/>
            </w:pPr>
            <w:r>
              <w:rPr>
                <w:rFonts w:ascii="Times New Roman" w:hAnsi="Times New Roman"/>
                <w:sz w:val="20"/>
              </w:rPr>
              <w:t>۸.۷۶</w:t>
            </w:r>
          </w:p>
        </w:tc>
        <w:tc>
          <w:tcPr>
            <w:tcW w:type="dxa" w:w="864"/>
          </w:tcPr>
          <w:p>
            <w:pPr>
              <w:bidi/>
              <w:jc w:val="center"/>
            </w:pPr>
            <w:r>
              <w:rPr>
                <w:rFonts w:ascii="Times New Roman" w:hAnsi="Times New Roman"/>
                <w:sz w:val="20"/>
              </w:rPr>
              <w:t>۰.۰۰۱ &gt; p</w:t>
            </w:r>
          </w:p>
        </w:tc>
        <w:tc>
          <w:tcPr>
            <w:tcW w:type="dxa" w:w="864"/>
          </w:tcPr>
          <w:p>
            <w:pPr>
              <w:bidi/>
              <w:jc w:val="center"/>
            </w:pPr>
            <w:r>
              <w:rPr>
                <w:rFonts w:ascii="Times New Roman" w:hAnsi="Times New Roman"/>
                <w:sz w:val="20"/>
              </w:rPr>
              <w:t>۰.۳۹۴</w:t>
            </w:r>
          </w:p>
        </w:tc>
        <w:tc>
          <w:tcPr>
            <w:tcW w:type="dxa" w:w="864"/>
          </w:tcPr>
          <w:p>
            <w:pPr>
              <w:bidi/>
              <w:jc w:val="center"/>
            </w:pPr>
            <w:r>
              <w:rPr>
                <w:rFonts w:ascii="Times New Roman" w:hAnsi="Times New Roman"/>
                <w:sz w:val="20"/>
              </w:rPr>
              <w:t>۰.۶۲۲</w:t>
            </w:r>
          </w:p>
        </w:tc>
        <w:tc>
          <w:tcPr>
            <w:tcW w:type="dxa" w:w="864"/>
          </w:tcPr>
          <w:p>
            <w:pPr>
              <w:bidi/>
              <w:jc w:val="center"/>
            </w:pPr>
            <w:r>
              <w:rPr>
                <w:rFonts w:ascii="B Nazanin" w:hAnsi="B Nazanin"/>
                <w:sz w:val="20"/>
              </w:rPr>
              <w:t>تأیید معناداری (اثر قوی)</w:t>
            </w:r>
          </w:p>
        </w:tc>
      </w:tr>
      <w:tr>
        <w:tc>
          <w:tcPr>
            <w:tcW w:type="dxa" w:w="864"/>
          </w:tcPr>
          <w:p>
            <w:pPr>
              <w:bidi/>
              <w:jc w:val="center"/>
            </w:pPr>
            <w:r>
              <w:rPr>
                <w:rFonts w:ascii="B Nazanin" w:hAnsi="B Nazanin"/>
                <w:sz w:val="20"/>
              </w:rPr>
              <w:t>سطح متوسط (میانگین)</w:t>
            </w:r>
          </w:p>
        </w:tc>
        <w:tc>
          <w:tcPr>
            <w:tcW w:type="dxa" w:w="864"/>
          </w:tcPr>
          <w:p>
            <w:pPr>
              <w:bidi/>
              <w:jc w:val="center"/>
            </w:pPr>
            <w:r>
              <w:rPr>
                <w:rFonts w:ascii="Times New Roman" w:hAnsi="Times New Roman"/>
                <w:sz w:val="20"/>
              </w:rPr>
              <w:t>۳.۳۹۶</w:t>
            </w:r>
          </w:p>
        </w:tc>
        <w:tc>
          <w:tcPr>
            <w:tcW w:type="dxa" w:w="864"/>
          </w:tcPr>
          <w:p>
            <w:pPr>
              <w:bidi/>
              <w:jc w:val="center"/>
            </w:pPr>
            <w:r>
              <w:rPr>
                <w:rFonts w:ascii="Times New Roman" w:hAnsi="Times New Roman"/>
                <w:sz w:val="20"/>
              </w:rPr>
              <w:t>۰.۰۰۰</w:t>
            </w:r>
          </w:p>
        </w:tc>
        <w:tc>
          <w:tcPr>
            <w:tcW w:type="dxa" w:w="864"/>
          </w:tcPr>
          <w:p>
            <w:pPr>
              <w:bidi/>
              <w:jc w:val="center"/>
            </w:pPr>
            <w:r>
              <w:rPr>
                <w:rFonts w:ascii="Times New Roman" w:hAnsi="Times New Roman"/>
                <w:sz w:val="20"/>
              </w:rPr>
              <w:t>۰.۳۵۷</w:t>
            </w:r>
          </w:p>
        </w:tc>
        <w:tc>
          <w:tcPr>
            <w:tcW w:type="dxa" w:w="864"/>
          </w:tcPr>
          <w:p>
            <w:pPr>
              <w:bidi/>
              <w:jc w:val="center"/>
            </w:pPr>
            <w:r>
              <w:rPr>
                <w:rFonts w:ascii="Times New Roman" w:hAnsi="Times New Roman"/>
                <w:sz w:val="20"/>
              </w:rPr>
              <w:t>۰.۰۴۰</w:t>
            </w:r>
          </w:p>
        </w:tc>
        <w:tc>
          <w:tcPr>
            <w:tcW w:type="dxa" w:w="864"/>
          </w:tcPr>
          <w:p>
            <w:pPr>
              <w:bidi/>
              <w:jc w:val="center"/>
            </w:pPr>
            <w:r>
              <w:rPr>
                <w:rFonts w:ascii="Times New Roman" w:hAnsi="Times New Roman"/>
                <w:sz w:val="20"/>
              </w:rPr>
              <w:t>۸.۹۳</w:t>
            </w:r>
          </w:p>
        </w:tc>
        <w:tc>
          <w:tcPr>
            <w:tcW w:type="dxa" w:w="864"/>
          </w:tcPr>
          <w:p>
            <w:pPr>
              <w:bidi/>
              <w:jc w:val="center"/>
            </w:pPr>
            <w:r>
              <w:rPr>
                <w:rFonts w:ascii="Times New Roman" w:hAnsi="Times New Roman"/>
                <w:sz w:val="20"/>
              </w:rPr>
              <w:t>۰.۰۰۱ &gt; p</w:t>
            </w:r>
          </w:p>
        </w:tc>
        <w:tc>
          <w:tcPr>
            <w:tcW w:type="dxa" w:w="864"/>
          </w:tcPr>
          <w:p>
            <w:pPr>
              <w:bidi/>
              <w:jc w:val="center"/>
            </w:pPr>
            <w:r>
              <w:rPr>
                <w:rFonts w:ascii="Times New Roman" w:hAnsi="Times New Roman"/>
                <w:sz w:val="20"/>
              </w:rPr>
              <w:t>۰.۲۷۸</w:t>
            </w:r>
          </w:p>
        </w:tc>
        <w:tc>
          <w:tcPr>
            <w:tcW w:type="dxa" w:w="864"/>
          </w:tcPr>
          <w:p>
            <w:pPr>
              <w:bidi/>
              <w:jc w:val="center"/>
            </w:pPr>
            <w:r>
              <w:rPr>
                <w:rFonts w:ascii="Times New Roman" w:hAnsi="Times New Roman"/>
                <w:sz w:val="20"/>
              </w:rPr>
              <w:t>۰.۴۳۵</w:t>
            </w:r>
          </w:p>
        </w:tc>
        <w:tc>
          <w:tcPr>
            <w:tcW w:type="dxa" w:w="864"/>
          </w:tcPr>
          <w:p>
            <w:pPr>
              <w:bidi/>
              <w:jc w:val="center"/>
            </w:pPr>
            <w:r>
              <w:rPr>
                <w:rFonts w:ascii="B Nazanin" w:hAnsi="B Nazanin"/>
                <w:sz w:val="20"/>
              </w:rPr>
              <w:t>تأیید معناداری (اثر متوسط)</w:t>
            </w:r>
          </w:p>
        </w:tc>
      </w:tr>
      <w:tr>
        <w:tc>
          <w:tcPr>
            <w:tcW w:type="dxa" w:w="864"/>
          </w:tcPr>
          <w:p>
            <w:pPr>
              <w:bidi/>
              <w:jc w:val="center"/>
            </w:pPr>
            <w:r>
              <w:rPr>
                <w:rFonts w:ascii="Times New Roman" w:hAnsi="Times New Roman"/>
                <w:sz w:val="20"/>
              </w:rPr>
              <w:t>سطح بالا (SD ۱+)</w:t>
            </w:r>
          </w:p>
        </w:tc>
        <w:tc>
          <w:tcPr>
            <w:tcW w:type="dxa" w:w="864"/>
          </w:tcPr>
          <w:p>
            <w:pPr>
              <w:bidi/>
              <w:jc w:val="center"/>
            </w:pPr>
            <w:r>
              <w:rPr>
                <w:rFonts w:ascii="Times New Roman" w:hAnsi="Times New Roman"/>
                <w:sz w:val="20"/>
              </w:rPr>
              <w:t>۴.۰۷۵</w:t>
            </w:r>
          </w:p>
        </w:tc>
        <w:tc>
          <w:tcPr>
            <w:tcW w:type="dxa" w:w="864"/>
          </w:tcPr>
          <w:p>
            <w:pPr>
              <w:bidi/>
              <w:jc w:val="center"/>
            </w:pPr>
            <w:r>
              <w:rPr>
                <w:rFonts w:ascii="Times New Roman" w:hAnsi="Times New Roman"/>
                <w:sz w:val="20"/>
              </w:rPr>
              <w:t>۰.۶۷۹</w:t>
            </w:r>
          </w:p>
        </w:tc>
        <w:tc>
          <w:tcPr>
            <w:tcW w:type="dxa" w:w="864"/>
          </w:tcPr>
          <w:p>
            <w:pPr>
              <w:bidi/>
              <w:jc w:val="center"/>
            </w:pPr>
            <w:r>
              <w:rPr>
                <w:rFonts w:ascii="Times New Roman" w:hAnsi="Times New Roman"/>
                <w:sz w:val="20"/>
              </w:rPr>
              <w:t>۰.۲۰۶</w:t>
            </w:r>
          </w:p>
        </w:tc>
        <w:tc>
          <w:tcPr>
            <w:tcW w:type="dxa" w:w="864"/>
          </w:tcPr>
          <w:p>
            <w:pPr>
              <w:bidi/>
              <w:jc w:val="center"/>
            </w:pPr>
            <w:r>
              <w:rPr>
                <w:rFonts w:ascii="Times New Roman" w:hAnsi="Times New Roman"/>
                <w:sz w:val="20"/>
              </w:rPr>
              <w:t>۰.۰۵۶</w:t>
            </w:r>
          </w:p>
        </w:tc>
        <w:tc>
          <w:tcPr>
            <w:tcW w:type="dxa" w:w="864"/>
          </w:tcPr>
          <w:p>
            <w:pPr>
              <w:bidi/>
              <w:jc w:val="center"/>
            </w:pPr>
            <w:r>
              <w:rPr>
                <w:rFonts w:ascii="Times New Roman" w:hAnsi="Times New Roman"/>
                <w:sz w:val="20"/>
              </w:rPr>
              <w:t>۳.۷۱</w:t>
            </w:r>
          </w:p>
        </w:tc>
        <w:tc>
          <w:tcPr>
            <w:tcW w:type="dxa" w:w="864"/>
          </w:tcPr>
          <w:p>
            <w:pPr>
              <w:bidi/>
              <w:jc w:val="center"/>
            </w:pPr>
            <w:r>
              <w:rPr>
                <w:rFonts w:ascii="Times New Roman" w:hAnsi="Times New Roman"/>
                <w:sz w:val="20"/>
              </w:rPr>
              <w:t>۰.۰۰۱ &gt; p</w:t>
            </w:r>
          </w:p>
        </w:tc>
        <w:tc>
          <w:tcPr>
            <w:tcW w:type="dxa" w:w="864"/>
          </w:tcPr>
          <w:p>
            <w:pPr>
              <w:bidi/>
              <w:jc w:val="center"/>
            </w:pPr>
            <w:r>
              <w:rPr>
                <w:rFonts w:ascii="Times New Roman" w:hAnsi="Times New Roman"/>
                <w:sz w:val="20"/>
              </w:rPr>
              <w:t>۰.۰۹۷</w:t>
            </w:r>
          </w:p>
        </w:tc>
        <w:tc>
          <w:tcPr>
            <w:tcW w:type="dxa" w:w="864"/>
          </w:tcPr>
          <w:p>
            <w:pPr>
              <w:bidi/>
              <w:jc w:val="center"/>
            </w:pPr>
            <w:r>
              <w:rPr>
                <w:rFonts w:ascii="Times New Roman" w:hAnsi="Times New Roman"/>
                <w:sz w:val="20"/>
              </w:rPr>
              <w:t>۰.۳۱۵</w:t>
            </w:r>
          </w:p>
        </w:tc>
        <w:tc>
          <w:tcPr>
            <w:tcW w:type="dxa" w:w="864"/>
          </w:tcPr>
          <w:p>
            <w:pPr>
              <w:bidi/>
              <w:jc w:val="center"/>
            </w:pPr>
            <w:r>
              <w:rPr>
                <w:rFonts w:ascii="B Nazanin" w:hAnsi="B Nazanin"/>
                <w:sz w:val="20"/>
              </w:rPr>
              <w:t>تأیید معناداری (اثر تعدیل‌شده)</w:t>
            </w:r>
          </w:p>
        </w:tc>
      </w:tr>
    </w:tbl>
    <w:p>
      <w:pPr>
        <w:bidi/>
        <w:jc w:val="both"/>
      </w:pPr>
      <w:r>
        <w:rPr>
          <w:rFonts w:ascii="B Nazanin" w:hAnsi="B Nazanin"/>
          <w:i/>
          <w:sz w:val="20"/>
        </w:rPr>
        <w:t>یادداشت. خطای معیار شیب‌های ساده با فرمول تحلیلی ماتریس کوواریانس ضرایب محاسبه شد.</w:t>
      </w:r>
    </w:p>
    <w:p>
      <w:pPr>
        <w:bidi/>
        <w:jc w:val="right"/>
      </w:pPr>
      <w:r>
        <w:rPr>
          <w:rFonts w:ascii="B Titr" w:hAnsi="B Titr"/>
          <w:b/>
          <w:sz w:val="26"/>
          <w:rFonts w:ascii="B Titr" w:hAnsi="B Titr" w:cs="B Titr"/>
          <w:rtl/>
        </w:rPr>
        <w:t>۲. دامنه معناداری بر اساس تکنیک جانسون-نیمن (Johnson-Neyman Technique)</w:t>
      </w:r>
    </w:p>
    <w:p>
      <w:pPr>
        <w:bidi/>
        <w:jc w:val="both"/>
      </w:pPr>
      <w:r>
        <w:rPr>
          <w:rFonts w:ascii="B Nazanin" w:hAnsi="B Nazanin"/>
          <w:b w:val="0"/>
          <w:i w:val="0"/>
          <w:sz w:val="26"/>
          <w:rFonts w:ascii="B Nazanin" w:hAnsi="B Nazanin" w:cs="B Nazanin"/>
          <w:rtl/>
        </w:rPr>
        <w:t>علاوه بر سطوح قراردادی انحراف معیار، از تکنیک جانسون-نیمن جهت شناسایی مرز دقیق تغییر معناداری رابطه استفاده شد. یافته‌ها نشان داد که نقطه مرزی تغییر معناداری در نمره خام ۴.۳۸۵ سرمایه روان‌شناختی واقع است. برای نمرات کمتر از ۴.۳۸۵، اثر افزایشی مطالبات شغلی بر فرسودگی هیجانی کاملاً معنادار است، اما در نمرات بالاتر از ۴.۳۸۵، سرمایه روان‌شناختی اثر زیان‌بار مطالبات شغلی را به طور کامل خنثی ساخته و رابطه را غیرمعنادار می‌سازد.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