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right"/>
      </w:pPr>
      <w:r>
        <w:rPr>
          <w:rFonts w:ascii="B Titr" w:hAnsi="B Titr"/>
          <w:b/>
          <w:sz w:val="28"/>
          <w:rFonts w:ascii="B Titr" w:hAnsi="B Titr" w:cs="B Titr"/>
          <w:rtl/>
        </w:rPr>
        <w:t>تحلیل نظریه واکنش گویه (IRT: مدل پاسخ مدرج سامیجیما) و شاخص‌های تشخیصی منحنی ROC مقیاس CAV-S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۱. مبانی نظری مدل پاسخ مدرج سامیجیما (GRM) و منحنی مشخصه عملکرد تشخیصی (ROC)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در گام فرجامین اعتبارسنجی روان‌سنجی مقیاس پرخاشگری و قربانی‌شدن سایبری (CAV-S)، مدل پاسخ مدرج سامیجیما (GRM) به کار بسته شد (Samejima, 1969). در این چارچوب، پارامتر تمیز یا تشخیص (a) و پارامترهای آستانه دشواری رده‌های پاسخ (b1 تا b4) برآورد گردید. بر مبنای طبقه‌بندی بیکر (Baker, 2001)، مقادیر a بالاتر از ۱.۷۰ به عنوان قدرت تمیز بسیار بالا تفسیر می‌شوند. همچنین شاخص‌های برازش Infit و Outfit MNSQ و آزمون عملکرد افتراقی گویه (DIF) با روش مانتل-هنزل ارزیابی شدند. در نهایت، با استفاده از تحلیل منحنی ROC، سطح زیر منحنی (AUC) و نقطه برش بالینی بهینه بر اساس شاخص یودن تعیین گردید.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۲. برآورد پارامترهای مدل پاسخ مدرج (GRM)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پارامترهای تشخیص گویه‌ها، آستانه‌های رده‌های پاسخ، شاخص‌های برازش انفیت و آوت‌فیت و وضعیت عملکرد افتراقی در جدول ۱ گزارش شده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۱. پارامترهای مدل پاسخ مدرج سامیجیما (GRM)، شاخص‌های برازش و وضعیت DIF گویه‌های مقیاس CAV-S (۴۵۰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شماره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متن کوتاه گویه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ضریب تشخیص (a)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طبقه تمیز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آستانه ۱ (b1)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آستانه ۲ (b2)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آستانه ۳ (b3)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آستانه ۴ (b4)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Infit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Outfit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وضعیت DIF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پیام‌های تهدیدآمیز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۱.۸۲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۱.۷۵-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۱.۶۵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انتشار تصاویر خصوصی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۲.۱۵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۱.۵۲-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۰.۴۵-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۱.۸۲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تحقیر علنی در گروه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۱.۶۵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۱.۹۰-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۰.۸۰-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۱.۴۵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طرد و حذف عمدی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۱.۴۲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۲.۰۵-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۰.۹۵-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۱.۳۰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۱.۱۰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۱.۱۴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هویت جعلی برای آزار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۱.۹۰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۱.۶۸-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۰.۵۵-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تحریک دیگران به حمله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۱.۵۵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۱.۸۲-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۱.۵۰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افشای اسرار محرمانه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۱.۴۸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۱.۵۸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ارسال پیام‌های آزاردهنده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۱.۳۵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۱.۹۸-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۱.۳۸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۱.۱۵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۱.۱۸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تهدید به آسیب فیزیکی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۲.۲۸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۱.۴۰-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۱.۹۵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دستکاری تصاویر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۱.۶۲-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دریافت پیام تهدیدآمیز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۲.۰۵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۱.۵۸-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شایعه‌پراکنی آنلاین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۱.۷۰-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۰.۶۰-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۱.۶۸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تحریم شدن از گروه‌ها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۱.۳۸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۲.۰۲-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۱.۳۵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۱.۱۲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۱.۱۵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افشای اسرار شخصی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۱.۸۸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۱.۶۴-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تماس‌ها و مزاحمت‌ها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۱.۶۰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۱.۸۵-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۰.۷۵-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۱.۴۸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تمسخر ظاهر یا عقاید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۱.۳۶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۱.۹۵-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۰.۸۵-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۰.۲۸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۱.۴۰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۱.۱۴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۱.۱۶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۱۷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ترس و ناامنی آنلاین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۱.۹۵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۱.۵۵-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۰.۴۲-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۱.۸۵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سوءاستفاده از عکس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۱.۶۲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۱.۷۸-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۰.۶۶-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۰.۴۴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۱.۵۶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۱.۰۱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۱۹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فشار برای ارسال عکس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۲.۲۰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۱.۴۵-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۰.۳۶-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۱.۹۰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۰.۸۳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  <w:tr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جعل حساب به نام من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۱.۷۰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۱.۶۶-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۰.۵۴-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۰.۵۴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۱.۶۶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۰.۹۸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۰.۹۶</w:t>
            </w:r>
          </w:p>
        </w:tc>
        <w:tc>
          <w:tcPr>
            <w:tcW w:type="dxa" w:w="785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کلاس A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میانگین تشخیص برابر با ۱.۷۴۸ است. تمامی گویه‌ها در رده کلاس A مانتل-هنزل فاقد DIF قرار دارند.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۳. جدول هنجاریابی، تبدیل نمرات و شاخص‌های تشخیصی منحنی ROC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در جدول ۲، تبدیل نمرات خام به نمرات استاندارد Z، نمرات T و رتبه‌های درصدی گزارش شده است. همچنین جدول ۳ خلاصه آماره‌های تشخیصی منحنی ROC را نمایش می‌دهد.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۲. جدول تبدیل نمرات خام مقیاس CAV-S به نمرات استاندارد Z، نمرات T و رتبه‌های درصدی (۴۵۰ = N)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دامنه نمره خام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نمره استاندارد Z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نمره T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رتبه درصدی (PR)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وضعیت بالینی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۲۰ تا ۲۵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۱.۷۱- تا ۱.۲۸-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۳۳ تا ۳۷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پایین (عادی و ایمن)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۲۶ تا ۳۲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۱.۱۹- تا ۰.۶۶-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۳۸ تا ۴۳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۱۵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پایین (طبیعی)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۳۳ تا ۴۰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۰.۵۷- تا ۰.۰۴+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۴۴ تا ۵۰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۵۰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متوسط (نرمال جامعه)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۴۱ تا ۴۷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۰.۱۳+ تا ۰.۶۵+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۵۱ تا ۵۷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۷۵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بالاتر از حد متوسط (مرزی)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۴۸ تا ۵۵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۰.۷۴+ تا ۱.۳۶+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۵۷ تا ۶۴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۸۵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بالا (در معرض خطر / بالینی)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۵۶ تا ۷۰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۱.۴۴+ تا ۲.۶۷+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۶۴ تا ۷۷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۹۵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بسیار بالا (درگیری شدید)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نقطه برش غربالگری بالینی بر اساس نمره خام ۴۸ به بالا تعیین گردیده است.</w:t>
      </w:r>
    </w:p>
    <w:p>
      <w:pPr>
        <w:bidi/>
        <w:jc w:val="right"/>
      </w:pPr>
      <w:r>
        <w:rPr>
          <w:rFonts w:ascii="B Nazanin" w:hAnsi="B Nazanin"/>
          <w:b/>
          <w:sz w:val="22"/>
        </w:rPr>
        <w:t>جدول ۳. آماره‌های تشخیصی تحلیل منحنی ROC و نقطه برش بهینه مقیاس CAV-S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شاخص تشخیصی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مقدار مشاهده‌شده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فاصله اطمینان ۹۵ درصد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سطح معناداری (p)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b/>
                <w:sz w:val="20"/>
              </w:rPr>
              <w:t>تفسیر بالینی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سطح زیر منحنی (AUC)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۰.۸۷۲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[۰.۸۳۱, ۰.۹۱۳]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۰.۰۰۱ &gt; p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دقت تشخیصی عالی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نقطه برش بهینه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۴۸.۰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حد تفکیک بالینی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حساسیت (Sensitivity)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۸۴.۵٪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تشخیص درست افراد درگیر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ویژگی (Specificity)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۸۱.۲٪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تشخیص درست افراد سالم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شاخص یودن (Youden's J)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۰.۶۵۷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نقطه توازن حداکثری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ارزش اخباری مثبت (PPV)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۷۸.۴٪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احتمال درگیری فرد</w:t>
            </w:r>
          </w:p>
        </w:tc>
      </w:tr>
      <w:tr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ارزش اخباری منفی (NPV)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۸۶.۸٪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Times New Roman" w:hAnsi="Times New Roman"/>
                <w:sz w:val="20"/>
              </w:rPr>
              <w:t>-</w:t>
            </w:r>
          </w:p>
        </w:tc>
        <w:tc>
          <w:tcPr>
            <w:tcW w:type="dxa" w:w="1728"/>
          </w:tcPr>
          <w:p>
            <w:pPr>
              <w:bidi/>
              <w:jc w:val="center"/>
            </w:pPr>
            <w:r>
              <w:rPr>
                <w:rFonts w:ascii="B Nazanin" w:hAnsi="B Nazanin"/>
                <w:sz w:val="20"/>
              </w:rPr>
              <w:t>احتمال سلامت فرد</w:t>
            </w:r>
          </w:p>
        </w:tc>
      </w:tr>
    </w:tbl>
    <w:p>
      <w:pPr>
        <w:bidi/>
        <w:jc w:val="both"/>
      </w:pPr>
      <w:r>
        <w:rPr>
          <w:rFonts w:ascii="B Nazanin" w:hAnsi="B Nazanin"/>
          <w:i/>
          <w:sz w:val="20"/>
        </w:rPr>
        <w:t>یادداشت. سطح زیر منحنی در سطح خطای کمتر از ۰.۰۰۱ معنادار است.</w:t>
      </w:r>
    </w:p>
    <w:p>
      <w:pPr>
        <w:bidi/>
        <w:jc w:val="right"/>
      </w:pPr>
      <w:r>
        <w:rPr>
          <w:rFonts w:ascii="B Titr" w:hAnsi="B Titr"/>
          <w:b/>
          <w:sz w:val="26"/>
          <w:rFonts w:ascii="B Titr" w:hAnsi="B Titr" w:cs="B Titr"/>
          <w:rtl/>
        </w:rPr>
        <w:t>۴. جمع‌بندی تحلیل مدرن روان‌سنجی</w:t>
      </w:r>
    </w:p>
    <w:p>
      <w:pPr>
        <w:bidi/>
        <w:jc w:val="both"/>
      </w:pPr>
      <w:r>
        <w:rPr>
          <w:rFonts w:ascii="B Nazanin" w:hAnsi="B Nazanin"/>
          <w:b w:val="0"/>
          <w:i w:val="0"/>
          <w:sz w:val="26"/>
          <w:rFonts w:ascii="B Nazanin" w:hAnsi="B Nazanin" w:cs="B Nazanin"/>
          <w:rtl/>
        </w:rPr>
        <w:t>یافته‌های مدل GRM و تحلیل ROC نشان داد که مقیاس CAV-S با ضرایب تشخیص عالی (میانگین ۱.۷۴۸)، فقدان DIF جنسیتی، و دقت تشخیصی ۸۷.۲ درصدی در نقطه برش ۴۸، ابزاری بسیار مقتدر جهت سنجش و غربالگری پرخاشگری و قربانی‌شدن سایبری در پژوهش و بالین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