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rFonts w:ascii="B Titr" w:hAnsi="B Titr"/>
          <w:b/>
          <w:sz w:val="28"/>
          <w:rFonts w:ascii="B Titr" w:hAnsi="B Titr" w:cs="B Titr"/>
        </w:rPr>
        <w:t>بررسی فرضیه اول پژوهش: اثربخشی مداخله ACT بر کاهش فرسودگی شغلی</w:t>
      </w:r>
    </w:p>
    <w:p>
      <w:pPr>
        <w:bidi w:val="1"/>
        <w:spacing w:line="276" w:lineRule="auto" w:after="120"/>
        <w:jc w:val="right"/>
      </w:pPr>
      <w:r>
        <w:rPr>
          <w:rFonts w:ascii="B Nazanin" w:hAnsi="B Nazanin"/>
          <w:sz w:val="26"/>
          <w:rFonts w:ascii="B Nazanin" w:hAnsi="B Nazanin" w:cs="B Nazanin"/>
        </w:rPr>
        <w:t>به منظور بررسی اثربخشی درمان مبتنی بر پذیرش و تعهد (ACT) بر کاهش نمرات فرسودگی شغلی پرستاران با کنترل اثر پیش‌آزمون، تحلیل کوواریانس تک‌متغیری (ANCOVA) در سطح معناداری ۰.۰۵ اجرا شد. پیش از آزمون فرضیه، مفروضه‌های پارامتریک مورد ارزیابی قرار گرفتند. بر اساس نتایج آزمون لوین، فرض همگنی واریانس‌های خطا در دو گروه تأیید شد و نرمال بودن توزیع پسماندها بر اساس شاخص‌های کجی و کشیدگی احراز گردید. یافته‌های آزمون حاکی از آن است که اثر اصلی گروه مداخله معنادار بوده است: F(1, 78) = 298.22, p &lt; 0.001, η_p² = 0.84. بدین ترتیب فرضیه اول پژوهش تأیید گردید و نشان داد که درمان مبتنی بر پذیرش و تعهد موجب کاهش معنادار فرسودگی شغلی پرستاران بخش مراقبت‌های ویژه شده است.</w:t>
      </w:r>
    </w:p>
    <w:p>
      <w:pPr>
        <w:bidi w:val="1"/>
        <w:jc w:val="right"/>
      </w:pPr>
      <w:r>
        <w:rPr>
          <w:rFonts w:ascii="B Titr" w:hAnsi="B Titr"/>
          <w:b/>
          <w:sz w:val="26"/>
          <w:rFonts w:ascii="B Titr" w:hAnsi="B Titr" w:cs="B Titr"/>
        </w:rPr>
        <w:t>جدول ۱: خلاصه نتایج تحلیل کوواریانس تک‌متغیری (ANCOVA) برای نمرات فرسودگی شغلی</w:t>
      </w:r>
    </w:p>
    <w:tbl>
      <w:tblPr>
        <w:tblW w:type="auto" w:w="0"/>
        <w:jc w:val="center"/>
        <w:tblLook w:firstColumn="1" w:firstRow="1" w:lastColumn="0" w:lastRow="0" w:noHBand="0" w:noVBand="1" w:val="04A0"/>
        <w:bidiVisual/>
      </w:tblPr>
      <w:tblGrid>
        <w:gridCol w:w="1290"/>
        <w:gridCol w:w="1290"/>
        <w:gridCol w:w="1290"/>
        <w:gridCol w:w="1290"/>
        <w:gridCol w:w="1290"/>
        <w:gridCol w:w="1290"/>
        <w:gridCol w:w="1290"/>
      </w:tblGrid>
      <w:tr>
        <w:tc>
          <w:tcPr>
            <w:tcW w:type="dxa" w:w="1290"/>
          </w:tcPr>
          <w:p>
            <w:pPr>
              <w:bidi w:val="1"/>
              <w:jc w:val="center"/>
            </w:pPr>
            <w:r>
              <w:rPr>
                <w:rFonts w:ascii="B Nazanin" w:hAnsi="B Nazanin"/>
                <w:b/>
                <w:sz w:val="22"/>
              </w:rPr>
              <w:t>منبع تغییرات</w:t>
            </w:r>
          </w:p>
        </w:tc>
        <w:tc>
          <w:tcPr>
            <w:tcW w:type="dxa" w:w="1290"/>
          </w:tcPr>
          <w:p>
            <w:pPr>
              <w:bidi w:val="1"/>
              <w:jc w:val="center"/>
            </w:pPr>
            <w:r>
              <w:rPr>
                <w:rFonts w:ascii="B Nazanin" w:hAnsi="B Nazanin"/>
                <w:b/>
                <w:sz w:val="22"/>
              </w:rPr>
              <w:t>مجموع مجذورات (SS)</w:t>
            </w:r>
          </w:p>
        </w:tc>
        <w:tc>
          <w:tcPr>
            <w:tcW w:type="dxa" w:w="1290"/>
          </w:tcPr>
          <w:p>
            <w:pPr>
              <w:bidi w:val="1"/>
              <w:jc w:val="center"/>
            </w:pPr>
            <w:r>
              <w:rPr>
                <w:rFonts w:ascii="B Nazanin" w:hAnsi="B Nazanin"/>
                <w:b/>
                <w:sz w:val="22"/>
              </w:rPr>
              <w:t>درجه آزادی (df)</w:t>
            </w:r>
          </w:p>
        </w:tc>
        <w:tc>
          <w:tcPr>
            <w:tcW w:type="dxa" w:w="1290"/>
          </w:tcPr>
          <w:p>
            <w:pPr>
              <w:bidi w:val="1"/>
              <w:jc w:val="center"/>
            </w:pPr>
            <w:r>
              <w:rPr>
                <w:rFonts w:ascii="B Nazanin" w:hAnsi="B Nazanin"/>
                <w:b/>
                <w:sz w:val="22"/>
              </w:rPr>
              <w:t>میانگین مجذورات (MS)</w:t>
            </w:r>
          </w:p>
        </w:tc>
        <w:tc>
          <w:tcPr>
            <w:tcW w:type="dxa" w:w="1290"/>
          </w:tcPr>
          <w:p>
            <w:pPr>
              <w:bidi w:val="1"/>
              <w:jc w:val="center"/>
            </w:pPr>
            <w:r>
              <w:rPr>
                <w:rFonts w:ascii="B Nazanin" w:hAnsi="B Nazanin"/>
                <w:b/>
                <w:sz w:val="22"/>
              </w:rPr>
              <w:t>آماره F</w:t>
            </w:r>
          </w:p>
        </w:tc>
        <w:tc>
          <w:tcPr>
            <w:tcW w:type="dxa" w:w="1290"/>
          </w:tcPr>
          <w:p>
            <w:pPr>
              <w:bidi w:val="1"/>
              <w:jc w:val="center"/>
            </w:pPr>
            <w:r>
              <w:rPr>
                <w:rFonts w:ascii="B Nazanin" w:hAnsi="B Nazanin"/>
                <w:b/>
                <w:sz w:val="22"/>
              </w:rPr>
              <w:t>سطح معناداری (p)</w:t>
            </w:r>
          </w:p>
        </w:tc>
        <w:tc>
          <w:tcPr>
            <w:tcW w:type="dxa" w:w="1290"/>
          </w:tcPr>
          <w:p>
            <w:pPr>
              <w:bidi w:val="1"/>
              <w:jc w:val="center"/>
            </w:pPr>
            <w:r>
              <w:rPr>
                <w:rFonts w:ascii="B Nazanin" w:hAnsi="B Nazanin"/>
                <w:b/>
                <w:sz w:val="22"/>
              </w:rPr>
              <w:t>اندازه اثر (η_p²)</w:t>
            </w:r>
          </w:p>
        </w:tc>
      </w:tr>
      <w:tr>
        <w:tc>
          <w:tcPr>
            <w:tcW w:type="dxa" w:w="1290"/>
          </w:tcPr>
          <w:p>
            <w:pPr>
              <w:bidi w:val="1"/>
              <w:jc w:val="center"/>
            </w:pPr>
            <w:r>
              <w:rPr>
                <w:rFonts w:ascii="B Nazanin" w:hAnsi="B Nazanin"/>
                <w:sz w:val="22"/>
              </w:rPr>
              <w:t>اثر گروه (مداخله)</w:t>
            </w:r>
          </w:p>
        </w:tc>
        <w:tc>
          <w:tcPr>
            <w:tcW w:type="dxa" w:w="1290"/>
          </w:tcPr>
          <w:p>
            <w:pPr>
              <w:bidi w:val="1"/>
              <w:jc w:val="center"/>
            </w:pPr>
            <w:r>
              <w:rPr>
                <w:rFonts w:ascii="B Nazanin" w:hAnsi="B Nazanin"/>
                <w:sz w:val="22"/>
              </w:rPr>
              <w:t>2577.78</w:t>
            </w:r>
          </w:p>
        </w:tc>
        <w:tc>
          <w:tcPr>
            <w:tcW w:type="dxa" w:w="1290"/>
          </w:tcPr>
          <w:p>
            <w:pPr>
              <w:bidi w:val="1"/>
              <w:jc w:val="center"/>
            </w:pPr>
            <w:r>
              <w:rPr>
                <w:rFonts w:ascii="B Nazanin" w:hAnsi="B Nazanin"/>
                <w:sz w:val="22"/>
              </w:rPr>
              <w:t>1</w:t>
            </w:r>
          </w:p>
        </w:tc>
        <w:tc>
          <w:tcPr>
            <w:tcW w:type="dxa" w:w="1290"/>
          </w:tcPr>
          <w:p>
            <w:pPr>
              <w:bidi w:val="1"/>
              <w:jc w:val="center"/>
            </w:pPr>
            <w:r>
              <w:rPr>
                <w:rFonts w:ascii="B Nazanin" w:hAnsi="B Nazanin"/>
                <w:sz w:val="22"/>
              </w:rPr>
              <w:t>2577.78</w:t>
            </w:r>
          </w:p>
        </w:tc>
        <w:tc>
          <w:tcPr>
            <w:tcW w:type="dxa" w:w="1290"/>
          </w:tcPr>
          <w:p>
            <w:pPr>
              <w:bidi w:val="1"/>
              <w:jc w:val="center"/>
            </w:pPr>
            <w:r>
              <w:rPr>
                <w:rFonts w:ascii="B Nazanin" w:hAnsi="B Nazanin"/>
                <w:sz w:val="22"/>
              </w:rPr>
              <w:t>298.22</w:t>
            </w:r>
          </w:p>
        </w:tc>
        <w:tc>
          <w:tcPr>
            <w:tcW w:type="dxa" w:w="1290"/>
          </w:tcPr>
          <w:p>
            <w:pPr>
              <w:bidi w:val="1"/>
              <w:jc w:val="center"/>
            </w:pPr>
            <w:r>
              <w:rPr>
                <w:rFonts w:ascii="B Nazanin" w:hAnsi="B Nazanin"/>
                <w:sz w:val="22"/>
              </w:rPr>
              <w:t>p = 0.001</w:t>
            </w:r>
          </w:p>
        </w:tc>
        <w:tc>
          <w:tcPr>
            <w:tcW w:type="dxa" w:w="1290"/>
          </w:tcPr>
          <w:p>
            <w:pPr>
              <w:bidi w:val="1"/>
              <w:jc w:val="center"/>
            </w:pPr>
            <w:r>
              <w:rPr>
                <w:rFonts w:ascii="B Nazanin" w:hAnsi="B Nazanin"/>
                <w:sz w:val="22"/>
              </w:rPr>
              <w:t>0.84</w:t>
            </w:r>
          </w:p>
        </w:tc>
      </w:tr>
      <w:tr>
        <w:tc>
          <w:tcPr>
            <w:tcW w:type="dxa" w:w="1290"/>
          </w:tcPr>
          <w:p>
            <w:pPr>
              <w:bidi w:val="1"/>
              <w:jc w:val="center"/>
            </w:pPr>
            <w:r>
              <w:rPr>
                <w:rFonts w:ascii="B Nazanin" w:hAnsi="B Nazanin"/>
                <w:sz w:val="22"/>
              </w:rPr>
              <w:t>خطا (پسماند)</w:t>
            </w:r>
          </w:p>
        </w:tc>
        <w:tc>
          <w:tcPr>
            <w:tcW w:type="dxa" w:w="1290"/>
          </w:tcPr>
          <w:p>
            <w:pPr>
              <w:bidi w:val="1"/>
              <w:jc w:val="center"/>
            </w:pPr>
            <w:r>
              <w:rPr>
                <w:rFonts w:ascii="B Nazanin" w:hAnsi="B Nazanin"/>
                <w:sz w:val="22"/>
              </w:rPr>
              <w:t>492.70</w:t>
            </w:r>
          </w:p>
        </w:tc>
        <w:tc>
          <w:tcPr>
            <w:tcW w:type="dxa" w:w="1290"/>
          </w:tcPr>
          <w:p>
            <w:pPr>
              <w:bidi w:val="1"/>
              <w:jc w:val="center"/>
            </w:pPr>
            <w:r>
              <w:rPr>
                <w:rFonts w:ascii="B Nazanin" w:hAnsi="B Nazanin"/>
                <w:sz w:val="22"/>
              </w:rPr>
              <w:t>78</w:t>
            </w:r>
          </w:p>
        </w:tc>
        <w:tc>
          <w:tcPr>
            <w:tcW w:type="dxa" w:w="1290"/>
          </w:tcPr>
          <w:p>
            <w:pPr>
              <w:bidi w:val="1"/>
              <w:jc w:val="center"/>
            </w:pPr>
            <w:r>
              <w:rPr>
                <w:rFonts w:ascii="B Nazanin" w:hAnsi="B Nazanin"/>
                <w:sz w:val="22"/>
              </w:rPr>
              <w:t>6.32</w:t>
            </w:r>
          </w:p>
        </w:tc>
        <w:tc>
          <w:tcPr>
            <w:tcW w:type="dxa" w:w="1290"/>
          </w:tcPr>
          <w:p>
            <w:pPr>
              <w:bidi w:val="1"/>
              <w:jc w:val="center"/>
            </w:pPr>
            <w:r>
              <w:rPr>
                <w:rFonts w:ascii="B Nazanin" w:hAnsi="B Nazanin"/>
                <w:sz w:val="22"/>
              </w:rPr>
              <w:t>-</w:t>
            </w:r>
          </w:p>
        </w:tc>
        <w:tc>
          <w:tcPr>
            <w:tcW w:type="dxa" w:w="1290"/>
          </w:tcPr>
          <w:p>
            <w:pPr>
              <w:bidi w:val="1"/>
              <w:jc w:val="center"/>
            </w:pPr>
            <w:r>
              <w:rPr>
                <w:rFonts w:ascii="B Nazanin" w:hAnsi="B Nazanin"/>
                <w:sz w:val="22"/>
              </w:rPr>
              <w:t>-</w:t>
            </w:r>
          </w:p>
        </w:tc>
        <w:tc>
          <w:tcPr>
            <w:tcW w:type="dxa" w:w="1290"/>
          </w:tcPr>
          <w:p>
            <w:pPr>
              <w:bidi w:val="1"/>
              <w:jc w:val="center"/>
            </w:pPr>
            <w:r>
              <w:rPr>
                <w:rFonts w:ascii="B Nazanin" w:hAnsi="B Nazanin"/>
                <w:sz w:val="22"/>
              </w:rPr>
              <w:t>-</w:t>
            </w:r>
          </w:p>
        </w:tc>
      </w:tr>
      <w:tr>
        <w:tc>
          <w:tcPr>
            <w:tcW w:type="dxa" w:w="1290"/>
          </w:tcPr>
          <w:p>
            <w:pPr>
              <w:bidi w:val="1"/>
              <w:jc w:val="center"/>
            </w:pPr>
            <w:r>
              <w:rPr>
                <w:rFonts w:ascii="B Nazanin" w:hAnsi="B Nazanin"/>
                <w:sz w:val="22"/>
              </w:rPr>
              <w:t>مجموع</w:t>
            </w:r>
          </w:p>
        </w:tc>
        <w:tc>
          <w:tcPr>
            <w:tcW w:type="dxa" w:w="1290"/>
          </w:tcPr>
          <w:p>
            <w:pPr>
              <w:bidi w:val="1"/>
              <w:jc w:val="center"/>
            </w:pPr>
            <w:r>
              <w:rPr>
                <w:rFonts w:ascii="B Nazanin" w:hAnsi="B Nazanin"/>
                <w:sz w:val="22"/>
              </w:rPr>
              <w:t>3070.48</w:t>
            </w:r>
          </w:p>
        </w:tc>
        <w:tc>
          <w:tcPr>
            <w:tcW w:type="dxa" w:w="1290"/>
          </w:tcPr>
          <w:p>
            <w:pPr>
              <w:bidi w:val="1"/>
              <w:jc w:val="center"/>
            </w:pPr>
            <w:r>
              <w:rPr>
                <w:rFonts w:ascii="B Nazanin" w:hAnsi="B Nazanin"/>
                <w:sz w:val="22"/>
              </w:rPr>
              <w:t>79</w:t>
            </w:r>
          </w:p>
        </w:tc>
        <w:tc>
          <w:tcPr>
            <w:tcW w:type="dxa" w:w="1290"/>
          </w:tcPr>
          <w:p>
            <w:pPr>
              <w:bidi w:val="1"/>
              <w:jc w:val="center"/>
            </w:pPr>
            <w:r>
              <w:rPr>
                <w:rFonts w:ascii="B Nazanin" w:hAnsi="B Nazanin"/>
                <w:sz w:val="22"/>
              </w:rPr>
              <w:t>-</w:t>
            </w:r>
          </w:p>
        </w:tc>
        <w:tc>
          <w:tcPr>
            <w:tcW w:type="dxa" w:w="1290"/>
          </w:tcPr>
          <w:p>
            <w:pPr>
              <w:bidi w:val="1"/>
              <w:jc w:val="center"/>
            </w:pPr>
            <w:r>
              <w:rPr>
                <w:rFonts w:ascii="B Nazanin" w:hAnsi="B Nazanin"/>
                <w:sz w:val="22"/>
              </w:rPr>
              <w:t>-</w:t>
            </w:r>
          </w:p>
        </w:tc>
        <w:tc>
          <w:tcPr>
            <w:tcW w:type="dxa" w:w="1290"/>
          </w:tcPr>
          <w:p>
            <w:pPr>
              <w:bidi w:val="1"/>
              <w:jc w:val="center"/>
            </w:pPr>
            <w:r>
              <w:rPr>
                <w:rFonts w:ascii="B Nazanin" w:hAnsi="B Nazanin"/>
                <w:sz w:val="22"/>
              </w:rPr>
              <w:t>-</w:t>
            </w:r>
          </w:p>
        </w:tc>
        <w:tc>
          <w:tcPr>
            <w:tcW w:type="dxa" w:w="1290"/>
          </w:tcPr>
          <w:p>
            <w:pPr>
              <w:bidi w:val="1"/>
              <w:jc w:val="center"/>
            </w:pPr>
            <w:r>
              <w:rPr>
                <w:rFonts w:ascii="B Nazanin" w:hAnsi="B Nazanin"/>
                <w:sz w:val="22"/>
              </w:rPr>
              <w:t>-</w:t>
            </w:r>
          </w:p>
        </w:tc>
      </w:tr>
    </w:tbl>
    <w:p>
      <w:pPr>
        <w:bidi w:val="1"/>
        <w:jc w:val="right"/>
      </w:pPr>
      <w:r>
        <w:rPr>
          <w:rFonts w:ascii="B Nazanin" w:hAnsi="B Nazanin"/>
          <w:i/>
          <w:sz w:val="20"/>
        </w:rPr>
        <w:t>یادداشت: N = 80. بر اساس استانداردهای جدول ۳ خطی APA 7 و دستورالعمل نگارش رساله.</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