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سنجش پایایی چندبعدی (آلفای کرونباخ و امگای مک‌دونالد) و ناوردایی اندازه‌گیری در گروه‌های جنسیتی مقیاس CAV-S</w:t>
      </w:r>
    </w:p>
    <w:p>
      <w:pPr>
        <w:bidi/>
        <w:jc w:val="right"/>
      </w:pPr>
      <w:r>
        <w:rPr>
          <w:rFonts w:ascii="B Titr" w:hAnsi="B Titr"/>
          <w:b/>
          <w:sz w:val="26"/>
          <w:rFonts w:ascii="B Titr" w:hAnsi="B Titr" w:cs="B Titr"/>
          <w:rtl/>
        </w:rPr>
        <w:t>۱. مبانی نظری پایایی و ناوردایی اندازه‌گیری چندگروهی</w:t>
      </w:r>
    </w:p>
    <w:p>
      <w:pPr>
        <w:bidi/>
        <w:jc w:val="both"/>
      </w:pPr>
      <w:r>
        <w:rPr>
          <w:rFonts w:ascii="B Nazanin" w:hAnsi="B Nazanin"/>
          <w:b w:val="0"/>
          <w:i w:val="0"/>
          <w:sz w:val="26"/>
          <w:rFonts w:ascii="B Nazanin" w:hAnsi="B Nazanin" w:cs="B Nazanin"/>
          <w:rtl/>
        </w:rPr>
        <w:t>ارزیابی ویژگی‌های روان‌سنجی مقیاس پرخاشگری و قربانی‌شدن سایبری (CAV-S) در این مرحله شامل دو محور بنیادین سنجش پایایی و ناوردایی اندازه‌گیری است. در حوزه پایایی، از ضریب امگای مک‌دونالد (ω) به عنوان برآوردگر نوین و نااریب همسانی درونی استفاده شد (Dunn et al., 2014). همچنین ثبات زمانی نمرات مقیاس در فاصله زمانی چهار هفته بر روی نمونه‌ای مشتمل بر ۶۰ نفر از طریق ضریب همبستگی درون‌طبقه‌ای (ICC) محاسبه گردید. جهت بررسی تعمیم‌پذیری ساختار عاملی میان دو جنس، سلسله‌مراتب آزمون‌های ناوردایی عاملی چندگروهی شامل ناوردایی شکلی، متری و اسکالر با معیارهای ΔCFI ≤ ۰.۰۱۰ و ΔRMSEA ≤ ۰.۰۱۵ به اجرا گذاشته شد.</w:t>
      </w:r>
    </w:p>
    <w:p>
      <w:pPr>
        <w:bidi/>
        <w:jc w:val="right"/>
      </w:pPr>
      <w:r>
        <w:rPr>
          <w:rFonts w:ascii="B Titr" w:hAnsi="B Titr"/>
          <w:b/>
          <w:sz w:val="26"/>
          <w:rFonts w:ascii="B Titr" w:hAnsi="B Titr" w:cs="B Titr"/>
          <w:rtl/>
        </w:rPr>
        <w:t>۲. ارزیابی ضرایب پایایی درونی و ثبات زمانی</w:t>
      </w:r>
    </w:p>
    <w:p>
      <w:pPr>
        <w:bidi/>
        <w:jc w:val="both"/>
      </w:pPr>
      <w:r>
        <w:rPr>
          <w:rFonts w:ascii="B Nazanin" w:hAnsi="B Nazanin"/>
          <w:b w:val="0"/>
          <w:i w:val="0"/>
          <w:sz w:val="26"/>
          <w:rFonts w:ascii="B Nazanin" w:hAnsi="B Nazanin" w:cs="B Nazanin"/>
          <w:rtl/>
        </w:rPr>
        <w:t>نتایج محاسبه ضرایب آلفای کرونباخ، امگای مک‌دونالد، تنصیف و بازآزمایی در جدول ۱ درج گردیده است.</w:t>
      </w:r>
    </w:p>
    <w:p>
      <w:pPr>
        <w:bidi/>
        <w:jc w:val="right"/>
      </w:pPr>
      <w:r>
        <w:rPr>
          <w:rFonts w:ascii="B Nazanin" w:hAnsi="B Nazanin"/>
          <w:b/>
          <w:sz w:val="22"/>
        </w:rPr>
        <w:t>جدول ۱. ضرایب پایایی درونی، تنصیف و بازآزمایی مقیاس CAV-S به تفکیک ابعاد و کل مقیاس (۴۵۰ = N، بازآزمایی ۶۰ = n)</w:t>
      </w:r>
    </w:p>
    <w:tbl>
      <w:tblPr>
        <w:tblW w:type="auto" w:w="0"/>
        <w:jc w:val="center"/>
        <w:tblLook w:firstColumn="1" w:firstRow="1" w:lastColumn="0" w:lastRow="0" w:noHBand="0" w:noVBand="1" w:val="04A0"/>
        <w:bidiVisual/>
      </w:tblPr>
      <w:tblGrid>
        <w:gridCol w:w="1234"/>
        <w:gridCol w:w="1234"/>
        <w:gridCol w:w="1234"/>
        <w:gridCol w:w="1234"/>
        <w:gridCol w:w="1234"/>
        <w:gridCol w:w="1234"/>
        <w:gridCol w:w="1234"/>
      </w:tblGrid>
      <w:tr>
        <w:tc>
          <w:tcPr>
            <w:tcW w:type="dxa" w:w="1234"/>
          </w:tcPr>
          <w:p>
            <w:pPr>
              <w:bidi/>
              <w:jc w:val="center"/>
            </w:pPr>
            <w:r>
              <w:rPr>
                <w:rFonts w:ascii="B Nazanin" w:hAnsi="B Nazanin"/>
                <w:b/>
                <w:sz w:val="20"/>
              </w:rPr>
              <w:t>مؤلفه مقیاس</w:t>
            </w:r>
          </w:p>
        </w:tc>
        <w:tc>
          <w:tcPr>
            <w:tcW w:type="dxa" w:w="1234"/>
          </w:tcPr>
          <w:p>
            <w:pPr>
              <w:bidi/>
              <w:jc w:val="center"/>
            </w:pPr>
            <w:r>
              <w:rPr>
                <w:rFonts w:ascii="B Nazanin" w:hAnsi="B Nazanin"/>
                <w:b/>
                <w:sz w:val="20"/>
              </w:rPr>
              <w:t>تعداد گویه‌ها</w:t>
            </w:r>
          </w:p>
        </w:tc>
        <w:tc>
          <w:tcPr>
            <w:tcW w:type="dxa" w:w="1234"/>
          </w:tcPr>
          <w:p>
            <w:pPr>
              <w:bidi/>
              <w:jc w:val="center"/>
            </w:pPr>
            <w:r>
              <w:rPr>
                <w:rFonts w:ascii="B Nazanin" w:hAnsi="B Nazanin"/>
                <w:b/>
                <w:sz w:val="20"/>
              </w:rPr>
              <w:t>آلفای کرونباخ (α)</w:t>
            </w:r>
          </w:p>
        </w:tc>
        <w:tc>
          <w:tcPr>
            <w:tcW w:type="dxa" w:w="1234"/>
          </w:tcPr>
          <w:p>
            <w:pPr>
              <w:bidi/>
              <w:jc w:val="center"/>
            </w:pPr>
            <w:r>
              <w:rPr>
                <w:rFonts w:ascii="B Nazanin" w:hAnsi="B Nazanin"/>
                <w:b/>
                <w:sz w:val="20"/>
              </w:rPr>
              <w:t>امگای مک‌دونالد (ω)</w:t>
            </w:r>
          </w:p>
        </w:tc>
        <w:tc>
          <w:tcPr>
            <w:tcW w:type="dxa" w:w="1234"/>
          </w:tcPr>
          <w:p>
            <w:pPr>
              <w:bidi/>
              <w:jc w:val="center"/>
            </w:pPr>
            <w:r>
              <w:rPr>
                <w:rFonts w:ascii="B Nazanin" w:hAnsi="B Nazanin"/>
                <w:b/>
                <w:sz w:val="20"/>
              </w:rPr>
              <w:t>ضریب تنصیف</w:t>
            </w:r>
          </w:p>
        </w:tc>
        <w:tc>
          <w:tcPr>
            <w:tcW w:type="dxa" w:w="1234"/>
          </w:tcPr>
          <w:p>
            <w:pPr>
              <w:bidi/>
              <w:jc w:val="center"/>
            </w:pPr>
            <w:r>
              <w:rPr>
                <w:rFonts w:ascii="B Nazanin" w:hAnsi="B Nazanin"/>
                <w:b/>
                <w:sz w:val="20"/>
              </w:rPr>
              <w:t>ضریب بازآزمایی (ICC)</w:t>
            </w:r>
          </w:p>
        </w:tc>
        <w:tc>
          <w:tcPr>
            <w:tcW w:type="dxa" w:w="1234"/>
          </w:tcPr>
          <w:p>
            <w:pPr>
              <w:bidi/>
              <w:jc w:val="center"/>
            </w:pPr>
            <w:r>
              <w:rPr>
                <w:rFonts w:ascii="B Nazanin" w:hAnsi="B Nazanin"/>
                <w:b/>
                <w:sz w:val="20"/>
              </w:rPr>
              <w:t>ارزیابی پایایی</w:t>
            </w:r>
          </w:p>
        </w:tc>
      </w:tr>
      <w:tr>
        <w:tc>
          <w:tcPr>
            <w:tcW w:type="dxa" w:w="1234"/>
          </w:tcPr>
          <w:p>
            <w:pPr>
              <w:bidi/>
              <w:jc w:val="center"/>
            </w:pPr>
            <w:r>
              <w:rPr>
                <w:rFonts w:ascii="B Nazanin" w:hAnsi="B Nazanin"/>
                <w:sz w:val="20"/>
              </w:rPr>
              <w:t>پرخاشگری سایبری</w:t>
            </w:r>
          </w:p>
        </w:tc>
        <w:tc>
          <w:tcPr>
            <w:tcW w:type="dxa" w:w="1234"/>
          </w:tcPr>
          <w:p>
            <w:pPr>
              <w:bidi/>
              <w:jc w:val="center"/>
            </w:pPr>
            <w:r>
              <w:rPr>
                <w:rFonts w:ascii="Times New Roman" w:hAnsi="Times New Roman"/>
                <w:sz w:val="20"/>
              </w:rPr>
              <w:t>۱۰</w:t>
            </w:r>
          </w:p>
        </w:tc>
        <w:tc>
          <w:tcPr>
            <w:tcW w:type="dxa" w:w="1234"/>
          </w:tcPr>
          <w:p>
            <w:pPr>
              <w:bidi/>
              <w:jc w:val="center"/>
            </w:pPr>
            <w:r>
              <w:rPr>
                <w:rFonts w:ascii="Times New Roman" w:hAnsi="Times New Roman"/>
                <w:sz w:val="20"/>
              </w:rPr>
              <w:t>۰.۸۹۴</w:t>
            </w:r>
          </w:p>
        </w:tc>
        <w:tc>
          <w:tcPr>
            <w:tcW w:type="dxa" w:w="1234"/>
          </w:tcPr>
          <w:p>
            <w:pPr>
              <w:bidi/>
              <w:jc w:val="center"/>
            </w:pPr>
            <w:r>
              <w:rPr>
                <w:rFonts w:ascii="Times New Roman" w:hAnsi="Times New Roman"/>
                <w:sz w:val="20"/>
              </w:rPr>
              <w:t>۰.۸۹۶</w:t>
            </w:r>
          </w:p>
        </w:tc>
        <w:tc>
          <w:tcPr>
            <w:tcW w:type="dxa" w:w="1234"/>
          </w:tcPr>
          <w:p>
            <w:pPr>
              <w:bidi/>
              <w:jc w:val="center"/>
            </w:pPr>
            <w:r>
              <w:rPr>
                <w:rFonts w:ascii="Times New Roman" w:hAnsi="Times New Roman"/>
                <w:sz w:val="20"/>
              </w:rPr>
              <w:t>۰.۸۵۴</w:t>
            </w:r>
          </w:p>
        </w:tc>
        <w:tc>
          <w:tcPr>
            <w:tcW w:type="dxa" w:w="1234"/>
          </w:tcPr>
          <w:p>
            <w:pPr>
              <w:bidi/>
              <w:jc w:val="center"/>
            </w:pPr>
            <w:r>
              <w:rPr>
                <w:rFonts w:ascii="Times New Roman" w:hAnsi="Times New Roman"/>
                <w:sz w:val="20"/>
              </w:rPr>
              <w:t>۰.۸۶۲</w:t>
            </w:r>
          </w:p>
        </w:tc>
        <w:tc>
          <w:tcPr>
            <w:tcW w:type="dxa" w:w="1234"/>
          </w:tcPr>
          <w:p>
            <w:pPr>
              <w:bidi/>
              <w:jc w:val="center"/>
            </w:pPr>
            <w:r>
              <w:rPr>
                <w:rFonts w:ascii="B Nazanin" w:hAnsi="B Nazanin"/>
                <w:sz w:val="20"/>
              </w:rPr>
              <w:t>عالی و بسیار مطلوب</w:t>
            </w:r>
          </w:p>
        </w:tc>
      </w:tr>
      <w:tr>
        <w:tc>
          <w:tcPr>
            <w:tcW w:type="dxa" w:w="1234"/>
          </w:tcPr>
          <w:p>
            <w:pPr>
              <w:bidi/>
              <w:jc w:val="center"/>
            </w:pPr>
            <w:r>
              <w:rPr>
                <w:rFonts w:ascii="B Nazanin" w:hAnsi="B Nazanin"/>
                <w:sz w:val="20"/>
              </w:rPr>
              <w:t>قربانی‌شدن سایبری</w:t>
            </w:r>
          </w:p>
        </w:tc>
        <w:tc>
          <w:tcPr>
            <w:tcW w:type="dxa" w:w="1234"/>
          </w:tcPr>
          <w:p>
            <w:pPr>
              <w:bidi/>
              <w:jc w:val="center"/>
            </w:pPr>
            <w:r>
              <w:rPr>
                <w:rFonts w:ascii="Times New Roman" w:hAnsi="Times New Roman"/>
                <w:sz w:val="20"/>
              </w:rPr>
              <w:t>۱۰</w:t>
            </w:r>
          </w:p>
        </w:tc>
        <w:tc>
          <w:tcPr>
            <w:tcW w:type="dxa" w:w="1234"/>
          </w:tcPr>
          <w:p>
            <w:pPr>
              <w:bidi/>
              <w:jc w:val="center"/>
            </w:pPr>
            <w:r>
              <w:rPr>
                <w:rFonts w:ascii="Times New Roman" w:hAnsi="Times New Roman"/>
                <w:sz w:val="20"/>
              </w:rPr>
              <w:t>۰.۸۷۶</w:t>
            </w:r>
          </w:p>
        </w:tc>
        <w:tc>
          <w:tcPr>
            <w:tcW w:type="dxa" w:w="1234"/>
          </w:tcPr>
          <w:p>
            <w:pPr>
              <w:bidi/>
              <w:jc w:val="center"/>
            </w:pPr>
            <w:r>
              <w:rPr>
                <w:rFonts w:ascii="Times New Roman" w:hAnsi="Times New Roman"/>
                <w:sz w:val="20"/>
              </w:rPr>
              <w:t>۰.۸۸۱</w:t>
            </w:r>
          </w:p>
        </w:tc>
        <w:tc>
          <w:tcPr>
            <w:tcW w:type="dxa" w:w="1234"/>
          </w:tcPr>
          <w:p>
            <w:pPr>
              <w:bidi/>
              <w:jc w:val="center"/>
            </w:pPr>
            <w:r>
              <w:rPr>
                <w:rFonts w:ascii="Times New Roman" w:hAnsi="Times New Roman"/>
                <w:sz w:val="20"/>
              </w:rPr>
              <w:t>۰.۸۳۲</w:t>
            </w:r>
          </w:p>
        </w:tc>
        <w:tc>
          <w:tcPr>
            <w:tcW w:type="dxa" w:w="1234"/>
          </w:tcPr>
          <w:p>
            <w:pPr>
              <w:bidi/>
              <w:jc w:val="center"/>
            </w:pPr>
            <w:r>
              <w:rPr>
                <w:rFonts w:ascii="Times New Roman" w:hAnsi="Times New Roman"/>
                <w:sz w:val="20"/>
              </w:rPr>
              <w:t>۰.۸۴۵</w:t>
            </w:r>
          </w:p>
        </w:tc>
        <w:tc>
          <w:tcPr>
            <w:tcW w:type="dxa" w:w="1234"/>
          </w:tcPr>
          <w:p>
            <w:pPr>
              <w:bidi/>
              <w:jc w:val="center"/>
            </w:pPr>
            <w:r>
              <w:rPr>
                <w:rFonts w:ascii="B Nazanin" w:hAnsi="B Nazanin"/>
                <w:sz w:val="20"/>
              </w:rPr>
              <w:t>عالی و بسیار مطلوب</w:t>
            </w:r>
          </w:p>
        </w:tc>
      </w:tr>
      <w:tr>
        <w:tc>
          <w:tcPr>
            <w:tcW w:type="dxa" w:w="1234"/>
          </w:tcPr>
          <w:p>
            <w:pPr>
              <w:bidi/>
              <w:jc w:val="center"/>
            </w:pPr>
            <w:r>
              <w:rPr>
                <w:rFonts w:ascii="Times New Roman" w:hAnsi="Times New Roman"/>
                <w:sz w:val="20"/>
              </w:rPr>
              <w:t>نمره کل مقیاس CAV-S</w:t>
            </w:r>
          </w:p>
        </w:tc>
        <w:tc>
          <w:tcPr>
            <w:tcW w:type="dxa" w:w="1234"/>
          </w:tcPr>
          <w:p>
            <w:pPr>
              <w:bidi/>
              <w:jc w:val="center"/>
            </w:pPr>
            <w:r>
              <w:rPr>
                <w:rFonts w:ascii="Times New Roman" w:hAnsi="Times New Roman"/>
                <w:sz w:val="20"/>
              </w:rPr>
              <w:t>۲۰</w:t>
            </w:r>
          </w:p>
        </w:tc>
        <w:tc>
          <w:tcPr>
            <w:tcW w:type="dxa" w:w="1234"/>
          </w:tcPr>
          <w:p>
            <w:pPr>
              <w:bidi/>
              <w:jc w:val="center"/>
            </w:pPr>
            <w:r>
              <w:rPr>
                <w:rFonts w:ascii="Times New Roman" w:hAnsi="Times New Roman"/>
                <w:sz w:val="20"/>
              </w:rPr>
              <w:t>۰.۹۱۲</w:t>
            </w:r>
          </w:p>
        </w:tc>
        <w:tc>
          <w:tcPr>
            <w:tcW w:type="dxa" w:w="1234"/>
          </w:tcPr>
          <w:p>
            <w:pPr>
              <w:bidi/>
              <w:jc w:val="center"/>
            </w:pPr>
            <w:r>
              <w:rPr>
                <w:rFonts w:ascii="Times New Roman" w:hAnsi="Times New Roman"/>
                <w:sz w:val="20"/>
              </w:rPr>
              <w:t>۰.۹۱۸</w:t>
            </w:r>
          </w:p>
        </w:tc>
        <w:tc>
          <w:tcPr>
            <w:tcW w:type="dxa" w:w="1234"/>
          </w:tcPr>
          <w:p>
            <w:pPr>
              <w:bidi/>
              <w:jc w:val="center"/>
            </w:pPr>
            <w:r>
              <w:rPr>
                <w:rFonts w:ascii="Times New Roman" w:hAnsi="Times New Roman"/>
                <w:sz w:val="20"/>
              </w:rPr>
              <w:t>-</w:t>
            </w:r>
          </w:p>
        </w:tc>
        <w:tc>
          <w:tcPr>
            <w:tcW w:type="dxa" w:w="1234"/>
          </w:tcPr>
          <w:p>
            <w:pPr>
              <w:bidi/>
              <w:jc w:val="center"/>
            </w:pPr>
            <w:r>
              <w:rPr>
                <w:rFonts w:ascii="Times New Roman" w:hAnsi="Times New Roman"/>
                <w:sz w:val="20"/>
              </w:rPr>
              <w:t>۰.۸۷۸</w:t>
            </w:r>
          </w:p>
        </w:tc>
        <w:tc>
          <w:tcPr>
            <w:tcW w:type="dxa" w:w="1234"/>
          </w:tcPr>
          <w:p>
            <w:pPr>
              <w:bidi/>
              <w:jc w:val="center"/>
            </w:pPr>
            <w:r>
              <w:rPr>
                <w:rFonts w:ascii="B Nazanin" w:hAnsi="B Nazanin"/>
                <w:sz w:val="20"/>
              </w:rPr>
              <w:t>استثنایی و قدرتمند</w:t>
            </w:r>
          </w:p>
        </w:tc>
      </w:tr>
    </w:tbl>
    <w:p>
      <w:pPr>
        <w:bidi/>
        <w:jc w:val="both"/>
      </w:pPr>
      <w:r>
        <w:rPr>
          <w:rFonts w:ascii="B Nazanin" w:hAnsi="B Nazanin"/>
          <w:i/>
          <w:sz w:val="20"/>
        </w:rPr>
        <w:t>یادداشت. ضریب بازآزمایی در فاصله زمانی ۴ هفته محاسبه شده است. مقادیر بالاتر از ۰.۸۰ بیانگر دقت و ثبات برجسته ابزار است.</w:t>
      </w:r>
    </w:p>
    <w:p>
      <w:pPr>
        <w:bidi/>
        <w:jc w:val="right"/>
      </w:pPr>
      <w:r>
        <w:rPr>
          <w:rFonts w:ascii="B Titr" w:hAnsi="B Titr"/>
          <w:b/>
          <w:sz w:val="26"/>
          <w:rFonts w:ascii="B Titr" w:hAnsi="B Titr" w:cs="B Titr"/>
          <w:rtl/>
        </w:rPr>
        <w:t>۳. ارزیابی ناوردایی اندازه‌گیری در گروه‌های جنسیتی</w:t>
      </w:r>
    </w:p>
    <w:p>
      <w:pPr>
        <w:bidi/>
        <w:jc w:val="both"/>
      </w:pPr>
      <w:r>
        <w:rPr>
          <w:rFonts w:ascii="B Nazanin" w:hAnsi="B Nazanin"/>
          <w:b w:val="0"/>
          <w:i w:val="0"/>
          <w:sz w:val="26"/>
          <w:rFonts w:ascii="B Nazanin" w:hAnsi="B Nazanin" w:cs="B Nazanin"/>
          <w:rtl/>
        </w:rPr>
        <w:t>جهت اطمینان از برابری ساختار مفهومی و بارهای عاملی میان دختران و پسران، نتایج مدل‌های سه‌گانه ناوردایی در جدول ۲ گزارش شده است.</w:t>
      </w:r>
    </w:p>
    <w:p>
      <w:pPr>
        <w:bidi/>
        <w:jc w:val="right"/>
      </w:pPr>
      <w:r>
        <w:rPr>
          <w:rFonts w:ascii="B Nazanin" w:hAnsi="B Nazanin"/>
          <w:b/>
          <w:sz w:val="22"/>
        </w:rPr>
        <w:t>جدول ۲. نتایج آزمون ناوردایی اندازه‌گیری مقیاس CAV-S در گروه‌های دختران و پسران (دختران ۲۲۵ = n، پسران ۲۲۵ = n)</w:t>
      </w:r>
    </w:p>
    <w:tbl>
      <w:tblPr>
        <w:tblW w:type="auto" w:w="0"/>
        <w:jc w:val="center"/>
        <w:tblLook w:firstColumn="1" w:firstRow="1" w:lastColumn="0" w:lastRow="0" w:noHBand="0" w:noVBand="1" w:val="04A0"/>
        <w:bidiVisual/>
      </w:tblPr>
      <w:tblGrid>
        <w:gridCol w:w="1080"/>
        <w:gridCol w:w="1080"/>
        <w:gridCol w:w="1080"/>
        <w:gridCol w:w="1080"/>
        <w:gridCol w:w="1080"/>
        <w:gridCol w:w="1080"/>
        <w:gridCol w:w="1080"/>
        <w:gridCol w:w="1080"/>
      </w:tblGrid>
      <w:tr>
        <w:tc>
          <w:tcPr>
            <w:tcW w:type="dxa" w:w="1080"/>
          </w:tcPr>
          <w:p>
            <w:pPr>
              <w:bidi/>
              <w:jc w:val="center"/>
            </w:pPr>
            <w:r>
              <w:rPr>
                <w:rFonts w:ascii="B Nazanin" w:hAnsi="B Nazanin"/>
                <w:b/>
                <w:sz w:val="20"/>
              </w:rPr>
              <w:t>مدل اندازه‌گیری</w:t>
            </w:r>
          </w:p>
        </w:tc>
        <w:tc>
          <w:tcPr>
            <w:tcW w:type="dxa" w:w="1080"/>
          </w:tcPr>
          <w:p>
            <w:pPr>
              <w:bidi/>
              <w:jc w:val="center"/>
            </w:pPr>
            <w:r>
              <w:rPr>
                <w:rFonts w:ascii="B Nazanin" w:hAnsi="B Nazanin"/>
                <w:b/>
                <w:sz w:val="20"/>
              </w:rPr>
              <w:t>χ²</w:t>
            </w:r>
          </w:p>
        </w:tc>
        <w:tc>
          <w:tcPr>
            <w:tcW w:type="dxa" w:w="1080"/>
          </w:tcPr>
          <w:p>
            <w:pPr>
              <w:bidi/>
              <w:jc w:val="center"/>
            </w:pPr>
            <w:r>
              <w:rPr>
                <w:rFonts w:ascii="B Nazanin" w:hAnsi="B Nazanin"/>
                <w:b/>
                <w:sz w:val="20"/>
              </w:rPr>
              <w:t>df</w:t>
            </w:r>
          </w:p>
        </w:tc>
        <w:tc>
          <w:tcPr>
            <w:tcW w:type="dxa" w:w="1080"/>
          </w:tcPr>
          <w:p>
            <w:pPr>
              <w:bidi/>
              <w:jc w:val="center"/>
            </w:pPr>
            <w:r>
              <w:rPr>
                <w:rFonts w:ascii="B Nazanin" w:hAnsi="B Nazanin"/>
                <w:b/>
                <w:sz w:val="20"/>
              </w:rPr>
              <w:t>CFI</w:t>
            </w:r>
          </w:p>
        </w:tc>
        <w:tc>
          <w:tcPr>
            <w:tcW w:type="dxa" w:w="1080"/>
          </w:tcPr>
          <w:p>
            <w:pPr>
              <w:bidi/>
              <w:jc w:val="center"/>
            </w:pPr>
            <w:r>
              <w:rPr>
                <w:rFonts w:ascii="B Nazanin" w:hAnsi="B Nazanin"/>
                <w:b/>
                <w:sz w:val="20"/>
              </w:rPr>
              <w:t>RMSEA</w:t>
            </w:r>
          </w:p>
        </w:tc>
        <w:tc>
          <w:tcPr>
            <w:tcW w:type="dxa" w:w="1080"/>
          </w:tcPr>
          <w:p>
            <w:pPr>
              <w:bidi/>
              <w:jc w:val="center"/>
            </w:pPr>
            <w:r>
              <w:rPr>
                <w:rFonts w:ascii="B Nazanin" w:hAnsi="B Nazanin"/>
                <w:b/>
                <w:sz w:val="20"/>
              </w:rPr>
              <w:t>ΔCFI</w:t>
            </w:r>
          </w:p>
        </w:tc>
        <w:tc>
          <w:tcPr>
            <w:tcW w:type="dxa" w:w="1080"/>
          </w:tcPr>
          <w:p>
            <w:pPr>
              <w:bidi/>
              <w:jc w:val="center"/>
            </w:pPr>
            <w:r>
              <w:rPr>
                <w:rFonts w:ascii="B Nazanin" w:hAnsi="B Nazanin"/>
                <w:b/>
                <w:sz w:val="20"/>
              </w:rPr>
              <w:t>ΔRMSEA</w:t>
            </w:r>
          </w:p>
        </w:tc>
        <w:tc>
          <w:tcPr>
            <w:tcW w:type="dxa" w:w="1080"/>
          </w:tcPr>
          <w:p>
            <w:pPr>
              <w:bidi/>
              <w:jc w:val="center"/>
            </w:pPr>
            <w:r>
              <w:rPr>
                <w:rFonts w:ascii="B Nazanin" w:hAnsi="B Nazanin"/>
                <w:b/>
                <w:sz w:val="20"/>
              </w:rPr>
              <w:t>تصمیم روان‌سنجی</w:t>
            </w:r>
          </w:p>
        </w:tc>
      </w:tr>
      <w:tr>
        <w:tc>
          <w:tcPr>
            <w:tcW w:type="dxa" w:w="1080"/>
          </w:tcPr>
          <w:p>
            <w:pPr>
              <w:bidi/>
              <w:jc w:val="center"/>
            </w:pPr>
            <w:r>
              <w:rPr>
                <w:rFonts w:ascii="Times New Roman" w:hAnsi="Times New Roman"/>
                <w:sz w:val="20"/>
              </w:rPr>
              <w:t>الگوی ۱: ناوردایی شکلی (Configural)</w:t>
            </w:r>
          </w:p>
        </w:tc>
        <w:tc>
          <w:tcPr>
            <w:tcW w:type="dxa" w:w="1080"/>
          </w:tcPr>
          <w:p>
            <w:pPr>
              <w:bidi/>
              <w:jc w:val="center"/>
            </w:pPr>
            <w:r>
              <w:rPr>
                <w:rFonts w:ascii="Times New Roman" w:hAnsi="Times New Roman"/>
                <w:sz w:val="20"/>
              </w:rPr>
              <w:t>۵۸۲.۴۰</w:t>
            </w:r>
          </w:p>
        </w:tc>
        <w:tc>
          <w:tcPr>
            <w:tcW w:type="dxa" w:w="1080"/>
          </w:tcPr>
          <w:p>
            <w:pPr>
              <w:bidi/>
              <w:jc w:val="center"/>
            </w:pPr>
            <w:r>
              <w:rPr>
                <w:rFonts w:ascii="Times New Roman" w:hAnsi="Times New Roman"/>
                <w:sz w:val="20"/>
              </w:rPr>
              <w:t>۳۳۸</w:t>
            </w:r>
          </w:p>
        </w:tc>
        <w:tc>
          <w:tcPr>
            <w:tcW w:type="dxa" w:w="1080"/>
          </w:tcPr>
          <w:p>
            <w:pPr>
              <w:bidi/>
              <w:jc w:val="center"/>
            </w:pPr>
            <w:r>
              <w:rPr>
                <w:rFonts w:ascii="Times New Roman" w:hAnsi="Times New Roman"/>
                <w:sz w:val="20"/>
              </w:rPr>
              <w:t>۰.۹۴۶</w:t>
            </w:r>
          </w:p>
        </w:tc>
        <w:tc>
          <w:tcPr>
            <w:tcW w:type="dxa" w:w="1080"/>
          </w:tcPr>
          <w:p>
            <w:pPr>
              <w:bidi/>
              <w:jc w:val="center"/>
            </w:pPr>
            <w:r>
              <w:rPr>
                <w:rFonts w:ascii="Times New Roman" w:hAnsi="Times New Roman"/>
                <w:sz w:val="20"/>
              </w:rPr>
              <w:t>۰.۰۵۵</w:t>
            </w:r>
          </w:p>
        </w:tc>
        <w:tc>
          <w:tcPr>
            <w:tcW w:type="dxa" w:w="1080"/>
          </w:tcPr>
          <w:p>
            <w:pPr>
              <w:bidi/>
              <w:jc w:val="center"/>
            </w:pPr>
            <w:r>
              <w:rPr>
                <w:rFonts w:ascii="Times New Roman" w:hAnsi="Times New Roman"/>
                <w:sz w:val="20"/>
              </w:rPr>
              <w:t>-</w:t>
            </w:r>
          </w:p>
        </w:tc>
        <w:tc>
          <w:tcPr>
            <w:tcW w:type="dxa" w:w="1080"/>
          </w:tcPr>
          <w:p>
            <w:pPr>
              <w:bidi/>
              <w:jc w:val="center"/>
            </w:pPr>
            <w:r>
              <w:rPr>
                <w:rFonts w:ascii="Times New Roman" w:hAnsi="Times New Roman"/>
                <w:sz w:val="20"/>
              </w:rPr>
              <w:t>-</w:t>
            </w:r>
          </w:p>
        </w:tc>
        <w:tc>
          <w:tcPr>
            <w:tcW w:type="dxa" w:w="1080"/>
          </w:tcPr>
          <w:p>
            <w:pPr>
              <w:bidi/>
              <w:jc w:val="center"/>
            </w:pPr>
            <w:r>
              <w:rPr>
                <w:rFonts w:ascii="B Nazanin" w:hAnsi="B Nazanin"/>
                <w:sz w:val="20"/>
              </w:rPr>
              <w:t>تأیید ساختار عاملی یکسان در دو جنس</w:t>
            </w:r>
          </w:p>
        </w:tc>
      </w:tr>
      <w:tr>
        <w:tc>
          <w:tcPr>
            <w:tcW w:type="dxa" w:w="1080"/>
          </w:tcPr>
          <w:p>
            <w:pPr>
              <w:bidi/>
              <w:jc w:val="center"/>
            </w:pPr>
            <w:r>
              <w:rPr>
                <w:rFonts w:ascii="Times New Roman" w:hAnsi="Times New Roman"/>
                <w:sz w:val="20"/>
              </w:rPr>
              <w:t>الگوی ۲: ناوردایی متری (Metric)</w:t>
            </w:r>
          </w:p>
        </w:tc>
        <w:tc>
          <w:tcPr>
            <w:tcW w:type="dxa" w:w="1080"/>
          </w:tcPr>
          <w:p>
            <w:pPr>
              <w:bidi/>
              <w:jc w:val="center"/>
            </w:pPr>
            <w:r>
              <w:rPr>
                <w:rFonts w:ascii="Times New Roman" w:hAnsi="Times New Roman"/>
                <w:sz w:val="20"/>
              </w:rPr>
              <w:t>۶۰۱.۲۵</w:t>
            </w:r>
          </w:p>
        </w:tc>
        <w:tc>
          <w:tcPr>
            <w:tcW w:type="dxa" w:w="1080"/>
          </w:tcPr>
          <w:p>
            <w:pPr>
              <w:bidi/>
              <w:jc w:val="center"/>
            </w:pPr>
            <w:r>
              <w:rPr>
                <w:rFonts w:ascii="Times New Roman" w:hAnsi="Times New Roman"/>
                <w:sz w:val="20"/>
              </w:rPr>
              <w:t>۳۵۶</w:t>
            </w:r>
          </w:p>
        </w:tc>
        <w:tc>
          <w:tcPr>
            <w:tcW w:type="dxa" w:w="1080"/>
          </w:tcPr>
          <w:p>
            <w:pPr>
              <w:bidi/>
              <w:jc w:val="center"/>
            </w:pPr>
            <w:r>
              <w:rPr>
                <w:rFonts w:ascii="Times New Roman" w:hAnsi="Times New Roman"/>
                <w:sz w:val="20"/>
              </w:rPr>
              <w:t>۰.۹۴۳</w:t>
            </w:r>
          </w:p>
        </w:tc>
        <w:tc>
          <w:tcPr>
            <w:tcW w:type="dxa" w:w="1080"/>
          </w:tcPr>
          <w:p>
            <w:pPr>
              <w:bidi/>
              <w:jc w:val="center"/>
            </w:pPr>
            <w:r>
              <w:rPr>
                <w:rFonts w:ascii="Times New Roman" w:hAnsi="Times New Roman"/>
                <w:sz w:val="20"/>
              </w:rPr>
              <w:t>۰.۰۵۶</w:t>
            </w:r>
          </w:p>
        </w:tc>
        <w:tc>
          <w:tcPr>
            <w:tcW w:type="dxa" w:w="1080"/>
          </w:tcPr>
          <w:p>
            <w:pPr>
              <w:bidi/>
              <w:jc w:val="center"/>
            </w:pPr>
            <w:r>
              <w:rPr>
                <w:rFonts w:ascii="Times New Roman" w:hAnsi="Times New Roman"/>
                <w:sz w:val="20"/>
              </w:rPr>
              <w:t>۰.۰۰۳-</w:t>
            </w:r>
          </w:p>
        </w:tc>
        <w:tc>
          <w:tcPr>
            <w:tcW w:type="dxa" w:w="1080"/>
          </w:tcPr>
          <w:p>
            <w:pPr>
              <w:bidi/>
              <w:jc w:val="center"/>
            </w:pPr>
            <w:r>
              <w:rPr>
                <w:rFonts w:ascii="Times New Roman" w:hAnsi="Times New Roman"/>
                <w:sz w:val="20"/>
              </w:rPr>
              <w:t>۰.۰۰۱</w:t>
            </w:r>
          </w:p>
        </w:tc>
        <w:tc>
          <w:tcPr>
            <w:tcW w:type="dxa" w:w="1080"/>
          </w:tcPr>
          <w:p>
            <w:pPr>
              <w:bidi/>
              <w:jc w:val="center"/>
            </w:pPr>
            <w:r>
              <w:rPr>
                <w:rFonts w:ascii="B Nazanin" w:hAnsi="B Nazanin"/>
                <w:sz w:val="20"/>
              </w:rPr>
              <w:t>تأیید برابری بارهای عاملی در دو جنس</w:t>
            </w:r>
          </w:p>
        </w:tc>
      </w:tr>
      <w:tr>
        <w:tc>
          <w:tcPr>
            <w:tcW w:type="dxa" w:w="1080"/>
          </w:tcPr>
          <w:p>
            <w:pPr>
              <w:bidi/>
              <w:jc w:val="center"/>
            </w:pPr>
            <w:r>
              <w:rPr>
                <w:rFonts w:ascii="Times New Roman" w:hAnsi="Times New Roman"/>
                <w:sz w:val="20"/>
              </w:rPr>
              <w:t>الگوی ۳: ناوردایی اسکالر (Scalar)</w:t>
            </w:r>
          </w:p>
        </w:tc>
        <w:tc>
          <w:tcPr>
            <w:tcW w:type="dxa" w:w="1080"/>
          </w:tcPr>
          <w:p>
            <w:pPr>
              <w:bidi/>
              <w:jc w:val="center"/>
            </w:pPr>
            <w:r>
              <w:rPr>
                <w:rFonts w:ascii="Times New Roman" w:hAnsi="Times New Roman"/>
                <w:sz w:val="20"/>
              </w:rPr>
              <w:t>۶۲۴.۸۰</w:t>
            </w:r>
          </w:p>
        </w:tc>
        <w:tc>
          <w:tcPr>
            <w:tcW w:type="dxa" w:w="1080"/>
          </w:tcPr>
          <w:p>
            <w:pPr>
              <w:bidi/>
              <w:jc w:val="center"/>
            </w:pPr>
            <w:r>
              <w:rPr>
                <w:rFonts w:ascii="Times New Roman" w:hAnsi="Times New Roman"/>
                <w:sz w:val="20"/>
              </w:rPr>
              <w:t>۳۷۴</w:t>
            </w:r>
          </w:p>
        </w:tc>
        <w:tc>
          <w:tcPr>
            <w:tcW w:type="dxa" w:w="1080"/>
          </w:tcPr>
          <w:p>
            <w:pPr>
              <w:bidi/>
              <w:jc w:val="center"/>
            </w:pPr>
            <w:r>
              <w:rPr>
                <w:rFonts w:ascii="Times New Roman" w:hAnsi="Times New Roman"/>
                <w:sz w:val="20"/>
              </w:rPr>
              <w:t>۰.۹۳۹</w:t>
            </w:r>
          </w:p>
        </w:tc>
        <w:tc>
          <w:tcPr>
            <w:tcW w:type="dxa" w:w="1080"/>
          </w:tcPr>
          <w:p>
            <w:pPr>
              <w:bidi/>
              <w:jc w:val="center"/>
            </w:pPr>
            <w:r>
              <w:rPr>
                <w:rFonts w:ascii="Times New Roman" w:hAnsi="Times New Roman"/>
                <w:sz w:val="20"/>
              </w:rPr>
              <w:t>۰.۰۵۷</w:t>
            </w:r>
          </w:p>
        </w:tc>
        <w:tc>
          <w:tcPr>
            <w:tcW w:type="dxa" w:w="1080"/>
          </w:tcPr>
          <w:p>
            <w:pPr>
              <w:bidi/>
              <w:jc w:val="center"/>
            </w:pPr>
            <w:r>
              <w:rPr>
                <w:rFonts w:ascii="Times New Roman" w:hAnsi="Times New Roman"/>
                <w:sz w:val="20"/>
              </w:rPr>
              <w:t>۰.۰۰۴-</w:t>
            </w:r>
          </w:p>
        </w:tc>
        <w:tc>
          <w:tcPr>
            <w:tcW w:type="dxa" w:w="1080"/>
          </w:tcPr>
          <w:p>
            <w:pPr>
              <w:bidi/>
              <w:jc w:val="center"/>
            </w:pPr>
            <w:r>
              <w:rPr>
                <w:rFonts w:ascii="Times New Roman" w:hAnsi="Times New Roman"/>
                <w:sz w:val="20"/>
              </w:rPr>
              <w:t>۰.۰۰۱</w:t>
            </w:r>
          </w:p>
        </w:tc>
        <w:tc>
          <w:tcPr>
            <w:tcW w:type="dxa" w:w="1080"/>
          </w:tcPr>
          <w:p>
            <w:pPr>
              <w:bidi/>
              <w:jc w:val="center"/>
            </w:pPr>
            <w:r>
              <w:rPr>
                <w:rFonts w:ascii="B Nazanin" w:hAnsi="B Nazanin"/>
                <w:sz w:val="20"/>
              </w:rPr>
              <w:t>تأیید برابری عرض از مبدأها (امکان مقایسه)</w:t>
            </w:r>
          </w:p>
        </w:tc>
      </w:tr>
    </w:tbl>
    <w:p>
      <w:pPr>
        <w:bidi/>
        <w:jc w:val="both"/>
      </w:pPr>
      <w:r>
        <w:rPr>
          <w:rFonts w:ascii="B Nazanin" w:hAnsi="B Nazanin"/>
          <w:i/>
          <w:sz w:val="20"/>
        </w:rPr>
        <w:t>یادداشت. معیارهای چن (۲۰۰۷) شامل کاهش کمتر از ۰.۰۱۰ در CFI و افزایش کمتر از ۰.۰۱۵ در RMSEA تعریف شده است.</w:t>
      </w:r>
    </w:p>
    <w:p>
      <w:pPr>
        <w:bidi/>
        <w:jc w:val="right"/>
      </w:pPr>
      <w:r>
        <w:rPr>
          <w:rFonts w:ascii="B Titr" w:hAnsi="B Titr"/>
          <w:b/>
          <w:sz w:val="26"/>
          <w:rFonts w:ascii="B Titr" w:hAnsi="B Titr" w:cs="B Titr"/>
          <w:rtl/>
        </w:rPr>
        <w:t>۴. جمع‌بندی و نتیجه‌گیری پایایی و ناوردایی</w:t>
      </w:r>
    </w:p>
    <w:p>
      <w:pPr>
        <w:bidi/>
        <w:jc w:val="both"/>
      </w:pPr>
      <w:r>
        <w:rPr>
          <w:rFonts w:ascii="B Nazanin" w:hAnsi="B Nazanin"/>
          <w:b w:val="0"/>
          <w:i w:val="0"/>
          <w:sz w:val="26"/>
          <w:rFonts w:ascii="B Nazanin" w:hAnsi="B Nazanin" w:cs="B Nazanin"/>
          <w:rtl/>
        </w:rPr>
        <w:t>احراز ناوردایی کامل اسکالر اثبات می‌کند که تفاوت میانگین‌های مشاهده‌شده دختران و پسران در مقیاس CAV-S ناشی از تفاوت واقعی در سازه‌های روانی است و به سوگیری ابزار ارتباطی ندارد. ضرایب پایایی استثنایی (آلفا و امگای بالاتر از ۰.۸۷ و بازآزمایی بالاتر از ۰.۸۴) نیز دقت اندازه‌گیری ابزار را تأیید می‌نمایند.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