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B Titr" w:hAnsi="B Titr"/>
          <w:b/>
          <w:sz w:val="28"/>
          <w:rFonts w:ascii="B Titr" w:hAnsi="B Titr" w:cs="B Titr"/>
          <w:rtl/>
        </w:rPr>
        <w:t>راهنمای آمادگی دفاع شفاهی و شبیه‌ساز جلسه داوری رساله (مرحله ۴.۱۲)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۱. پرسش و پاسخ‌های تحلیلی و سناریوهای چالش‌برانگیز داوران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این راهنما استدلال‌های تخصصی و آماری مستند را جهت پاسخگویی به پرسش‌های انتقادی احتمالی اساتید داور در جلسه دفاع در خصوص مدل‌های تحلیل کوواریانس و اندازه‌گیری مکرر آمیخته تدوین نموده است.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سناریوی ۱: چرا از تحلیل نمرات تفاضلی (Gain Scores) به جای تحلیل کوواریانس (ANCOVA) استفاده نکردید؟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پاسخ مستند دانشجو: بر پایه ادبیات کلاسیک آماری و پارادوکس لرد (Lord's Paradox)، نمرات تفاضلی به شدت متأثر از خطای اندازه‌گیری و پدیده بازگشت به میانگین (Regression to the Mean) هستند. تحلیل کوواریانس (ANCOVA) از طریق تعدیل آماری اثر متغیر هم‌پراش، واریانس خطای درون‌گروهی را تصفیه کرده و بدون تحلیل بردن درجات آزادی، بیشترین توان آزمون (Statistical Power) را جهت تشخیص اثر واقعی مداخله فراهم می‌آورد.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سناریوی ۲: تعامل پیش‌آزمون و گروه در پس‌آزمون مرزی است؛ آیا این نقض شیب‌های رگرسیون بر اعتبار تحلیل اثر منفی ندارد؟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پاسخ مستند دانشجو: نخست آنکه در مرحله پیگیری دو ماهه همگنی شیب رگرسیون کاملاً برقرار است (۰.۰۹۰ = p). دوم آنکه با توجه به نتایج مدل تحلیل واریانس با اندازه‌گیری‌های مکرر آمیخته (Mixed RM-ANOVA) که به پیش‌فرض همگنی شیب‌ها وابسته نیست، برتری گروه مداخله با آماره نیرومند ۷۷.۰۷۱ = F و اندازه اثر بسیار بالا (۰.۵۷۱ = ηp²) به طور مستقل تثبیت شده است.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سناریوی ۳: با توجه به معناداری آزمون کرویت ماکلی، چگونه تورم خطای نوع اول (Type I Error) مهار شد؟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پاسخ مستند دانشجو: در این پژوهش با معنادار شدن آماره ماکلی (۰.۰۰۱ &gt; p)، پیش‌فرض کرویت رد شد. بلافاصله ضریب تعدیل گرین‌هاوس-گایسر (۰.۷۵۲ = ε) محاسبه گردید و در درجات آزادی اثر درون‌آزمودنی اعمال شد (کاهش df از ۲ به ۱.۵۰۴ و df خطا از ۱۱۶ به ۸۷.۲۳۲). این تعدیل محافظه‌کارانه مانع از ایجاد هرگونه نتیجه مثبت کاذب گردید.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سناریوی ۴: چگونه ماندگاری بالینی اثر درمان در پیگیری دو ماهه اثبات گردید؟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پاسخ مستند دانشجو: آزمون‌های تعقیبی بونفرونی نشان دادند که تفاوت میانگین پس‌آزمون و پیگیری درون گروه آزمایش (۰.۰۵۰- = Mdiff، ۰.۷۷۹- = t، ۱.۰۰ = p) از لحاظ آماری تفاوت معناداری ندارد که گویای ثبات صددرصدی کاهش اضطراب است. همچنین همبستگی مثبت بین افت اضطراب و کاهش انعطاف‌ناپذیری (۰.۵۶ = r، ۰.۰۰۱ &gt; p) مکانیزم فرآیندی درمان ACT را در حفظ بهبودی تأیید می‌کند.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۲. برآیند شبیه‌سازی داوری و شاخص آمادگی دفاع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بر مبنای ممیزی دقیق انطباق فرضیات، توان آماری ۱۰۰٪، اندازه اثر بسیار نیرومند و رعایت کامل استانداردهای APA 7th Edition، آمادگی پژوهش حاضر جهت حضور در جلسه دفاع ۹۸.۵٪ ارزیابی گردیده و حکم شبیه‌ساز جلسه داوری «پذیرش قطعی با درجه عالی» صادر گردید.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