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rFonts w:ascii="B Titr" w:hAnsi="B Titr"/>
          <w:b/>
          <w:sz w:val="28"/>
          <w:rFonts w:ascii="B Titr" w:hAnsi="B Titr" w:cs="B Titr"/>
          <w:rtl/>
        </w:rPr>
        <w:t>آزمون فرضیه اول: پیش‌بینی فرسودگی شغلی بر اساس استرس شغلی و انعطاف‌پذیری روان‌شناختی</w:t>
      </w:r>
    </w:p>
    <w:p>
      <w:pPr>
        <w:bidi/>
        <w:jc w:val="right"/>
      </w:pPr>
      <w:r>
        <w:rPr>
          <w:rFonts w:ascii="B Titr" w:hAnsi="B Titr"/>
          <w:b/>
          <w:sz w:val="26"/>
          <w:rFonts w:ascii="B Titr" w:hAnsi="B Titr" w:cs="B Titr"/>
          <w:rtl/>
        </w:rPr>
        <w:t>۱. بیان فرضیه و صورت‌بندی مدل پژوهش</w:t>
      </w:r>
    </w:p>
    <w:p>
      <w:pPr>
        <w:bidi/>
        <w:jc w:val="both"/>
      </w:pPr>
      <w:r>
        <w:rPr>
          <w:rFonts w:ascii="B Nazanin" w:hAnsi="B Nazanin"/>
          <w:b w:val="0"/>
          <w:i w:val="0"/>
          <w:sz w:val="26"/>
          <w:rFonts w:ascii="B Nazanin" w:hAnsi="B Nazanin" w:cs="B Nazanin"/>
          <w:rtl/>
        </w:rPr>
        <w:t>فرضیه اول پژوهش بیان می‌دارد که «استرس شغلی و انعطاف‌پذیری روان‌شناختی به طور همزمان فرسودگی شغلی کارکنان را پیش‌بینی می‌کنند». به منظور آزمون این فرضیه و تعیین سهم واریانس تبیین‌شده متغیر ملاک توسط متغیرهای پیش‌بین، از الگوی رگرسیون خطی چندگانه به شیوه همزمان (Enter) استفاده شد. پیش از انجام تحلیل، رعایت کامل استاندارد سه‌جدولی آزمون فرضیات رابطه‌ای در دستور کار قرار گرفت.</w:t>
      </w:r>
    </w:p>
    <w:p>
      <w:pPr>
        <w:bidi/>
        <w:jc w:val="right"/>
      </w:pPr>
      <w:r>
        <w:rPr>
          <w:rFonts w:ascii="B Titr" w:hAnsi="B Titr"/>
          <w:b/>
          <w:sz w:val="26"/>
          <w:rFonts w:ascii="B Titr" w:hAnsi="B Titr" w:cs="B Titr"/>
          <w:rtl/>
        </w:rPr>
        <w:t>۲. تحلیل همبستگی‌های دو متغیره و مشخصه‌های توصیفی</w:t>
      </w:r>
    </w:p>
    <w:p>
      <w:pPr>
        <w:bidi/>
        <w:jc w:val="both"/>
      </w:pPr>
      <w:r>
        <w:rPr>
          <w:rFonts w:ascii="B Nazanin" w:hAnsi="B Nazanin"/>
          <w:b w:val="0"/>
          <w:i w:val="0"/>
          <w:sz w:val="26"/>
          <w:rFonts w:ascii="B Nazanin" w:hAnsi="B Nazanin" w:cs="B Nazanin"/>
          <w:rtl/>
        </w:rPr>
        <w:t>نخستین گام در تحلیل رگرسیون، بررسی همبستگی‌های مرتبه صفر پیرسون میان متغیرهای پیش‌بین و متغیر ملاک به منظور ارزیابی روابط خطی اولیه و وارسی هم‌خطی شدید است. در جدول ۱، مقادیر میانگین، انحراف استاندارد و ماتریس همبستگی پیرسون بین متغیرهای پژوهش گزارش شده است.</w:t>
      </w:r>
    </w:p>
    <w:p>
      <w:pPr>
        <w:bidi/>
        <w:jc w:val="right"/>
      </w:pPr>
      <w:r>
        <w:rPr>
          <w:rFonts w:ascii="B Nazanin" w:hAnsi="B Nazanin"/>
          <w:b/>
          <w:sz w:val="22"/>
        </w:rPr>
        <w:t>جدول ۱. ماتریس همبستگی پیرسون و شاخص‌های توصیفی متغیرهای پژوهش (۱۰۰ = N)</w:t>
      </w:r>
    </w:p>
    <w:tbl>
      <w:tblPr>
        <w:tblW w:type="auto" w:w="0"/>
        <w:jc w:val="center"/>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center"/>
            </w:pPr>
            <w:r>
              <w:rPr>
                <w:rFonts w:ascii="B Nazanin" w:hAnsi="B Nazanin"/>
                <w:b/>
                <w:sz w:val="20"/>
              </w:rPr>
              <w:t>متغیرها</w:t>
            </w:r>
          </w:p>
        </w:tc>
        <w:tc>
          <w:tcPr>
            <w:tcW w:type="dxa" w:w="1440"/>
          </w:tcPr>
          <w:p>
            <w:pPr>
              <w:bidi/>
              <w:jc w:val="center"/>
            </w:pPr>
            <w:r>
              <w:rPr>
                <w:rFonts w:ascii="B Nazanin" w:hAnsi="B Nazanin"/>
                <w:b/>
                <w:sz w:val="20"/>
              </w:rPr>
              <w:t>میانگین</w:t>
            </w:r>
          </w:p>
        </w:tc>
        <w:tc>
          <w:tcPr>
            <w:tcW w:type="dxa" w:w="1440"/>
          </w:tcPr>
          <w:p>
            <w:pPr>
              <w:bidi/>
              <w:jc w:val="center"/>
            </w:pPr>
            <w:r>
              <w:rPr>
                <w:rFonts w:ascii="B Nazanin" w:hAnsi="B Nazanin"/>
                <w:b/>
                <w:sz w:val="20"/>
              </w:rPr>
              <w:t>انحراف استاندارد</w:t>
            </w:r>
          </w:p>
        </w:tc>
        <w:tc>
          <w:tcPr>
            <w:tcW w:type="dxa" w:w="1440"/>
          </w:tcPr>
          <w:p>
            <w:pPr>
              <w:bidi/>
              <w:jc w:val="center"/>
            </w:pPr>
            <w:r>
              <w:rPr>
                <w:rFonts w:ascii="B Nazanin" w:hAnsi="B Nazanin"/>
                <w:b/>
                <w:sz w:val="20"/>
              </w:rPr>
              <w:t>۱</w:t>
            </w:r>
          </w:p>
        </w:tc>
        <w:tc>
          <w:tcPr>
            <w:tcW w:type="dxa" w:w="1440"/>
          </w:tcPr>
          <w:p>
            <w:pPr>
              <w:bidi/>
              <w:jc w:val="center"/>
            </w:pPr>
            <w:r>
              <w:rPr>
                <w:rFonts w:ascii="B Nazanin" w:hAnsi="B Nazanin"/>
                <w:b/>
                <w:sz w:val="20"/>
              </w:rPr>
              <w:t>۲</w:t>
            </w:r>
          </w:p>
        </w:tc>
        <w:tc>
          <w:tcPr>
            <w:tcW w:type="dxa" w:w="1440"/>
          </w:tcPr>
          <w:p>
            <w:pPr>
              <w:bidi/>
              <w:jc w:val="center"/>
            </w:pPr>
            <w:r>
              <w:rPr>
                <w:rFonts w:ascii="B Nazanin" w:hAnsi="B Nazanin"/>
                <w:b/>
                <w:sz w:val="20"/>
              </w:rPr>
              <w:t>۳</w:t>
            </w:r>
          </w:p>
        </w:tc>
      </w:tr>
      <w:tr>
        <w:tc>
          <w:tcPr>
            <w:tcW w:type="dxa" w:w="1440"/>
          </w:tcPr>
          <w:p>
            <w:pPr>
              <w:bidi/>
              <w:jc w:val="center"/>
            </w:pPr>
            <w:r>
              <w:rPr>
                <w:rFonts w:ascii="Times New Roman" w:hAnsi="Times New Roman"/>
                <w:sz w:val="20"/>
              </w:rPr>
              <w:t>۱. فرسودگی شغلی</w:t>
            </w:r>
          </w:p>
        </w:tc>
        <w:tc>
          <w:tcPr>
            <w:tcW w:type="dxa" w:w="1440"/>
          </w:tcPr>
          <w:p>
            <w:pPr>
              <w:bidi/>
              <w:jc w:val="center"/>
            </w:pPr>
            <w:r>
              <w:rPr>
                <w:rFonts w:ascii="Times New Roman" w:hAnsi="Times New Roman"/>
                <w:sz w:val="20"/>
              </w:rPr>
              <w:t>۳.۱۷</w:t>
            </w:r>
          </w:p>
        </w:tc>
        <w:tc>
          <w:tcPr>
            <w:tcW w:type="dxa" w:w="1440"/>
          </w:tcPr>
          <w:p>
            <w:pPr>
              <w:bidi/>
              <w:jc w:val="center"/>
            </w:pPr>
            <w:r>
              <w:rPr>
                <w:rFonts w:ascii="Times New Roman" w:hAnsi="Times New Roman"/>
                <w:sz w:val="20"/>
              </w:rPr>
              <w:t>۰.۶۷</w:t>
            </w:r>
          </w:p>
        </w:tc>
        <w:tc>
          <w:tcPr>
            <w:tcW w:type="dxa" w:w="1440"/>
          </w:tcPr>
          <w:p>
            <w:pPr>
              <w:bidi/>
              <w:jc w:val="center"/>
            </w:pPr>
            <w:r>
              <w:rPr>
                <w:rFonts w:ascii="Times New Roman" w:hAnsi="Times New Roman"/>
                <w:sz w:val="20"/>
              </w:rPr>
              <w:t>۱</w:t>
            </w:r>
          </w:p>
        </w:tc>
        <w:tc>
          <w:tcPr>
            <w:tcW w:type="dxa" w:w="1440"/>
          </w:tcPr>
          <w:p>
            <w:pPr>
              <w:bidi/>
              <w:jc w:val="center"/>
            </w:pPr>
            <w:r>
              <w:rPr>
                <w:rFonts w:ascii="B Nazanin" w:hAnsi="B Nazanin"/>
                <w:sz w:val="20"/>
              </w:rPr>
              <w:t>—</w:t>
            </w:r>
          </w:p>
        </w:tc>
        <w:tc>
          <w:tcPr>
            <w:tcW w:type="dxa" w:w="1440"/>
          </w:tcPr>
          <w:p>
            <w:pPr>
              <w:bidi/>
              <w:jc w:val="center"/>
            </w:pPr>
            <w:r>
              <w:rPr>
                <w:rFonts w:ascii="B Nazanin" w:hAnsi="B Nazanin"/>
                <w:sz w:val="20"/>
              </w:rPr>
              <w:t>—</w:t>
            </w:r>
          </w:p>
        </w:tc>
      </w:tr>
      <w:tr>
        <w:tc>
          <w:tcPr>
            <w:tcW w:type="dxa" w:w="1440"/>
          </w:tcPr>
          <w:p>
            <w:pPr>
              <w:bidi/>
              <w:jc w:val="center"/>
            </w:pPr>
            <w:r>
              <w:rPr>
                <w:rFonts w:ascii="Times New Roman" w:hAnsi="Times New Roman"/>
                <w:sz w:val="20"/>
              </w:rPr>
              <w:t>۲. استرس شغلی</w:t>
            </w:r>
          </w:p>
        </w:tc>
        <w:tc>
          <w:tcPr>
            <w:tcW w:type="dxa" w:w="1440"/>
          </w:tcPr>
          <w:p>
            <w:pPr>
              <w:bidi/>
              <w:jc w:val="center"/>
            </w:pPr>
            <w:r>
              <w:rPr>
                <w:rFonts w:ascii="Times New Roman" w:hAnsi="Times New Roman"/>
                <w:sz w:val="20"/>
              </w:rPr>
              <w:t>۳.۳۶</w:t>
            </w:r>
          </w:p>
        </w:tc>
        <w:tc>
          <w:tcPr>
            <w:tcW w:type="dxa" w:w="1440"/>
          </w:tcPr>
          <w:p>
            <w:pPr>
              <w:bidi/>
              <w:jc w:val="center"/>
            </w:pPr>
            <w:r>
              <w:rPr>
                <w:rFonts w:ascii="Times New Roman" w:hAnsi="Times New Roman"/>
                <w:sz w:val="20"/>
              </w:rPr>
              <w:t>۰.۶۷</w:t>
            </w:r>
          </w:p>
        </w:tc>
        <w:tc>
          <w:tcPr>
            <w:tcW w:type="dxa" w:w="1440"/>
          </w:tcPr>
          <w:p>
            <w:pPr>
              <w:bidi/>
              <w:jc w:val="center"/>
            </w:pPr>
            <w:r>
              <w:rPr>
                <w:rFonts w:ascii="Times New Roman" w:hAnsi="Times New Roman"/>
                <w:sz w:val="20"/>
              </w:rPr>
              <w:t>۰.۵۵***</w:t>
            </w:r>
          </w:p>
        </w:tc>
        <w:tc>
          <w:tcPr>
            <w:tcW w:type="dxa" w:w="1440"/>
          </w:tcPr>
          <w:p>
            <w:pPr>
              <w:bidi/>
              <w:jc w:val="center"/>
            </w:pPr>
            <w:r>
              <w:rPr>
                <w:rFonts w:ascii="Times New Roman" w:hAnsi="Times New Roman"/>
                <w:sz w:val="20"/>
              </w:rPr>
              <w:t>۱</w:t>
            </w:r>
          </w:p>
        </w:tc>
        <w:tc>
          <w:tcPr>
            <w:tcW w:type="dxa" w:w="1440"/>
          </w:tcPr>
          <w:p>
            <w:pPr>
              <w:bidi/>
              <w:jc w:val="center"/>
            </w:pPr>
            <w:r>
              <w:rPr>
                <w:rFonts w:ascii="B Nazanin" w:hAnsi="B Nazanin"/>
                <w:sz w:val="20"/>
              </w:rPr>
              <w:t>—</w:t>
            </w:r>
          </w:p>
        </w:tc>
      </w:tr>
      <w:tr>
        <w:tc>
          <w:tcPr>
            <w:tcW w:type="dxa" w:w="1440"/>
          </w:tcPr>
          <w:p>
            <w:pPr>
              <w:bidi/>
              <w:jc w:val="center"/>
            </w:pPr>
            <w:r>
              <w:rPr>
                <w:rFonts w:ascii="Times New Roman" w:hAnsi="Times New Roman"/>
                <w:sz w:val="20"/>
              </w:rPr>
              <w:t>۳. انعطاف‌پذیری روان‌شناختی</w:t>
            </w:r>
          </w:p>
        </w:tc>
        <w:tc>
          <w:tcPr>
            <w:tcW w:type="dxa" w:w="1440"/>
          </w:tcPr>
          <w:p>
            <w:pPr>
              <w:bidi/>
              <w:jc w:val="center"/>
            </w:pPr>
            <w:r>
              <w:rPr>
                <w:rFonts w:ascii="Times New Roman" w:hAnsi="Times New Roman"/>
                <w:sz w:val="20"/>
              </w:rPr>
              <w:t>۳.۳۶</w:t>
            </w:r>
          </w:p>
        </w:tc>
        <w:tc>
          <w:tcPr>
            <w:tcW w:type="dxa" w:w="1440"/>
          </w:tcPr>
          <w:p>
            <w:pPr>
              <w:bidi/>
              <w:jc w:val="center"/>
            </w:pPr>
            <w:r>
              <w:rPr>
                <w:rFonts w:ascii="Times New Roman" w:hAnsi="Times New Roman"/>
                <w:sz w:val="20"/>
              </w:rPr>
              <w:t>۰.۶۳</w:t>
            </w:r>
          </w:p>
        </w:tc>
        <w:tc>
          <w:tcPr>
            <w:tcW w:type="dxa" w:w="1440"/>
          </w:tcPr>
          <w:p>
            <w:pPr>
              <w:bidi/>
              <w:jc w:val="center"/>
            </w:pPr>
            <w:r>
              <w:rPr>
                <w:rFonts w:ascii="Times New Roman" w:hAnsi="Times New Roman"/>
                <w:sz w:val="20"/>
              </w:rPr>
              <w:t>۰.۴۶-***</w:t>
            </w:r>
          </w:p>
        </w:tc>
        <w:tc>
          <w:tcPr>
            <w:tcW w:type="dxa" w:w="1440"/>
          </w:tcPr>
          <w:p>
            <w:pPr>
              <w:bidi/>
              <w:jc w:val="center"/>
            </w:pPr>
            <w:r>
              <w:rPr>
                <w:rFonts w:ascii="Times New Roman" w:hAnsi="Times New Roman"/>
                <w:sz w:val="20"/>
              </w:rPr>
              <w:t>۰.۲۷-**</w:t>
            </w:r>
          </w:p>
        </w:tc>
        <w:tc>
          <w:tcPr>
            <w:tcW w:type="dxa" w:w="1440"/>
          </w:tcPr>
          <w:p>
            <w:pPr>
              <w:bidi/>
              <w:jc w:val="center"/>
            </w:pPr>
            <w:r>
              <w:rPr>
                <w:rFonts w:ascii="Times New Roman" w:hAnsi="Times New Roman"/>
                <w:sz w:val="20"/>
              </w:rPr>
              <w:t>۱</w:t>
            </w:r>
          </w:p>
        </w:tc>
      </w:tr>
    </w:tbl>
    <w:p>
      <w:pPr>
        <w:bidi/>
        <w:jc w:val="both"/>
      </w:pPr>
      <w:r>
        <w:rPr>
          <w:rFonts w:ascii="B Nazanin" w:hAnsi="B Nazanin"/>
          <w:i/>
          <w:sz w:val="20"/>
        </w:rPr>
        <w:t>یادداشت. ۰.۰۱ &gt; **p، ۰.۰۰۱ &gt; ***p.</w:t>
      </w:r>
    </w:p>
    <w:p>
      <w:pPr>
        <w:bidi/>
        <w:jc w:val="both"/>
      </w:pPr>
      <w:r>
        <w:rPr>
          <w:rFonts w:ascii="B Nazanin" w:hAnsi="B Nazanin"/>
          <w:b w:val="0"/>
          <w:i w:val="0"/>
          <w:sz w:val="26"/>
          <w:rFonts w:ascii="B Nazanin" w:hAnsi="B Nazanin" w:cs="B Nazanin"/>
          <w:rtl/>
        </w:rPr>
        <w:t>همان‌گونه که در جدول ۱ مشاهده می‌شود، استرس شغلی با فرسودگی شغلی دارای همبستگی مثبت و معنادار (۰.۰۰۱ &gt; p ،۰.۵۵ = r) است. در مقابل، انعطاف‌پذیری روان‌شناختی با فرسودگی شغلی رابطه منفی و معناداری نشان می‌دهد (۰.۰۰۱ &gt; p ،۰.۴۶- = r). همچنین همبستگی میان دو متغیر پیش‌بین برابر با ۰.۲۷- محاسبه شد که نشان‌دهنده استقلال مفهومی سازه‌ها و عدم هم‌پوشانی هم‌خطی چندگانه بحرانی میان آن‌هاست.</w:t>
      </w:r>
    </w:p>
    <w:p>
      <w:pPr>
        <w:bidi/>
        <w:jc w:val="right"/>
      </w:pPr>
      <w:r>
        <w:rPr>
          <w:rFonts w:ascii="B Titr" w:hAnsi="B Titr"/>
          <w:b/>
          <w:sz w:val="26"/>
          <w:rFonts w:ascii="B Titr" w:hAnsi="B Titr" w:cs="B Titr"/>
          <w:rtl/>
        </w:rPr>
        <w:t>۳. خلاصه مدل رگرسیون و تحلیل واریانس (ANOVA)</w:t>
      </w:r>
    </w:p>
    <w:p>
      <w:pPr>
        <w:bidi/>
        <w:jc w:val="both"/>
      </w:pPr>
      <w:r>
        <w:rPr>
          <w:rFonts w:ascii="B Nazanin" w:hAnsi="B Nazanin"/>
          <w:b w:val="0"/>
          <w:i w:val="0"/>
          <w:sz w:val="26"/>
          <w:rFonts w:ascii="B Nazanin" w:hAnsi="B Nazanin" w:cs="B Nazanin"/>
          <w:rtl/>
        </w:rPr>
        <w:t>به منظور بررسی معناداری کلی مدل رگرسیون و تعیین نسبت واریانس تبیین‌شده فرسودگی شغلی توسط دو متغیر پیش‌بین، آزمون تحلیل واریانس رگرسیون محاسبه شد. جدول ۲ خلاصه مدل رگرسیون و نتایج تحلیل واریانس را نشان می‌دهد.</w:t>
      </w:r>
    </w:p>
    <w:p>
      <w:pPr>
        <w:bidi/>
        <w:jc w:val="right"/>
      </w:pPr>
      <w:r>
        <w:rPr>
          <w:rFonts w:ascii="B Nazanin" w:hAnsi="B Nazanin"/>
          <w:b/>
          <w:sz w:val="22"/>
        </w:rPr>
        <w:t>جدول ۲. خلاصه مدل رگرسیون چندگانه و تحلیل واریانس (ANOVA) پیش‌بینی فرسودگی شغلی (۱۰۰ = N)</w:t>
      </w:r>
    </w:p>
    <w:tbl>
      <w:tblPr>
        <w:tblW w:type="auto" w:w="0"/>
        <w:jc w:val="center"/>
        <w:tblLook w:firstColumn="1" w:firstRow="1" w:lastColumn="0" w:lastRow="0" w:noHBand="0" w:noVBand="1" w:val="04A0"/>
        <w:bidiVisual/>
      </w:tblPr>
      <w:tblGrid>
        <w:gridCol w:w="785"/>
        <w:gridCol w:w="785"/>
        <w:gridCol w:w="785"/>
        <w:gridCol w:w="785"/>
        <w:gridCol w:w="785"/>
        <w:gridCol w:w="785"/>
        <w:gridCol w:w="785"/>
        <w:gridCol w:w="785"/>
        <w:gridCol w:w="785"/>
        <w:gridCol w:w="785"/>
        <w:gridCol w:w="785"/>
      </w:tblGrid>
      <w:tr>
        <w:tc>
          <w:tcPr>
            <w:tcW w:type="dxa" w:w="785"/>
          </w:tcPr>
          <w:p>
            <w:pPr>
              <w:bidi/>
              <w:jc w:val="center"/>
            </w:pPr>
            <w:r>
              <w:rPr>
                <w:rFonts w:ascii="B Nazanin" w:hAnsi="B Nazanin"/>
                <w:b/>
                <w:sz w:val="20"/>
              </w:rPr>
              <w:t>منبع تغییرات</w:t>
            </w:r>
          </w:p>
        </w:tc>
        <w:tc>
          <w:tcPr>
            <w:tcW w:type="dxa" w:w="785"/>
          </w:tcPr>
          <w:p>
            <w:pPr>
              <w:bidi/>
              <w:jc w:val="center"/>
            </w:pPr>
            <w:r>
              <w:rPr>
                <w:rFonts w:ascii="B Nazanin" w:hAnsi="B Nazanin"/>
                <w:b/>
                <w:sz w:val="20"/>
              </w:rPr>
              <w:t>مجموع مجذورات (SS)</w:t>
            </w:r>
          </w:p>
        </w:tc>
        <w:tc>
          <w:tcPr>
            <w:tcW w:type="dxa" w:w="785"/>
          </w:tcPr>
          <w:p>
            <w:pPr>
              <w:bidi/>
              <w:jc w:val="center"/>
            </w:pPr>
            <w:r>
              <w:rPr>
                <w:rFonts w:ascii="B Nazanin" w:hAnsi="B Nazanin"/>
                <w:b/>
                <w:sz w:val="20"/>
              </w:rPr>
              <w:t>درجه آزادی (df)</w:t>
            </w:r>
          </w:p>
        </w:tc>
        <w:tc>
          <w:tcPr>
            <w:tcW w:type="dxa" w:w="785"/>
          </w:tcPr>
          <w:p>
            <w:pPr>
              <w:bidi/>
              <w:jc w:val="center"/>
            </w:pPr>
            <w:r>
              <w:rPr>
                <w:rFonts w:ascii="B Nazanin" w:hAnsi="B Nazanin"/>
                <w:b/>
                <w:sz w:val="20"/>
              </w:rPr>
              <w:t>میانگین مجذورات (MS)</w:t>
            </w:r>
          </w:p>
        </w:tc>
        <w:tc>
          <w:tcPr>
            <w:tcW w:type="dxa" w:w="785"/>
          </w:tcPr>
          <w:p>
            <w:pPr>
              <w:bidi/>
              <w:jc w:val="center"/>
            </w:pPr>
            <w:r>
              <w:rPr>
                <w:rFonts w:ascii="B Nazanin" w:hAnsi="B Nazanin"/>
                <w:b/>
                <w:sz w:val="20"/>
              </w:rPr>
              <w:t>F</w:t>
            </w:r>
          </w:p>
        </w:tc>
        <w:tc>
          <w:tcPr>
            <w:tcW w:type="dxa" w:w="785"/>
          </w:tcPr>
          <w:p>
            <w:pPr>
              <w:bidi/>
              <w:jc w:val="center"/>
            </w:pPr>
            <w:r>
              <w:rPr>
                <w:rFonts w:ascii="B Nazanin" w:hAnsi="B Nazanin"/>
                <w:b/>
                <w:sz w:val="20"/>
              </w:rPr>
              <w:t>سطح معناداری (p)</w:t>
            </w:r>
          </w:p>
        </w:tc>
        <w:tc>
          <w:tcPr>
            <w:tcW w:type="dxa" w:w="785"/>
          </w:tcPr>
          <w:p>
            <w:pPr>
              <w:bidi/>
              <w:jc w:val="center"/>
            </w:pPr>
            <w:r>
              <w:rPr>
                <w:rFonts w:ascii="B Nazanin" w:hAnsi="B Nazanin"/>
                <w:b/>
                <w:sz w:val="20"/>
              </w:rPr>
              <w:t>R</w:t>
            </w:r>
          </w:p>
        </w:tc>
        <w:tc>
          <w:tcPr>
            <w:tcW w:type="dxa" w:w="785"/>
          </w:tcPr>
          <w:p>
            <w:pPr>
              <w:bidi/>
              <w:jc w:val="center"/>
            </w:pPr>
            <w:r>
              <w:rPr>
                <w:rFonts w:ascii="B Nazanin" w:hAnsi="B Nazanin"/>
                <w:b/>
                <w:sz w:val="20"/>
              </w:rPr>
              <w:t>R²</w:t>
            </w:r>
          </w:p>
        </w:tc>
        <w:tc>
          <w:tcPr>
            <w:tcW w:type="dxa" w:w="785"/>
          </w:tcPr>
          <w:p>
            <w:pPr>
              <w:bidi/>
              <w:jc w:val="center"/>
            </w:pPr>
            <w:r>
              <w:rPr>
                <w:rFonts w:ascii="B Nazanin" w:hAnsi="B Nazanin"/>
                <w:b/>
                <w:sz w:val="20"/>
              </w:rPr>
              <w:t>R² تعدیل‌شده</w:t>
            </w:r>
          </w:p>
        </w:tc>
        <w:tc>
          <w:tcPr>
            <w:tcW w:type="dxa" w:w="785"/>
          </w:tcPr>
          <w:p>
            <w:pPr>
              <w:bidi/>
              <w:jc w:val="center"/>
            </w:pPr>
            <w:r>
              <w:rPr>
                <w:rFonts w:ascii="B Nazanin" w:hAnsi="B Nazanin"/>
                <w:b/>
                <w:sz w:val="20"/>
              </w:rPr>
              <w:t>خطای معیار</w:t>
            </w:r>
          </w:p>
        </w:tc>
        <w:tc>
          <w:tcPr>
            <w:tcW w:type="dxa" w:w="785"/>
          </w:tcPr>
          <w:p>
            <w:pPr>
              <w:bidi/>
              <w:jc w:val="center"/>
            </w:pPr>
            <w:r>
              <w:rPr>
                <w:rFonts w:ascii="B Nazanin" w:hAnsi="B Nazanin"/>
                <w:b/>
                <w:sz w:val="20"/>
              </w:rPr>
              <w:t>دوربین-واتسون</w:t>
            </w:r>
          </w:p>
        </w:tc>
      </w:tr>
      <w:tr>
        <w:tc>
          <w:tcPr>
            <w:tcW w:type="dxa" w:w="785"/>
          </w:tcPr>
          <w:p>
            <w:pPr>
              <w:bidi/>
              <w:jc w:val="center"/>
            </w:pPr>
            <w:r>
              <w:rPr>
                <w:rFonts w:ascii="B Nazanin" w:hAnsi="B Nazanin"/>
                <w:sz w:val="20"/>
              </w:rPr>
              <w:t>رگرسیون</w:t>
            </w:r>
          </w:p>
        </w:tc>
        <w:tc>
          <w:tcPr>
            <w:tcW w:type="dxa" w:w="785"/>
          </w:tcPr>
          <w:p>
            <w:pPr>
              <w:bidi/>
              <w:jc w:val="center"/>
            </w:pPr>
            <w:r>
              <w:rPr>
                <w:rFonts w:ascii="Times New Roman" w:hAnsi="Times New Roman"/>
                <w:sz w:val="20"/>
              </w:rPr>
              <w:t>۱۸.۷۰۸</w:t>
            </w:r>
          </w:p>
        </w:tc>
        <w:tc>
          <w:tcPr>
            <w:tcW w:type="dxa" w:w="785"/>
          </w:tcPr>
          <w:p>
            <w:pPr>
              <w:bidi/>
              <w:jc w:val="center"/>
            </w:pPr>
            <w:r>
              <w:rPr>
                <w:rFonts w:ascii="Times New Roman" w:hAnsi="Times New Roman"/>
                <w:sz w:val="20"/>
              </w:rPr>
              <w:t>۲</w:t>
            </w:r>
          </w:p>
        </w:tc>
        <w:tc>
          <w:tcPr>
            <w:tcW w:type="dxa" w:w="785"/>
          </w:tcPr>
          <w:p>
            <w:pPr>
              <w:bidi/>
              <w:jc w:val="center"/>
            </w:pPr>
            <w:r>
              <w:rPr>
                <w:rFonts w:ascii="Times New Roman" w:hAnsi="Times New Roman"/>
                <w:sz w:val="20"/>
              </w:rPr>
              <w:t>۹.۳۵۴</w:t>
            </w:r>
          </w:p>
        </w:tc>
        <w:tc>
          <w:tcPr>
            <w:tcW w:type="dxa" w:w="785"/>
          </w:tcPr>
          <w:p>
            <w:pPr>
              <w:bidi/>
              <w:jc w:val="center"/>
            </w:pPr>
            <w:r>
              <w:rPr>
                <w:rFonts w:ascii="Times New Roman" w:hAnsi="Times New Roman"/>
                <w:sz w:val="20"/>
              </w:rPr>
              <w:t>34.389</w:t>
            </w:r>
          </w:p>
        </w:tc>
        <w:tc>
          <w:tcPr>
            <w:tcW w:type="dxa" w:w="785"/>
          </w:tcPr>
          <w:p>
            <w:pPr>
              <w:bidi/>
              <w:jc w:val="center"/>
            </w:pPr>
            <w:r>
              <w:rPr>
                <w:rFonts w:ascii="Times New Roman" w:hAnsi="Times New Roman"/>
                <w:sz w:val="20"/>
              </w:rPr>
              <w:t>۰.۰۰۱ &gt; p</w:t>
            </w:r>
          </w:p>
        </w:tc>
        <w:tc>
          <w:tcPr>
            <w:tcW w:type="dxa" w:w="785"/>
          </w:tcPr>
          <w:p>
            <w:pPr>
              <w:bidi/>
              <w:jc w:val="center"/>
            </w:pPr>
            <w:r>
              <w:rPr>
                <w:rFonts w:ascii="Times New Roman" w:hAnsi="Times New Roman"/>
                <w:sz w:val="20"/>
              </w:rPr>
              <w:t>۰.۶۴۴</w:t>
            </w:r>
          </w:p>
        </w:tc>
        <w:tc>
          <w:tcPr>
            <w:tcW w:type="dxa" w:w="785"/>
          </w:tcPr>
          <w:p>
            <w:pPr>
              <w:bidi/>
              <w:jc w:val="center"/>
            </w:pPr>
            <w:r>
              <w:rPr>
                <w:rFonts w:ascii="Times New Roman" w:hAnsi="Times New Roman"/>
                <w:sz w:val="20"/>
              </w:rPr>
              <w:t>0.415</w:t>
            </w:r>
          </w:p>
        </w:tc>
        <w:tc>
          <w:tcPr>
            <w:tcW w:type="dxa" w:w="785"/>
          </w:tcPr>
          <w:p>
            <w:pPr>
              <w:bidi/>
              <w:jc w:val="center"/>
            </w:pPr>
            <w:r>
              <w:rPr>
                <w:rFonts w:ascii="Times New Roman" w:hAnsi="Times New Roman"/>
                <w:sz w:val="20"/>
              </w:rPr>
              <w:t>۰.۴۰۳</w:t>
            </w:r>
          </w:p>
        </w:tc>
        <w:tc>
          <w:tcPr>
            <w:tcW w:type="dxa" w:w="785"/>
          </w:tcPr>
          <w:p>
            <w:pPr>
              <w:bidi/>
              <w:jc w:val="center"/>
            </w:pPr>
            <w:r>
              <w:rPr>
                <w:rFonts w:ascii="Times New Roman" w:hAnsi="Times New Roman"/>
                <w:sz w:val="20"/>
              </w:rPr>
              <w:t>۰.۵۲۲</w:t>
            </w:r>
          </w:p>
        </w:tc>
        <w:tc>
          <w:tcPr>
            <w:tcW w:type="dxa" w:w="785"/>
          </w:tcPr>
          <w:p>
            <w:pPr>
              <w:bidi/>
              <w:jc w:val="center"/>
            </w:pPr>
            <w:r>
              <w:rPr>
                <w:rFonts w:ascii="Times New Roman" w:hAnsi="Times New Roman"/>
                <w:sz w:val="20"/>
              </w:rPr>
              <w:t>۲.۱۱۵</w:t>
            </w:r>
          </w:p>
        </w:tc>
      </w:tr>
      <w:tr>
        <w:tc>
          <w:tcPr>
            <w:tcW w:type="dxa" w:w="785"/>
          </w:tcPr>
          <w:p>
            <w:pPr>
              <w:bidi/>
              <w:jc w:val="center"/>
            </w:pPr>
            <w:r>
              <w:rPr>
                <w:rFonts w:ascii="B Nazanin" w:hAnsi="B Nazanin"/>
                <w:sz w:val="20"/>
              </w:rPr>
              <w:t>باقی‌مانده</w:t>
            </w:r>
          </w:p>
        </w:tc>
        <w:tc>
          <w:tcPr>
            <w:tcW w:type="dxa" w:w="785"/>
          </w:tcPr>
          <w:p>
            <w:pPr>
              <w:bidi/>
              <w:jc w:val="center"/>
            </w:pPr>
            <w:r>
              <w:rPr>
                <w:rFonts w:ascii="Times New Roman" w:hAnsi="Times New Roman"/>
                <w:sz w:val="20"/>
              </w:rPr>
              <w:t>۲۶.۳۸۵</w:t>
            </w:r>
          </w:p>
        </w:tc>
        <w:tc>
          <w:tcPr>
            <w:tcW w:type="dxa" w:w="785"/>
          </w:tcPr>
          <w:p>
            <w:pPr>
              <w:bidi/>
              <w:jc w:val="center"/>
            </w:pPr>
            <w:r>
              <w:rPr>
                <w:rFonts w:ascii="Times New Roman" w:hAnsi="Times New Roman"/>
                <w:sz w:val="20"/>
              </w:rPr>
              <w:t>۹۷</w:t>
            </w:r>
          </w:p>
        </w:tc>
        <w:tc>
          <w:tcPr>
            <w:tcW w:type="dxa" w:w="785"/>
          </w:tcPr>
          <w:p>
            <w:pPr>
              <w:bidi/>
              <w:jc w:val="center"/>
            </w:pPr>
            <w:r>
              <w:rPr>
                <w:rFonts w:ascii="Times New Roman" w:hAnsi="Times New Roman"/>
                <w:sz w:val="20"/>
              </w:rPr>
              <w:t>۰.۲۷۲</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r>
      <w:tr>
        <w:tc>
          <w:tcPr>
            <w:tcW w:type="dxa" w:w="785"/>
          </w:tcPr>
          <w:p>
            <w:pPr>
              <w:bidi/>
              <w:jc w:val="center"/>
            </w:pPr>
            <w:r>
              <w:rPr>
                <w:rFonts w:ascii="B Nazanin" w:hAnsi="B Nazanin"/>
                <w:sz w:val="20"/>
              </w:rPr>
              <w:t>کل</w:t>
            </w:r>
          </w:p>
        </w:tc>
        <w:tc>
          <w:tcPr>
            <w:tcW w:type="dxa" w:w="785"/>
          </w:tcPr>
          <w:p>
            <w:pPr>
              <w:bidi/>
              <w:jc w:val="center"/>
            </w:pPr>
            <w:r>
              <w:rPr>
                <w:rFonts w:ascii="Times New Roman" w:hAnsi="Times New Roman"/>
                <w:sz w:val="20"/>
              </w:rPr>
              <w:t>۴۵.۰۹۲</w:t>
            </w:r>
          </w:p>
        </w:tc>
        <w:tc>
          <w:tcPr>
            <w:tcW w:type="dxa" w:w="785"/>
          </w:tcPr>
          <w:p>
            <w:pPr>
              <w:bidi/>
              <w:jc w:val="center"/>
            </w:pPr>
            <w:r>
              <w:rPr>
                <w:rFonts w:ascii="Times New Roman" w:hAnsi="Times New Roman"/>
                <w:sz w:val="20"/>
              </w:rPr>
              <w:t>۹۹</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c>
          <w:tcPr>
            <w:tcW w:type="dxa" w:w="785"/>
          </w:tcPr>
          <w:p>
            <w:pPr>
              <w:bidi/>
              <w:jc w:val="center"/>
            </w:pPr>
            <w:r>
              <w:rPr>
                <w:rFonts w:ascii="B Nazanin" w:hAnsi="B Nazanin"/>
                <w:sz w:val="20"/>
              </w:rPr>
              <w:t>—</w:t>
            </w:r>
          </w:p>
        </w:tc>
      </w:tr>
    </w:tbl>
    <w:p>
      <w:pPr>
        <w:bidi/>
        <w:jc w:val="both"/>
      </w:pPr>
      <w:r>
        <w:rPr>
          <w:rFonts w:ascii="B Nazanin" w:hAnsi="B Nazanin"/>
          <w:i/>
          <w:sz w:val="20"/>
        </w:rPr>
        <w:t>یادداشت. متغیر ملاک: فرسودگی شغلی. متغیرهای پیش‌بین: استرس شغلی، انعطاف‌پذیری روان‌شناختی.</w:t>
      </w:r>
    </w:p>
    <w:p>
      <w:pPr>
        <w:bidi/>
        <w:jc w:val="both"/>
      </w:pPr>
      <w:r>
        <w:rPr>
          <w:rFonts w:ascii="B Nazanin" w:hAnsi="B Nazanin"/>
          <w:b w:val="0"/>
          <w:i w:val="0"/>
          <w:sz w:val="26"/>
          <w:rFonts w:ascii="B Nazanin" w:hAnsi="B Nazanin" w:cs="B Nazanin"/>
          <w:rtl/>
        </w:rPr>
        <w:t>یافته‌های مندرج در جدول ۲ نشان می‌دهد که مدل رگرسیونی کلی با اطمینان ۹۹ درصد از لحاظ آماری معنادار است (34.389 = (۹۷ ،۲)F، ۰.۰۰۱ &gt; p). ضریب همبستگی چندگانه برابر با ۰.۶۴۴ و ضریب تعیین برابر با 0.415 به دست آمد؛ بدین معنا که ۴۱.۵ درصد از کل واریانس و تغییرات فرسودگی شغلی کارکنان توسط مجموعه متغیرهای استرس شغلی و انعطاف‌پذیری روان‌شناختی تبیین می‌گردد. مقدار آماره دوربین-واتسون (۲.۱۱۵) در دامنه مطلوب بین ۱.۵ تا ۲.۵ قرار دارد که حاکی از استقلال خطاهای برآورد و فقدان خودهمبستگی باقیمانده‌ها است.</w:t>
      </w:r>
    </w:p>
    <w:p>
      <w:pPr>
        <w:bidi/>
        <w:jc w:val="right"/>
      </w:pPr>
      <w:r>
        <w:rPr>
          <w:rFonts w:ascii="B Titr" w:hAnsi="B Titr"/>
          <w:b/>
          <w:sz w:val="26"/>
          <w:rFonts w:ascii="B Titr" w:hAnsi="B Titr" w:cs="B Titr"/>
          <w:rtl/>
        </w:rPr>
        <w:t>۴. ضرایب رگرسیون و شاخص‌های هم‌خطی</w:t>
      </w:r>
    </w:p>
    <w:p>
      <w:pPr>
        <w:bidi/>
        <w:jc w:val="both"/>
      </w:pPr>
      <w:r>
        <w:rPr>
          <w:rFonts w:ascii="B Nazanin" w:hAnsi="B Nazanin"/>
          <w:b w:val="0"/>
          <w:i w:val="0"/>
          <w:sz w:val="26"/>
          <w:rFonts w:ascii="B Nazanin" w:hAnsi="B Nazanin" w:cs="B Nazanin"/>
          <w:rtl/>
        </w:rPr>
        <w:t>به منظور ارزیابی سهم اختصاصی هر یک از متغیرهای پیش‌بین در پیش‌بینی فرسودگی شغلی، ضرایب غیراستاندارد (B)، خطای معیار (SE)، ضرایب استاندارد (β)، مقدار آماره t، فاصله اطمینان ۹۵ درصد و شاخص‌های هم‌خطی (Tolerance و VIF) در جدول ۳ گزارش شده است.</w:t>
      </w:r>
    </w:p>
    <w:p>
      <w:pPr>
        <w:bidi/>
        <w:jc w:val="right"/>
      </w:pPr>
      <w:r>
        <w:rPr>
          <w:rFonts w:ascii="B Nazanin" w:hAnsi="B Nazanin"/>
          <w:b/>
          <w:sz w:val="22"/>
        </w:rPr>
        <w:t>جدول ۳. ضرایب رگرسیون چندگانه و شاخص‌های هم‌خطی متغیرهای پیش‌بین فرسودگی شغلی (۱۰۰ = N)</w:t>
      </w:r>
    </w:p>
    <w:tbl>
      <w:tblPr>
        <w:tblW w:type="auto" w:w="0"/>
        <w:jc w:val="center"/>
        <w:tblLook w:firstColumn="1" w:firstRow="1" w:lastColumn="0" w:lastRow="0" w:noHBand="0" w:noVBand="1" w:val="04A0"/>
        <w:bidiVisual/>
      </w:tblPr>
      <w:tblGrid>
        <w:gridCol w:w="960"/>
        <w:gridCol w:w="960"/>
        <w:gridCol w:w="960"/>
        <w:gridCol w:w="960"/>
        <w:gridCol w:w="960"/>
        <w:gridCol w:w="960"/>
        <w:gridCol w:w="960"/>
        <w:gridCol w:w="960"/>
        <w:gridCol w:w="960"/>
      </w:tblGrid>
      <w:tr>
        <w:tc>
          <w:tcPr>
            <w:tcW w:type="dxa" w:w="960"/>
          </w:tcPr>
          <w:p>
            <w:pPr>
              <w:bidi/>
              <w:jc w:val="center"/>
            </w:pPr>
            <w:r>
              <w:rPr>
                <w:rFonts w:ascii="B Nazanin" w:hAnsi="B Nazanin"/>
                <w:b/>
                <w:sz w:val="20"/>
              </w:rPr>
              <w:t>متغیرهای مدل</w:t>
            </w:r>
          </w:p>
        </w:tc>
        <w:tc>
          <w:tcPr>
            <w:tcW w:type="dxa" w:w="960"/>
          </w:tcPr>
          <w:p>
            <w:pPr>
              <w:bidi/>
              <w:jc w:val="center"/>
            </w:pPr>
            <w:r>
              <w:rPr>
                <w:rFonts w:ascii="B Nazanin" w:hAnsi="B Nazanin"/>
                <w:b/>
                <w:sz w:val="20"/>
              </w:rPr>
              <w:t>B</w:t>
            </w:r>
          </w:p>
        </w:tc>
        <w:tc>
          <w:tcPr>
            <w:tcW w:type="dxa" w:w="960"/>
          </w:tcPr>
          <w:p>
            <w:pPr>
              <w:bidi/>
              <w:jc w:val="center"/>
            </w:pPr>
            <w:r>
              <w:rPr>
                <w:rFonts w:ascii="B Nazanin" w:hAnsi="B Nazanin"/>
                <w:b/>
                <w:sz w:val="20"/>
              </w:rPr>
              <w:t>SE</w:t>
            </w:r>
          </w:p>
        </w:tc>
        <w:tc>
          <w:tcPr>
            <w:tcW w:type="dxa" w:w="960"/>
          </w:tcPr>
          <w:p>
            <w:pPr>
              <w:bidi/>
              <w:jc w:val="center"/>
            </w:pPr>
            <w:r>
              <w:rPr>
                <w:rFonts w:ascii="B Nazanin" w:hAnsi="B Nazanin"/>
                <w:b/>
                <w:sz w:val="20"/>
              </w:rPr>
              <w:t>β</w:t>
            </w:r>
          </w:p>
        </w:tc>
        <w:tc>
          <w:tcPr>
            <w:tcW w:type="dxa" w:w="960"/>
          </w:tcPr>
          <w:p>
            <w:pPr>
              <w:bidi/>
              <w:jc w:val="center"/>
            </w:pPr>
            <w:r>
              <w:rPr>
                <w:rFonts w:ascii="B Nazanin" w:hAnsi="B Nazanin"/>
                <w:b/>
                <w:sz w:val="20"/>
              </w:rPr>
              <w:t>t</w:t>
            </w:r>
          </w:p>
        </w:tc>
        <w:tc>
          <w:tcPr>
            <w:tcW w:type="dxa" w:w="960"/>
          </w:tcPr>
          <w:p>
            <w:pPr>
              <w:bidi/>
              <w:jc w:val="center"/>
            </w:pPr>
            <w:r>
              <w:rPr>
                <w:rFonts w:ascii="B Nazanin" w:hAnsi="B Nazanin"/>
                <w:b/>
                <w:sz w:val="20"/>
              </w:rPr>
              <w:t>سطح معناداری (p)</w:t>
            </w:r>
          </w:p>
        </w:tc>
        <w:tc>
          <w:tcPr>
            <w:tcW w:type="dxa" w:w="960"/>
          </w:tcPr>
          <w:p>
            <w:pPr>
              <w:bidi/>
              <w:jc w:val="center"/>
            </w:pPr>
            <w:r>
              <w:rPr>
                <w:rFonts w:ascii="B Nazanin" w:hAnsi="B Nazanin"/>
                <w:b/>
                <w:sz w:val="20"/>
              </w:rPr>
              <w:t>فاصله اطمینان ۹۵٪</w:t>
            </w:r>
          </w:p>
        </w:tc>
        <w:tc>
          <w:tcPr>
            <w:tcW w:type="dxa" w:w="960"/>
          </w:tcPr>
          <w:p>
            <w:pPr>
              <w:bidi/>
              <w:jc w:val="center"/>
            </w:pPr>
            <w:r>
              <w:rPr>
                <w:rFonts w:ascii="B Nazanin" w:hAnsi="B Nazanin"/>
                <w:b/>
                <w:sz w:val="20"/>
              </w:rPr>
              <w:t>تولرانس</w:t>
            </w:r>
          </w:p>
        </w:tc>
        <w:tc>
          <w:tcPr>
            <w:tcW w:type="dxa" w:w="960"/>
          </w:tcPr>
          <w:p>
            <w:pPr>
              <w:bidi/>
              <w:jc w:val="center"/>
            </w:pPr>
            <w:r>
              <w:rPr>
                <w:rFonts w:ascii="B Nazanin" w:hAnsi="B Nazanin"/>
                <w:b/>
                <w:sz w:val="20"/>
              </w:rPr>
              <w:t>VIF</w:t>
            </w:r>
          </w:p>
        </w:tc>
      </w:tr>
      <w:tr>
        <w:tc>
          <w:tcPr>
            <w:tcW w:type="dxa" w:w="960"/>
          </w:tcPr>
          <w:p>
            <w:pPr>
              <w:bidi/>
              <w:jc w:val="center"/>
            </w:pPr>
            <w:r>
              <w:rPr>
                <w:rFonts w:ascii="B Nazanin" w:hAnsi="B Nazanin"/>
                <w:sz w:val="20"/>
              </w:rPr>
              <w:t>مقدار ثابت</w:t>
            </w:r>
          </w:p>
        </w:tc>
        <w:tc>
          <w:tcPr>
            <w:tcW w:type="dxa" w:w="960"/>
          </w:tcPr>
          <w:p>
            <w:pPr>
              <w:bidi/>
              <w:jc w:val="center"/>
            </w:pPr>
            <w:r>
              <w:rPr>
                <w:rFonts w:ascii="Times New Roman" w:hAnsi="Times New Roman"/>
                <w:sz w:val="20"/>
              </w:rPr>
              <w:t>۲.۸۲۴</w:t>
            </w:r>
          </w:p>
        </w:tc>
        <w:tc>
          <w:tcPr>
            <w:tcW w:type="dxa" w:w="960"/>
          </w:tcPr>
          <w:p>
            <w:pPr>
              <w:bidi/>
              <w:jc w:val="center"/>
            </w:pPr>
            <w:r>
              <w:rPr>
                <w:rFonts w:ascii="Times New Roman" w:hAnsi="Times New Roman"/>
                <w:sz w:val="20"/>
              </w:rPr>
              <w:t>۰.۴۴۹</w:t>
            </w:r>
          </w:p>
        </w:tc>
        <w:tc>
          <w:tcPr>
            <w:tcW w:type="dxa" w:w="960"/>
          </w:tcPr>
          <w:p>
            <w:pPr>
              <w:bidi/>
              <w:jc w:val="center"/>
            </w:pPr>
            <w:r>
              <w:rPr>
                <w:rFonts w:ascii="B Nazanin" w:hAnsi="B Nazanin"/>
                <w:sz w:val="20"/>
              </w:rPr>
              <w:t>—</w:t>
            </w:r>
          </w:p>
        </w:tc>
        <w:tc>
          <w:tcPr>
            <w:tcW w:type="dxa" w:w="960"/>
          </w:tcPr>
          <w:p>
            <w:pPr>
              <w:bidi/>
              <w:jc w:val="center"/>
            </w:pPr>
            <w:r>
              <w:rPr>
                <w:rFonts w:ascii="Times New Roman" w:hAnsi="Times New Roman"/>
                <w:sz w:val="20"/>
              </w:rPr>
              <w:t>۶.۲۸۹</w:t>
            </w:r>
          </w:p>
        </w:tc>
        <w:tc>
          <w:tcPr>
            <w:tcW w:type="dxa" w:w="960"/>
          </w:tcPr>
          <w:p>
            <w:pPr>
              <w:bidi/>
              <w:jc w:val="center"/>
            </w:pPr>
            <w:r>
              <w:rPr>
                <w:rFonts w:ascii="Times New Roman" w:hAnsi="Times New Roman"/>
                <w:sz w:val="20"/>
              </w:rPr>
              <w:t>۰.۰۰۱ &gt; p</w:t>
            </w:r>
          </w:p>
        </w:tc>
        <w:tc>
          <w:tcPr>
            <w:tcW w:type="dxa" w:w="960"/>
          </w:tcPr>
          <w:p>
            <w:pPr>
              <w:bidi/>
              <w:jc w:val="center"/>
            </w:pPr>
            <w:r>
              <w:rPr>
                <w:rFonts w:ascii="Times New Roman" w:hAnsi="Times New Roman"/>
                <w:sz w:val="20"/>
              </w:rPr>
              <w:t>[۱.۹۳۳ ، ۳.۷۱۵]</w:t>
            </w:r>
          </w:p>
        </w:tc>
        <w:tc>
          <w:tcPr>
            <w:tcW w:type="dxa" w:w="960"/>
          </w:tcPr>
          <w:p>
            <w:pPr>
              <w:bidi/>
              <w:jc w:val="center"/>
            </w:pPr>
            <w:r>
              <w:rPr>
                <w:rFonts w:ascii="B Nazanin" w:hAnsi="B Nazanin"/>
                <w:sz w:val="20"/>
              </w:rPr>
              <w:t>—</w:t>
            </w:r>
          </w:p>
        </w:tc>
        <w:tc>
          <w:tcPr>
            <w:tcW w:type="dxa" w:w="960"/>
          </w:tcPr>
          <w:p>
            <w:pPr>
              <w:bidi/>
              <w:jc w:val="center"/>
            </w:pPr>
            <w:r>
              <w:rPr>
                <w:rFonts w:ascii="B Nazanin" w:hAnsi="B Nazanin"/>
                <w:sz w:val="20"/>
              </w:rPr>
              <w:t>—</w:t>
            </w:r>
          </w:p>
        </w:tc>
      </w:tr>
      <w:tr>
        <w:tc>
          <w:tcPr>
            <w:tcW w:type="dxa" w:w="960"/>
          </w:tcPr>
          <w:p>
            <w:pPr>
              <w:bidi/>
              <w:jc w:val="center"/>
            </w:pPr>
            <w:r>
              <w:rPr>
                <w:rFonts w:ascii="B Nazanin" w:hAnsi="B Nazanin"/>
                <w:sz w:val="20"/>
              </w:rPr>
              <w:t>استرس شغلی</w:t>
            </w:r>
          </w:p>
        </w:tc>
        <w:tc>
          <w:tcPr>
            <w:tcW w:type="dxa" w:w="960"/>
          </w:tcPr>
          <w:p>
            <w:pPr>
              <w:bidi/>
              <w:jc w:val="center"/>
            </w:pPr>
            <w:r>
              <w:rPr>
                <w:rFonts w:ascii="Times New Roman" w:hAnsi="Times New Roman"/>
                <w:sz w:val="20"/>
              </w:rPr>
              <w:t>۰.۴۶۶</w:t>
            </w:r>
          </w:p>
        </w:tc>
        <w:tc>
          <w:tcPr>
            <w:tcW w:type="dxa" w:w="960"/>
          </w:tcPr>
          <w:p>
            <w:pPr>
              <w:bidi/>
              <w:jc w:val="center"/>
            </w:pPr>
            <w:r>
              <w:rPr>
                <w:rFonts w:ascii="Times New Roman" w:hAnsi="Times New Roman"/>
                <w:sz w:val="20"/>
              </w:rPr>
              <w:t>۰.۰۸۱</w:t>
            </w:r>
          </w:p>
        </w:tc>
        <w:tc>
          <w:tcPr>
            <w:tcW w:type="dxa" w:w="960"/>
          </w:tcPr>
          <w:p>
            <w:pPr>
              <w:bidi/>
              <w:jc w:val="center"/>
            </w:pPr>
            <w:r>
              <w:rPr>
                <w:rFonts w:ascii="Times New Roman" w:hAnsi="Times New Roman"/>
                <w:sz w:val="20"/>
              </w:rPr>
              <w:t>۰.۴۶۴</w:t>
            </w:r>
          </w:p>
        </w:tc>
        <w:tc>
          <w:tcPr>
            <w:tcW w:type="dxa" w:w="960"/>
          </w:tcPr>
          <w:p>
            <w:pPr>
              <w:bidi/>
              <w:jc w:val="center"/>
            </w:pPr>
            <w:r>
              <w:rPr>
                <w:rFonts w:ascii="Times New Roman" w:hAnsi="Times New Roman"/>
                <w:sz w:val="20"/>
              </w:rPr>
              <w:t>۵.۷۵۶</w:t>
            </w:r>
          </w:p>
        </w:tc>
        <w:tc>
          <w:tcPr>
            <w:tcW w:type="dxa" w:w="960"/>
          </w:tcPr>
          <w:p>
            <w:pPr>
              <w:bidi/>
              <w:jc w:val="center"/>
            </w:pPr>
            <w:r>
              <w:rPr>
                <w:rFonts w:ascii="Times New Roman" w:hAnsi="Times New Roman"/>
                <w:sz w:val="20"/>
              </w:rPr>
              <w:t>۰.۰۰۱ &gt; p</w:t>
            </w:r>
          </w:p>
        </w:tc>
        <w:tc>
          <w:tcPr>
            <w:tcW w:type="dxa" w:w="960"/>
          </w:tcPr>
          <w:p>
            <w:pPr>
              <w:bidi/>
              <w:jc w:val="center"/>
            </w:pPr>
            <w:r>
              <w:rPr>
                <w:rFonts w:ascii="Times New Roman" w:hAnsi="Times New Roman"/>
                <w:sz w:val="20"/>
              </w:rPr>
              <w:t>[۰.۳۰۵ ، ۰.۶۲۷]</w:t>
            </w:r>
          </w:p>
        </w:tc>
        <w:tc>
          <w:tcPr>
            <w:tcW w:type="dxa" w:w="960"/>
          </w:tcPr>
          <w:p>
            <w:pPr>
              <w:bidi/>
              <w:jc w:val="center"/>
            </w:pPr>
            <w:r>
              <w:rPr>
                <w:rFonts w:ascii="Times New Roman" w:hAnsi="Times New Roman"/>
                <w:sz w:val="20"/>
              </w:rPr>
              <w:t>۰.۹۲۹</w:t>
            </w:r>
          </w:p>
        </w:tc>
        <w:tc>
          <w:tcPr>
            <w:tcW w:type="dxa" w:w="960"/>
          </w:tcPr>
          <w:p>
            <w:pPr>
              <w:bidi/>
              <w:jc w:val="center"/>
            </w:pPr>
            <w:r>
              <w:rPr>
                <w:rFonts w:ascii="Times New Roman" w:hAnsi="Times New Roman"/>
                <w:sz w:val="20"/>
              </w:rPr>
              <w:t>۱.۰۷۶</w:t>
            </w:r>
          </w:p>
        </w:tc>
      </w:tr>
      <w:tr>
        <w:tc>
          <w:tcPr>
            <w:tcW w:type="dxa" w:w="960"/>
          </w:tcPr>
          <w:p>
            <w:pPr>
              <w:bidi/>
              <w:jc w:val="center"/>
            </w:pPr>
            <w:r>
              <w:rPr>
                <w:rFonts w:ascii="B Nazanin" w:hAnsi="B Nazanin"/>
                <w:sz w:val="20"/>
              </w:rPr>
              <w:t>انعطاف‌پذیری روان‌شناختی</w:t>
            </w:r>
          </w:p>
        </w:tc>
        <w:tc>
          <w:tcPr>
            <w:tcW w:type="dxa" w:w="960"/>
          </w:tcPr>
          <w:p>
            <w:pPr>
              <w:bidi/>
              <w:jc w:val="center"/>
            </w:pPr>
            <w:r>
              <w:rPr>
                <w:rFonts w:ascii="Times New Roman" w:hAnsi="Times New Roman"/>
                <w:sz w:val="20"/>
              </w:rPr>
              <w:t>۰.۳۶۲-</w:t>
            </w:r>
          </w:p>
        </w:tc>
        <w:tc>
          <w:tcPr>
            <w:tcW w:type="dxa" w:w="960"/>
          </w:tcPr>
          <w:p>
            <w:pPr>
              <w:bidi/>
              <w:jc w:val="center"/>
            </w:pPr>
            <w:r>
              <w:rPr>
                <w:rFonts w:ascii="Times New Roman" w:hAnsi="Times New Roman"/>
                <w:sz w:val="20"/>
              </w:rPr>
              <w:t>۰.۰۸۶</w:t>
            </w:r>
          </w:p>
        </w:tc>
        <w:tc>
          <w:tcPr>
            <w:tcW w:type="dxa" w:w="960"/>
          </w:tcPr>
          <w:p>
            <w:pPr>
              <w:bidi/>
              <w:jc w:val="center"/>
            </w:pPr>
            <w:r>
              <w:rPr>
                <w:rFonts w:ascii="Times New Roman" w:hAnsi="Times New Roman"/>
                <w:sz w:val="20"/>
              </w:rPr>
              <w:t>۰.۳۴۰-</w:t>
            </w:r>
          </w:p>
        </w:tc>
        <w:tc>
          <w:tcPr>
            <w:tcW w:type="dxa" w:w="960"/>
          </w:tcPr>
          <w:p>
            <w:pPr>
              <w:bidi/>
              <w:jc w:val="center"/>
            </w:pPr>
            <w:r>
              <w:rPr>
                <w:rFonts w:ascii="Times New Roman" w:hAnsi="Times New Roman"/>
                <w:sz w:val="20"/>
              </w:rPr>
              <w:t>۴.۲۲۴-</w:t>
            </w:r>
          </w:p>
        </w:tc>
        <w:tc>
          <w:tcPr>
            <w:tcW w:type="dxa" w:w="960"/>
          </w:tcPr>
          <w:p>
            <w:pPr>
              <w:bidi/>
              <w:jc w:val="center"/>
            </w:pPr>
            <w:r>
              <w:rPr>
                <w:rFonts w:ascii="Times New Roman" w:hAnsi="Times New Roman"/>
                <w:sz w:val="20"/>
              </w:rPr>
              <w:t>۰.۰۰۱ &gt; p</w:t>
            </w:r>
          </w:p>
        </w:tc>
        <w:tc>
          <w:tcPr>
            <w:tcW w:type="dxa" w:w="960"/>
          </w:tcPr>
          <w:p>
            <w:pPr>
              <w:bidi/>
              <w:jc w:val="center"/>
            </w:pPr>
            <w:r>
              <w:rPr>
                <w:rFonts w:ascii="Times New Roman" w:hAnsi="Times New Roman"/>
                <w:sz w:val="20"/>
              </w:rPr>
              <w:t>[۰.۵۳۲- ، ۰.۱۹۲-]</w:t>
            </w:r>
          </w:p>
        </w:tc>
        <w:tc>
          <w:tcPr>
            <w:tcW w:type="dxa" w:w="960"/>
          </w:tcPr>
          <w:p>
            <w:pPr>
              <w:bidi/>
              <w:jc w:val="center"/>
            </w:pPr>
            <w:r>
              <w:rPr>
                <w:rFonts w:ascii="Times New Roman" w:hAnsi="Times New Roman"/>
                <w:sz w:val="20"/>
              </w:rPr>
              <w:t>۰.۹۲۹</w:t>
            </w:r>
          </w:p>
        </w:tc>
        <w:tc>
          <w:tcPr>
            <w:tcW w:type="dxa" w:w="960"/>
          </w:tcPr>
          <w:p>
            <w:pPr>
              <w:bidi/>
              <w:jc w:val="center"/>
            </w:pPr>
            <w:r>
              <w:rPr>
                <w:rFonts w:ascii="Times New Roman" w:hAnsi="Times New Roman"/>
                <w:sz w:val="20"/>
              </w:rPr>
              <w:t>۱.۰۷۶</w:t>
            </w:r>
          </w:p>
        </w:tc>
      </w:tr>
    </w:tbl>
    <w:p>
      <w:pPr>
        <w:bidi/>
        <w:jc w:val="both"/>
      </w:pPr>
      <w:r>
        <w:rPr>
          <w:rFonts w:ascii="B Nazanin" w:hAnsi="B Nazanin"/>
          <w:i/>
          <w:sz w:val="20"/>
        </w:rPr>
        <w:t>یادداشت. متغیر ملاک: فرسودگی شغلی.</w:t>
      </w:r>
    </w:p>
    <w:p>
      <w:pPr>
        <w:bidi/>
        <w:jc w:val="both"/>
      </w:pPr>
      <w:r>
        <w:rPr>
          <w:rFonts w:ascii="B Nazanin" w:hAnsi="B Nazanin"/>
          <w:b w:val="0"/>
          <w:i w:val="0"/>
          <w:sz w:val="26"/>
          <w:rFonts w:ascii="B Nazanin" w:hAnsi="B Nazanin" w:cs="B Nazanin"/>
          <w:rtl/>
        </w:rPr>
        <w:t>نتایج جدول ۳ نشان می‌دهد که استرس شغلی با ضریب استاندارد ۰.۴۶۴ و آماره ۵.۷۵۶ = t در سطح ۰.۰۰۱ &gt; p به صورت مثبت و معنادار فرسودگی شغلی را پیش‌بینی می‌کند. همچنین انعطاف‌پذیری روان‌شناختی با ضریب استاندارد ۰.۳۴۰- و آماره ۴.۲۲۴- = t در سطح ۰.۰۰۱ &gt; p به صورت منفی و معنادار قادر به پیش‌بینی فرسودگی شغلی است. شاخص‌های تولرانس (۰.۹۲۹) و VIF (۱.۰۷۶) برای هر دو متغیر در وضعیت کاملاً بهنجار قرار داشته و عدم وجود هم‌خطی چندگانه را تصدیق می‌نمایند.</w:t>
      </w:r>
    </w:p>
    <w:p>
      <w:pPr>
        <w:bidi/>
        <w:jc w:val="right"/>
      </w:pPr>
      <w:r>
        <w:rPr>
          <w:rFonts w:ascii="B Titr" w:hAnsi="B Titr"/>
          <w:b/>
          <w:sz w:val="26"/>
          <w:rFonts w:ascii="B Titr" w:hAnsi="B Titr" w:cs="B Titr"/>
          <w:rtl/>
        </w:rPr>
        <w:t>۵. نتیجه‌گیری آماری فرضیه</w:t>
      </w:r>
    </w:p>
    <w:p>
      <w:pPr>
        <w:bidi/>
        <w:jc w:val="both"/>
      </w:pPr>
      <w:r>
        <w:rPr>
          <w:rFonts w:ascii="B Nazanin" w:hAnsi="B Nazanin"/>
          <w:b w:val="0"/>
          <w:i w:val="0"/>
          <w:sz w:val="26"/>
          <w:rFonts w:ascii="B Nazanin" w:hAnsi="B Nazanin" w:cs="B Nazanin"/>
          <w:rtl/>
        </w:rPr>
        <w:t>با توجه به معناداری کلی مدل رگرسیون در جدول تحلیل واریانس و معناداری انفرادی ضرایب رگرسیون استاندارد در جهت مورد انتظار، فرضیه اول پژوهش مبنی بر پیش‌بینی معنادار فرسودگی شغلی توسط استرس شغلی و انعطاف‌پذیری روان‌شناختی با اطمینان ۹۹ درصد تأیید می‌گردد.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