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VenueFit Boston Data and Methodology Note</w:t>
      </w:r>
    </w:p>
    <w:p>
      <w:pPr>
        <w:spacing w:after="80"/>
      </w:pPr>
      <w:r>
        <w:t>Purpose: help Boston event teams form an initial venue shortlist from the supplied public-source comparison dataset.</w:t>
      </w:r>
    </w:p>
    <w:p>
      <w:pPr>
        <w:pStyle w:val="Heading1"/>
        <w:spacing w:after="80"/>
      </w:pPr>
      <w:r>
        <w:t>Decision question</w:t>
      </w:r>
    </w:p>
    <w:p>
      <w:pPr>
        <w:spacing w:after="80"/>
      </w:pPr>
      <w:r>
        <w:t>Which recorded venues cover the audience in the selected setting, season, and configuration? The planner supports attendance from 25 to 7,000 in steps of 25, while disclosing limited small-event coverage.</w:t>
      </w:r>
    </w:p>
    <w:p>
      <w:pPr>
        <w:pStyle w:val="Heading1"/>
        <w:spacing w:after="80"/>
      </w:pPr>
      <w:r>
        <w:t>Dataset and collection</w:t>
      </w:r>
    </w:p>
    <w:p>
      <w:pPr>
        <w:spacing w:after="80"/>
      </w:pPr>
      <w:r>
        <w:t>The supplied data/venues.csv contains eight selected venues, seven indoor and one outdoor. Recorded capacities range from 1,019 to 7,500 people. Rows retain venue-owner or public-project source URLs, notes, and the recorded access date 17 September 2026. This update preserves those observations and does not claim a fresh source audit. The sample is not a census. No personal data is collected.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83F3B"/>
          </w:tcPr>
          <w:p>
            <w:r>
              <w:rPr>
                <w:b/>
                <w:color w:val="FFFFFF"/>
                <w:sz w:val="17"/>
              </w:rPr>
              <w:t>Field</w:t>
            </w:r>
          </w:p>
        </w:tc>
        <w:tc>
          <w:tcPr>
            <w:tcW w:type="dxa" w:w="3408"/>
            <w:vAlign w:val="center"/>
            <w:shd w:fill="183F3B"/>
          </w:tcPr>
          <w:p>
            <w:r>
              <w:rPr>
                <w:b/>
                <w:color w:val="FFFFFF"/>
                <w:sz w:val="17"/>
              </w:rPr>
              <w:t>Unit or definition</w:t>
            </w:r>
          </w:p>
        </w:tc>
        <w:tc>
          <w:tcPr>
            <w:tcW w:type="dxa" w:w="3408"/>
            <w:vAlign w:val="center"/>
            <w:shd w:fill="183F3B"/>
          </w:tcPr>
          <w:p>
            <w:r>
              <w:rPr>
                <w:b/>
                <w:color w:val="FFFFFF"/>
                <w:sz w:val="17"/>
              </w:rPr>
              <w:t>Evidence</w:t>
            </w:r>
          </w:p>
        </w:tc>
      </w:tr>
      <w:tr>
        <w:tc>
          <w:tcPr>
            <w:tcW w:type="dxa" w:w="3408"/>
            <w:vAlign w:val="center"/>
          </w:tcPr>
          <w:p>
            <w:r>
              <w:rPr>
                <w:sz w:val="16"/>
              </w:rPr>
              <w:t>capacity</w:t>
            </w:r>
          </w:p>
        </w:tc>
        <w:tc>
          <w:tcPr>
            <w:tcW w:type="dxa" w:w="3408"/>
            <w:vAlign w:val="center"/>
          </w:tcPr>
          <w:p>
            <w:r>
              <w:rPr>
                <w:sz w:val="16"/>
              </w:rPr>
              <w:t>People in the cited configuration</w:t>
            </w:r>
          </w:p>
        </w:tc>
        <w:tc>
          <w:tcPr>
            <w:tcW w:type="dxa" w:w="3408"/>
            <w:vAlign w:val="center"/>
          </w:tcPr>
          <w:p>
            <w:r>
              <w:rPr>
                <w:sz w:val="16"/>
              </w:rPr>
              <w:t>Original source URL and row notes</w:t>
            </w:r>
          </w:p>
        </w:tc>
      </w:tr>
      <w:tr>
        <w:tc>
          <w:tcPr>
            <w:tcW w:type="dxa" w:w="3408"/>
            <w:vAlign w:val="center"/>
          </w:tcPr>
          <w:p>
            <w:r>
              <w:rPr>
                <w:sz w:val="16"/>
              </w:rPr>
              <w:t>setting and season</w:t>
            </w:r>
          </w:p>
        </w:tc>
        <w:tc>
          <w:tcPr>
            <w:tcW w:type="dxa" w:w="3408"/>
            <w:vAlign w:val="center"/>
          </w:tcPr>
          <w:p>
            <w:r>
              <w:rPr>
                <w:sz w:val="16"/>
              </w:rPr>
              <w:t>Indoor/outdoor; year-round/summer</w:t>
            </w:r>
          </w:p>
        </w:tc>
        <w:tc>
          <w:tcPr>
            <w:tcW w:type="dxa" w:w="3408"/>
            <w:vAlign w:val="center"/>
          </w:tcPr>
          <w:p>
            <w:r>
              <w:rPr>
                <w:sz w:val="16"/>
              </w:rPr>
              <w:t>Recorded CSV categories</w:t>
            </w:r>
          </w:p>
        </w:tc>
      </w:tr>
      <w:tr>
        <w:tc>
          <w:tcPr>
            <w:tcW w:type="dxa" w:w="3408"/>
            <w:vAlign w:val="center"/>
          </w:tcPr>
          <w:p>
            <w:r>
              <w:rPr>
                <w:sz w:val="16"/>
              </w:rPr>
              <w:t>transit distance</w:t>
            </w:r>
          </w:p>
        </w:tc>
        <w:tc>
          <w:tcPr>
            <w:tcW w:type="dxa" w:w="3408"/>
            <w:vAlign w:val="center"/>
          </w:tcPr>
          <w:p>
            <w:r>
              <w:rPr>
                <w:sz w:val="16"/>
              </w:rPr>
              <w:t>Unverified straight-line estimate in meters</w:t>
            </w:r>
          </w:p>
        </w:tc>
        <w:tc>
          <w:tcPr>
            <w:tcW w:type="dxa" w:w="3408"/>
            <w:vAlign w:val="center"/>
          </w:tcPr>
          <w:p>
            <w:r>
              <w:rPr>
                <w:sz w:val="16"/>
              </w:rPr>
              <w:t>Calculation inputs not supplied</w:t>
            </w:r>
          </w:p>
        </w:tc>
      </w:tr>
      <w:tr>
        <w:tc>
          <w:tcPr>
            <w:tcW w:type="dxa" w:w="3408"/>
            <w:vAlign w:val="center"/>
          </w:tcPr>
          <w:p>
            <w:r>
              <w:rPr>
                <w:sz w:val="16"/>
              </w:rPr>
              <w:t>candidate order</w:t>
            </w:r>
          </w:p>
        </w:tc>
        <w:tc>
          <w:tcPr>
            <w:tcW w:type="dxa" w:w="3408"/>
            <w:vAlign w:val="center"/>
          </w:tcPr>
          <w:p>
            <w:r>
              <w:rPr>
                <w:sz w:val="16"/>
              </w:rPr>
              <w:t>Smallest sufficient recorded capacity first</w:t>
            </w:r>
          </w:p>
        </w:tc>
        <w:tc>
          <w:tcPr>
            <w:tcW w:type="dxa" w:w="3408"/>
            <w:vAlign w:val="center"/>
          </w:tcPr>
          <w:p>
            <w:r>
              <w:rPr>
                <w:sz w:val="16"/>
              </w:rPr>
              <w:t>Deterministic app.js rules</w:t>
            </w:r>
          </w:p>
        </w:tc>
      </w:tr>
    </w:tbl>
    <w:p>
      <w:pPr>
        <w:pStyle w:val="Heading1"/>
        <w:spacing w:after="80"/>
      </w:pPr>
      <w:r>
        <w:t>Analysis and recommendations</w:t>
      </w:r>
    </w:p>
    <w:p>
      <w:pPr>
        <w:spacing w:after="80"/>
      </w:pPr>
      <w:r>
        <w:t>Capacity must be at least attendance. Setting and configuration are hard filters. Spring, Autumn, and Winter retain year-round venues only; Summer and Not decided retain the seasonal row. Exact operating dates remain unconfirmed. The seated filter includes only the three rows whose notes explicitly say seated. Candidates sort by the smallest sufficient capacity, then name. There is no quality score. Maxima above twice the audience receive a size warning; this is an editorial rule, not a minimum booking size. Revenue equals attendance × $50 before costs, with no demand forecast.</w:t>
      </w:r>
    </w:p>
    <w:p>
      <w:pPr>
        <w:pStyle w:val="Heading1"/>
        <w:spacing w:after="80"/>
      </w:pPr>
      <w:r>
        <w:t>Uncertainty and limits</w:t>
      </w:r>
    </w:p>
    <w:p>
      <w:pPr>
        <w:spacing w:after="80"/>
      </w:pPr>
      <w:r>
        <w:t>Capacities mix concert, reception, and seated layouts. Wang Theatre is a candidate for 2,500 seated attendees based on its recorded 3,500. Jordan Hall (1,019) is a candidate for about 1,000, and Shubert (1,500) for 1,500. Pavilion (5,000) is a summer outdoor candidate. Every recommendation requires venue confirmation. The data cannot establish availability, price, accessibility, demand, satisfaction, walking routes, weather, or production feasibility. The sample does not establish suitable small-event rooms. Parking zeros remain unverified.</w:t>
      </w:r>
    </w:p>
    <w:p>
      <w:pPr>
        <w:pStyle w:val="Heading1"/>
        <w:spacing w:after="80"/>
      </w:pPr>
      <w:r>
        <w:t>Sources and reproducibility</w:t>
      </w:r>
    </w:p>
    <w:p>
      <w:pPr>
        <w:spacing w:after="80"/>
      </w:pPr>
      <w:r>
        <w:t>Row-level source URLs and dates are in the CSV. Transit values are unverified straight-line estimates: coordinates, stop IDs, and calculation steps were not supplied. GTFS documentation is background only. Boston Landing is commuter rail. Distances are optional filters, not ranking inputs or walking times. build_data.py generates the offline-compatible data file from the original CSV; app.js defines the filters. Run the generator after a CSV edit. The data and all supporting materials are linked on the Deliverables page.</w:t>
      </w:r>
    </w:p>
    <w:sectPr w:rsidR="00FC693F" w:rsidRPr="0006063C" w:rsidSect="00034616">
      <w:pgSz w:w="12240" w:h="15840"/>
      <w:pgMar w:top="835"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36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6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