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B74" w:rsidRDefault="00034B74" w:rsidP="00034B74">
      <w:pPr>
        <w:shd w:val="clear" w:color="auto" w:fill="FFFFFF"/>
        <w:spacing w:after="90" w:line="24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Credit R</w:t>
      </w:r>
      <w:r w:rsidRPr="00034B74">
        <w:rPr>
          <w:rFonts w:ascii="Times New Roman" w:hAnsi="Times New Roman" w:cs="Times New Roman"/>
          <w:b/>
          <w:bCs/>
          <w:sz w:val="24"/>
          <w:szCs w:val="24"/>
        </w:rPr>
        <w:t>isk Analysis and Prediction of Loan Defaults</w:t>
      </w:r>
    </w:p>
    <w:p w:rsidR="00034B74" w:rsidRDefault="00034B74" w:rsidP="00034B74">
      <w:pPr>
        <w:shd w:val="clear" w:color="auto" w:fill="FFFFFF"/>
        <w:spacing w:after="90" w:line="240" w:lineRule="atLeast"/>
        <w:rPr>
          <w:rFonts w:ascii="Times New Roman" w:hAnsi="Times New Roman" w:cs="Times New Roman"/>
          <w:sz w:val="24"/>
          <w:szCs w:val="24"/>
        </w:rPr>
      </w:pPr>
    </w:p>
    <w:p w:rsidR="00034B74" w:rsidRDefault="00171A62" w:rsidP="00034B74">
      <w:pPr>
        <w:shd w:val="clear" w:color="auto" w:fill="FFFFFF"/>
        <w:spacing w:after="90" w:line="240" w:lineRule="atLeast"/>
        <w:rPr>
          <w:rFonts w:ascii="Times New Roman" w:hAnsi="Times New Roman" w:cs="Times New Roman"/>
          <w:b/>
          <w:sz w:val="24"/>
          <w:szCs w:val="24"/>
        </w:rPr>
      </w:pPr>
      <w:r w:rsidRPr="00034B74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C624AA" w:rsidRPr="00C624AA" w:rsidRDefault="00171A62" w:rsidP="00034B74">
      <w:pPr>
        <w:shd w:val="clear" w:color="auto" w:fill="FFFFFF"/>
        <w:spacing w:after="90" w:line="360" w:lineRule="auto"/>
        <w:jc w:val="both"/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</w:pPr>
      <w:r w:rsidRPr="00034B74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 xml:space="preserve">Credit risk is the possibility of a loss resulting from a borrower's failure to repay a loan or meet contractual obligations. </w:t>
      </w:r>
      <w:r w:rsidR="00977244" w:rsidRPr="00034B74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 xml:space="preserve">In order for lenders help to minimize the possible losses and increase the volume of credits, Credit Risk assessment </w:t>
      </w:r>
      <w:r w:rsidR="006341F6" w:rsidRPr="00034B74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 xml:space="preserve">is a crucial </w:t>
      </w:r>
      <w:r w:rsidR="00977244" w:rsidRPr="00034B74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 xml:space="preserve">to evaluate if a loan applicant can be a defaulter at a later stage so that </w:t>
      </w:r>
      <w:r w:rsidR="006341F6" w:rsidRPr="00034B74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>lenders</w:t>
      </w:r>
      <w:r w:rsidR="00977244" w:rsidRPr="00034B74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 xml:space="preserve"> can go ahead and grant the loan or not. This project </w:t>
      </w:r>
      <w:r w:rsidR="006341F6" w:rsidRPr="00034B74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>focuses</w:t>
      </w:r>
      <w:r w:rsidRPr="00034B74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 xml:space="preserve"> to analyze the credit risk involved in peer-to-peer (P2P) lending s</w:t>
      </w:r>
      <w:r w:rsidR="00696CC6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 xml:space="preserve">ystem of </w:t>
      </w:r>
      <w:proofErr w:type="spellStart"/>
      <w:r w:rsidR="00696CC6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>LendingClub</w:t>
      </w:r>
      <w:proofErr w:type="spellEnd"/>
      <w:r w:rsidR="006341F6" w:rsidRPr="00034B74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 xml:space="preserve"> Company based in the United States, in which investors provide funds for potential borrowers and investors earn a profit depending on the risk they take. Machine</w:t>
      </w:r>
      <w:r w:rsidRPr="00034B74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 xml:space="preserve"> learning algorithms a</w:t>
      </w:r>
      <w:r w:rsidR="006341F6" w:rsidRPr="00034B74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 xml:space="preserve">nd preprocessing techniques </w:t>
      </w:r>
      <w:proofErr w:type="gramStart"/>
      <w:r w:rsidR="006341F6" w:rsidRPr="00034B74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 xml:space="preserve">will be </w:t>
      </w:r>
      <w:r w:rsidRPr="00034B74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>used</w:t>
      </w:r>
      <w:proofErr w:type="gramEnd"/>
      <w:r w:rsidRPr="00034B74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 xml:space="preserve"> to explore, analyze and determine the </w:t>
      </w:r>
      <w:r w:rsidR="00977244" w:rsidRPr="00034B74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>factors, which</w:t>
      </w:r>
      <w:r w:rsidRPr="00034B74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 xml:space="preserve"> play crucial role in predicti</w:t>
      </w:r>
      <w:r w:rsidR="00696CC6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 xml:space="preserve">ng the credit risk involved in </w:t>
      </w:r>
      <w:proofErr w:type="spellStart"/>
      <w:r w:rsidRPr="00034B74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>LendingClu</w:t>
      </w:r>
      <w:r w:rsidR="00696CC6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>b</w:t>
      </w:r>
      <w:proofErr w:type="spellEnd"/>
      <w:r w:rsidR="00C624AA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 xml:space="preserve">. </w:t>
      </w:r>
      <w:r w:rsidR="009C4223" w:rsidRPr="009C4223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>The dataset existed in the open s</w:t>
      </w:r>
      <w:r w:rsidR="00696CC6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 xml:space="preserve">ource </w:t>
      </w:r>
      <w:proofErr w:type="spellStart"/>
      <w:r w:rsidR="00696CC6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>K</w:t>
      </w:r>
      <w:r w:rsidR="009C4223" w:rsidRPr="009C4223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>aggle</w:t>
      </w:r>
      <w:proofErr w:type="spellEnd"/>
      <w:r w:rsidR="009C4223" w:rsidRPr="009C4223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 xml:space="preserve"> website through the URL link</w:t>
      </w:r>
      <w:r w:rsidR="00C624AA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>,</w:t>
      </w:r>
      <w:hyperlink r:id="rId7" w:history="1">
        <w:r w:rsidR="009C4223" w:rsidRPr="009C4223">
          <w:rPr>
            <w:rFonts w:ascii="Times New Roman" w:hAnsi="Times New Roman" w:cs="Times New Roman"/>
            <w:color w:val="263238"/>
            <w:sz w:val="24"/>
            <w:szCs w:val="24"/>
            <w:shd w:val="clear" w:color="auto" w:fill="FFFFFF"/>
          </w:rPr>
          <w:t xml:space="preserve"> https://www.kaggle.com/wendykan/lending-club-loan-data </w:t>
        </w:r>
      </w:hyperlink>
      <w:r w:rsidR="009C4223" w:rsidRPr="009C4223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 xml:space="preserve">that ranges from 2007 to 2015. It has 890 thousand records and 75 </w:t>
      </w:r>
      <w:r w:rsidR="00C624AA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>features</w:t>
      </w:r>
      <w:r w:rsidR="009C4223" w:rsidRPr="009C4223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>.</w:t>
      </w:r>
    </w:p>
    <w:p w:rsidR="004A6D95" w:rsidRPr="00034B74" w:rsidRDefault="00C624AA" w:rsidP="00034B74">
      <w:pPr>
        <w:shd w:val="clear" w:color="auto" w:fill="FFFFFF"/>
        <w:spacing w:after="90" w:line="360" w:lineRule="auto"/>
        <w:jc w:val="both"/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Statement of the problem</w:t>
      </w:r>
    </w:p>
    <w:p w:rsidR="00034B74" w:rsidRDefault="004A6D95" w:rsidP="00F22BAD">
      <w:pPr>
        <w:shd w:val="clear" w:color="auto" w:fill="FFFFFF"/>
        <w:spacing w:after="90" w:line="360" w:lineRule="auto"/>
        <w:jc w:val="both"/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</w:pPr>
      <w:r w:rsidRPr="00774E51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 xml:space="preserve">In the financial industry, lending loans has been playing a significant role and it is quite beneficial for both the lenders and the borrowers. </w:t>
      </w:r>
      <w:r w:rsidR="00774E51" w:rsidRPr="005E38D6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 xml:space="preserve">However, evaluating the creditworthiness of loan applicants is a common challenge in the financial industry typically where loans are unsecured. </w:t>
      </w:r>
      <w:r w:rsidR="00774E51" w:rsidRPr="00774E51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>Therefore, in decision-making</w:t>
      </w:r>
      <w:r w:rsidR="00774E51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 xml:space="preserve"> process</w:t>
      </w:r>
      <w:r w:rsidR="005E38D6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 xml:space="preserve"> </w:t>
      </w:r>
      <w:r w:rsidR="005E38D6" w:rsidRPr="005E38D6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>whether or not to fund particular loans</w:t>
      </w:r>
      <w:r w:rsidR="00774E51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 xml:space="preserve">, </w:t>
      </w:r>
      <w:r w:rsidR="00774E51" w:rsidRPr="00774E51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>it is important for the lending industry to apply risk management by providing investors with comprehensive risk assessment</w:t>
      </w:r>
      <w:r w:rsidR="00774E51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>.</w:t>
      </w:r>
    </w:p>
    <w:p w:rsidR="00D23452" w:rsidRPr="00034B74" w:rsidRDefault="00D23452" w:rsidP="00D2345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</w:pPr>
      <w:r w:rsidRPr="00034B74">
        <w:rPr>
          <w:rFonts w:ascii="Times New Roman" w:hAnsi="Times New Roman" w:cs="Times New Roman"/>
          <w:b/>
          <w:color w:val="263238"/>
          <w:sz w:val="24"/>
          <w:szCs w:val="24"/>
          <w:shd w:val="clear" w:color="auto" w:fill="FFFFFF"/>
        </w:rPr>
        <w:t>Methodology</w:t>
      </w:r>
    </w:p>
    <w:p w:rsidR="00D23452" w:rsidRDefault="00D23452" w:rsidP="00034B74">
      <w:pPr>
        <w:shd w:val="clear" w:color="auto" w:fill="FFFFFF"/>
        <w:spacing w:after="90" w:line="360" w:lineRule="auto"/>
        <w:jc w:val="both"/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 xml:space="preserve">Initially, </w:t>
      </w:r>
      <w:r w:rsidR="00C624AA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 xml:space="preserve">I </w:t>
      </w:r>
      <w:r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 xml:space="preserve">will be focusing on understanding which </w:t>
      </w:r>
      <w:r w:rsidR="00C624AA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>features</w:t>
      </w:r>
      <w:r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 xml:space="preserve"> are most relevant or most predictive for separating those loans likely to </w:t>
      </w:r>
      <w:proofErr w:type="gramStart"/>
      <w:r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>be paid</w:t>
      </w:r>
      <w:proofErr w:type="gramEnd"/>
      <w:r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 xml:space="preserve"> from those loans likely to default. </w:t>
      </w:r>
      <w:r w:rsidR="00A96524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>The level of default</w:t>
      </w:r>
      <w:r w:rsidRPr="009A7773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 xml:space="preserve"> risk </w:t>
      </w:r>
      <w:proofErr w:type="gramStart"/>
      <w:r w:rsidR="00A96524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>will</w:t>
      </w:r>
      <w:r w:rsidRPr="009A7773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 xml:space="preserve"> be best predicted</w:t>
      </w:r>
      <w:proofErr w:type="gramEnd"/>
      <w:r w:rsidRPr="009A7773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 xml:space="preserve"> with predictive modeling using machine-learning</w:t>
      </w:r>
      <w:r w:rsidR="00A96524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 xml:space="preserve"> </w:t>
      </w:r>
      <w:r w:rsidR="00A96524" w:rsidRPr="00610275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>techniques</w:t>
      </w:r>
      <w:r w:rsidR="00C624AA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>. I w</w:t>
      </w:r>
      <w:r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 xml:space="preserve">ill perform </w:t>
      </w:r>
      <w:r w:rsidRPr="00185BBB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>Data Processing, Exploratory Data Analysis</w:t>
      </w:r>
      <w:r w:rsidR="0093204F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 xml:space="preserve"> (EDA)</w:t>
      </w:r>
      <w:r w:rsidRPr="00185BBB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 xml:space="preserve"> and data Visualization using Python</w:t>
      </w:r>
      <w:r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>.</w:t>
      </w:r>
    </w:p>
    <w:p w:rsidR="00D23452" w:rsidRDefault="00B95342" w:rsidP="00034B74">
      <w:pPr>
        <w:shd w:val="clear" w:color="auto" w:fill="FFFFFF"/>
        <w:spacing w:after="90" w:line="360" w:lineRule="auto"/>
        <w:jc w:val="both"/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</w:pPr>
      <w:r w:rsidRPr="00034B74">
        <w:rPr>
          <w:rFonts w:ascii="Times New Roman" w:hAnsi="Times New Roman" w:cs="Times New Roman"/>
          <w:b/>
          <w:color w:val="263238"/>
          <w:sz w:val="24"/>
          <w:szCs w:val="24"/>
          <w:shd w:val="clear" w:color="auto" w:fill="FFFFFF"/>
        </w:rPr>
        <w:t>Goal</w:t>
      </w:r>
    </w:p>
    <w:p w:rsidR="00024DD7" w:rsidRPr="005C331F" w:rsidRDefault="00610275" w:rsidP="005C331F">
      <w:pPr>
        <w:shd w:val="clear" w:color="auto" w:fill="FFFFFF"/>
        <w:spacing w:after="90" w:line="360" w:lineRule="auto"/>
        <w:jc w:val="both"/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</w:pPr>
      <w:r w:rsidRPr="00610275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 xml:space="preserve">Using Lenders Club dataset, </w:t>
      </w:r>
      <w:r w:rsidR="007F393B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 xml:space="preserve">the goal is to provide a data product that enables investors to avoid loans likely to default. This </w:t>
      </w:r>
      <w:proofErr w:type="gramStart"/>
      <w:r w:rsidRPr="00610275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 xml:space="preserve">will </w:t>
      </w:r>
      <w:r w:rsidR="007F393B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>be achieved</w:t>
      </w:r>
      <w:proofErr w:type="gramEnd"/>
      <w:r w:rsidR="007F393B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 xml:space="preserve"> by </w:t>
      </w:r>
      <w:r w:rsidRPr="00610275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>conduct</w:t>
      </w:r>
      <w:r w:rsidR="00375EF0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>ing</w:t>
      </w:r>
      <w:r w:rsidR="0093204F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 xml:space="preserve"> EDA</w:t>
      </w:r>
      <w:r w:rsidRPr="00610275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 xml:space="preserve"> and </w:t>
      </w:r>
      <w:r w:rsidR="00C624AA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 xml:space="preserve">by </w:t>
      </w:r>
      <w:r w:rsidR="007F393B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 xml:space="preserve">developing a model using various </w:t>
      </w:r>
      <w:r w:rsidR="007F393B" w:rsidRPr="00610275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 xml:space="preserve">machine-learning techniques </w:t>
      </w:r>
      <w:r w:rsidR="0093204F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>that predict</w:t>
      </w:r>
      <w:r w:rsidR="007F393B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 xml:space="preserve"> </w:t>
      </w:r>
      <w:r w:rsidR="0093204F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 xml:space="preserve">the </w:t>
      </w:r>
      <w:bookmarkStart w:id="0" w:name="_GoBack"/>
      <w:bookmarkEnd w:id="0"/>
      <w:r w:rsidR="007F393B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 xml:space="preserve">probability of default for a potential loan </w:t>
      </w:r>
      <w:r w:rsidR="00C624AA" w:rsidRPr="00610275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>to</w:t>
      </w:r>
      <w:r w:rsidRPr="00610275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 xml:space="preserve"> avoid loans</w:t>
      </w:r>
      <w:r w:rsidR="0001256C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 xml:space="preserve"> that are predicted to default.</w:t>
      </w:r>
    </w:p>
    <w:p w:rsidR="004B7EE0" w:rsidRPr="004B7EE0" w:rsidRDefault="0004247A" w:rsidP="004B7EE0">
      <w:pPr>
        <w:shd w:val="clear" w:color="auto" w:fill="FFFFFF"/>
        <w:spacing w:after="90" w:line="360" w:lineRule="auto"/>
        <w:jc w:val="both"/>
        <w:rPr>
          <w:rFonts w:ascii="Times New Roman" w:hAnsi="Times New Roman" w:cs="Times New Roman"/>
          <w:b/>
          <w:color w:val="263238"/>
          <w:sz w:val="24"/>
          <w:szCs w:val="24"/>
          <w:shd w:val="clear" w:color="auto" w:fill="FFFFFF"/>
        </w:rPr>
      </w:pPr>
      <w:r w:rsidRPr="004B7EE0">
        <w:rPr>
          <w:rFonts w:ascii="Times New Roman" w:hAnsi="Times New Roman" w:cs="Times New Roman"/>
          <w:b/>
          <w:color w:val="263238"/>
          <w:sz w:val="24"/>
          <w:szCs w:val="24"/>
          <w:shd w:val="clear" w:color="auto" w:fill="FFFFFF"/>
        </w:rPr>
        <w:lastRenderedPageBreak/>
        <w:t>Reference:</w:t>
      </w:r>
    </w:p>
    <w:p w:rsidR="0034203E" w:rsidRDefault="004B7EE0" w:rsidP="0034203E">
      <w:r w:rsidRPr="004B7EE0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>Credit Risk</w:t>
      </w:r>
      <w:r w:rsidRPr="004B7EE0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 xml:space="preserve"> </w:t>
      </w:r>
      <w:r w:rsidR="002C253A" w:rsidRPr="004B7EE0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>by</w:t>
      </w:r>
      <w:r w:rsidRPr="004B7EE0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> </w:t>
      </w:r>
      <w:r w:rsidR="002C253A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 xml:space="preserve">Olivia </w:t>
      </w:r>
      <w:proofErr w:type="spellStart"/>
      <w:r w:rsidR="002C253A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>Labarre</w:t>
      </w:r>
      <w:proofErr w:type="spellEnd"/>
      <w:r w:rsidR="002C253A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>,</w:t>
      </w:r>
      <w:r w:rsidRPr="004B7EE0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 xml:space="preserve"> May </w:t>
      </w:r>
      <w:r w:rsidRPr="004B7EE0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>2019</w:t>
      </w:r>
      <w:r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 xml:space="preserve"> retrieved from </w:t>
      </w:r>
      <w:hyperlink r:id="rId8" w:history="1">
        <w:r>
          <w:rPr>
            <w:rStyle w:val="Hyperlink"/>
          </w:rPr>
          <w:t>https://www.investopedia.com/terms/c/creditrisk.asp</w:t>
        </w:r>
      </w:hyperlink>
    </w:p>
    <w:p w:rsidR="0034203E" w:rsidRDefault="0034203E" w:rsidP="0034203E">
      <w:r w:rsidRPr="0034203E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>Default rates at Lending Club &amp; Prosper: When loans go bad</w:t>
      </w:r>
      <w:r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 xml:space="preserve"> </w:t>
      </w:r>
      <w:r w:rsidRPr="0034203E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>by </w:t>
      </w:r>
      <w:r w:rsidRPr="00F205A6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>Simon Cunningham</w:t>
      </w:r>
      <w:r w:rsidRPr="0034203E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> on October 17, 2014 </w:t>
      </w:r>
      <w:r w:rsidRPr="00F205A6"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  <w:t>in </w:t>
      </w:r>
      <w:hyperlink r:id="rId9" w:history="1">
        <w:r w:rsidRPr="0034203E">
          <w:rPr>
            <w:rFonts w:ascii="Times New Roman" w:hAnsi="Times New Roman" w:cs="Times New Roman"/>
            <w:color w:val="263238"/>
            <w:sz w:val="24"/>
            <w:szCs w:val="24"/>
            <w:shd w:val="clear" w:color="auto" w:fill="FFFFFF"/>
          </w:rPr>
          <w:t>P2P Lending Basics</w:t>
        </w:r>
      </w:hyperlink>
      <w:r w:rsidR="002A71E7">
        <w:rPr>
          <w:rFonts w:ascii="Times New Roman" w:hAnsi="Times New Roman" w:cs="Times New Roman"/>
          <w:color w:val="263238"/>
          <w:sz w:val="24"/>
          <w:szCs w:val="24"/>
        </w:rPr>
        <w:t xml:space="preserve"> </w:t>
      </w:r>
      <w:hyperlink r:id="rId10" w:history="1">
        <w:r w:rsidR="002A71E7">
          <w:rPr>
            <w:rStyle w:val="Hyperlink"/>
          </w:rPr>
          <w:t>https://www.lendingmemo.com/lending-club-prosper-default-rates/</w:t>
        </w:r>
      </w:hyperlink>
    </w:p>
    <w:p w:rsidR="008A5D81" w:rsidRPr="0034203E" w:rsidRDefault="008A5D81" w:rsidP="0034203E">
      <w:pPr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</w:pPr>
      <w:hyperlink r:id="rId11" w:history="1">
        <w:r>
          <w:rPr>
            <w:rStyle w:val="Hyperlink"/>
          </w:rPr>
          <w:t>https://www.roselladb.com/credit-risk-analysis.htm</w:t>
        </w:r>
      </w:hyperlink>
    </w:p>
    <w:p w:rsidR="0034203E" w:rsidRPr="004B7EE0" w:rsidRDefault="0034203E" w:rsidP="004B7EE0">
      <w:pPr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</w:pPr>
    </w:p>
    <w:p w:rsidR="0004247A" w:rsidRPr="0004247A" w:rsidRDefault="0004247A">
      <w:pPr>
        <w:rPr>
          <w:rFonts w:ascii="Times New Roman" w:hAnsi="Times New Roman" w:cs="Times New Roman"/>
          <w:color w:val="263238"/>
          <w:sz w:val="24"/>
          <w:szCs w:val="24"/>
          <w:shd w:val="clear" w:color="auto" w:fill="FFFFFF"/>
        </w:rPr>
      </w:pPr>
    </w:p>
    <w:p w:rsidR="0004247A" w:rsidRDefault="0004247A"/>
    <w:sectPr w:rsidR="0004247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E99" w:rsidRDefault="002D5E99" w:rsidP="00034B74">
      <w:pPr>
        <w:spacing w:after="0" w:line="240" w:lineRule="auto"/>
      </w:pPr>
      <w:r>
        <w:separator/>
      </w:r>
    </w:p>
  </w:endnote>
  <w:endnote w:type="continuationSeparator" w:id="0">
    <w:p w:rsidR="002D5E99" w:rsidRDefault="002D5E99" w:rsidP="00034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E99" w:rsidRDefault="002D5E99" w:rsidP="00034B74">
      <w:pPr>
        <w:spacing w:after="0" w:line="240" w:lineRule="auto"/>
      </w:pPr>
      <w:r>
        <w:separator/>
      </w:r>
    </w:p>
  </w:footnote>
  <w:footnote w:type="continuationSeparator" w:id="0">
    <w:p w:rsidR="002D5E99" w:rsidRDefault="002D5E99" w:rsidP="00034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B74" w:rsidRPr="00034B74" w:rsidRDefault="00034B74">
    <w:pPr>
      <w:pStyle w:val="Header"/>
      <w:rPr>
        <w:rFonts w:ascii="Times New Roman" w:hAnsi="Times New Roman" w:cs="Times New Roman"/>
        <w:sz w:val="24"/>
        <w:szCs w:val="24"/>
      </w:rPr>
    </w:pPr>
    <w:r w:rsidRPr="00034B74">
      <w:rPr>
        <w:rFonts w:ascii="Times New Roman" w:hAnsi="Times New Roman" w:cs="Times New Roman"/>
        <w:sz w:val="24"/>
        <w:szCs w:val="24"/>
      </w:rPr>
      <w:t>Data 606 Capstone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4103A"/>
    <w:multiLevelType w:val="hybridMultilevel"/>
    <w:tmpl w:val="5C7C7EC8"/>
    <w:lvl w:ilvl="0" w:tplc="37449B1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" w:hAnsi="Roboto" w:hint="default"/>
      </w:rPr>
    </w:lvl>
    <w:lvl w:ilvl="1" w:tplc="D7EAEE5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B5B2DC2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8E9A4BD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FD08AAA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6294532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41164FD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FD7069C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0C7EC04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abstractNum w:abstractNumId="1" w15:restartNumberingAfterBreak="0">
    <w:nsid w:val="530B061A"/>
    <w:multiLevelType w:val="hybridMultilevel"/>
    <w:tmpl w:val="8F6EF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36F3C"/>
    <w:multiLevelType w:val="multilevel"/>
    <w:tmpl w:val="4016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4679BB"/>
    <w:multiLevelType w:val="hybridMultilevel"/>
    <w:tmpl w:val="828A5C4E"/>
    <w:lvl w:ilvl="0" w:tplc="891C81A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05A0102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9B7A213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3E4C740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D0D2A1B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CB5AB95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E75A068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D612ECB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9258C3A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DD7"/>
    <w:rsid w:val="0001256C"/>
    <w:rsid w:val="00024DD7"/>
    <w:rsid w:val="00034B74"/>
    <w:rsid w:val="0004247A"/>
    <w:rsid w:val="00094309"/>
    <w:rsid w:val="000A6E25"/>
    <w:rsid w:val="001173C5"/>
    <w:rsid w:val="001631DE"/>
    <w:rsid w:val="00171A62"/>
    <w:rsid w:val="00185BBB"/>
    <w:rsid w:val="001A2606"/>
    <w:rsid w:val="001B271B"/>
    <w:rsid w:val="002A71E7"/>
    <w:rsid w:val="002C253A"/>
    <w:rsid w:val="002D5E99"/>
    <w:rsid w:val="002D7032"/>
    <w:rsid w:val="0034203E"/>
    <w:rsid w:val="00375EF0"/>
    <w:rsid w:val="003C6CED"/>
    <w:rsid w:val="003F3328"/>
    <w:rsid w:val="004A6D95"/>
    <w:rsid w:val="004B7EE0"/>
    <w:rsid w:val="00563A13"/>
    <w:rsid w:val="005C331F"/>
    <w:rsid w:val="005E38D6"/>
    <w:rsid w:val="00610275"/>
    <w:rsid w:val="006341F6"/>
    <w:rsid w:val="006431C2"/>
    <w:rsid w:val="00696CC6"/>
    <w:rsid w:val="006B2102"/>
    <w:rsid w:val="00715817"/>
    <w:rsid w:val="00774E51"/>
    <w:rsid w:val="00794D8C"/>
    <w:rsid w:val="007A3231"/>
    <w:rsid w:val="007F393B"/>
    <w:rsid w:val="00846877"/>
    <w:rsid w:val="008A5D81"/>
    <w:rsid w:val="008D67D9"/>
    <w:rsid w:val="009022B1"/>
    <w:rsid w:val="0093204F"/>
    <w:rsid w:val="009361D7"/>
    <w:rsid w:val="009536D6"/>
    <w:rsid w:val="00977244"/>
    <w:rsid w:val="009A7773"/>
    <w:rsid w:val="009C4223"/>
    <w:rsid w:val="009D4391"/>
    <w:rsid w:val="009F2FA6"/>
    <w:rsid w:val="00A14082"/>
    <w:rsid w:val="00A96524"/>
    <w:rsid w:val="00B95342"/>
    <w:rsid w:val="00BE30B0"/>
    <w:rsid w:val="00C516D9"/>
    <w:rsid w:val="00C624AA"/>
    <w:rsid w:val="00D23452"/>
    <w:rsid w:val="00DE6C80"/>
    <w:rsid w:val="00EA3B51"/>
    <w:rsid w:val="00EE3CA0"/>
    <w:rsid w:val="00EF7E72"/>
    <w:rsid w:val="00F205A6"/>
    <w:rsid w:val="00F22BAD"/>
    <w:rsid w:val="00F36B49"/>
    <w:rsid w:val="00F66422"/>
    <w:rsid w:val="00FF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BF939"/>
  <w15:chartTrackingRefBased/>
  <w15:docId w15:val="{FC5F15D6-9D16-4406-8C28-950DC99E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E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24D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1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4DD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24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2FA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431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794D8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4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B74"/>
  </w:style>
  <w:style w:type="paragraph" w:styleId="Footer">
    <w:name w:val="footer"/>
    <w:basedOn w:val="Normal"/>
    <w:link w:val="FooterChar"/>
    <w:uiPriority w:val="99"/>
    <w:unhideWhenUsed/>
    <w:rsid w:val="00034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B74"/>
  </w:style>
  <w:style w:type="character" w:customStyle="1" w:styleId="Heading1Char">
    <w:name w:val="Heading 1 Char"/>
    <w:basedOn w:val="DefaultParagraphFont"/>
    <w:link w:val="Heading1"/>
    <w:uiPriority w:val="9"/>
    <w:rsid w:val="004B7E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ylinename">
    <w:name w:val="byline__name"/>
    <w:basedOn w:val="DefaultParagraphFont"/>
    <w:rsid w:val="004B7EE0"/>
  </w:style>
  <w:style w:type="character" w:customStyle="1" w:styleId="entry-author-name">
    <w:name w:val="entry-author-name"/>
    <w:basedOn w:val="DefaultParagraphFont"/>
    <w:rsid w:val="0034203E"/>
  </w:style>
  <w:style w:type="character" w:customStyle="1" w:styleId="entry-categories">
    <w:name w:val="entry-categories"/>
    <w:basedOn w:val="DefaultParagraphFont"/>
    <w:rsid w:val="00342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5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12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8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7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terms/c/creditrisk.a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wendykan/lending-club-loan-data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oselladb.com/credit-risk-analysis.ht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lendingmemo.com/lending-club-prosper-default-rat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endingmemo.com/category/p2p-lending-basic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2020-02-09T23:51:00Z</dcterms:created>
  <dcterms:modified xsi:type="dcterms:W3CDTF">2020-02-10T00:54:00Z</dcterms:modified>
</cp:coreProperties>
</file>