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A6D6" w14:textId="77777777" w:rsidR="001A0368" w:rsidRPr="001A0368" w:rsidRDefault="001A0368">
      <w:pPr>
        <w:rPr>
          <w:b/>
          <w:bCs/>
          <w:sz w:val="26"/>
          <w:szCs w:val="26"/>
          <w:u w:val="single"/>
          <w:lang w:val="en-GB"/>
        </w:rPr>
      </w:pPr>
      <w:r w:rsidRPr="001A0368">
        <w:rPr>
          <w:b/>
          <w:bCs/>
          <w:sz w:val="26"/>
          <w:szCs w:val="26"/>
          <w:u w:val="single"/>
          <w:lang w:val="en-GB"/>
        </w:rPr>
        <w:t>Step1:</w:t>
      </w:r>
    </w:p>
    <w:p w14:paraId="663D7EE6" w14:textId="3DA2237D" w:rsidR="00C33985" w:rsidRDefault="001A0368">
      <w:pPr>
        <w:rPr>
          <w:lang w:val="en-GB"/>
        </w:rPr>
      </w:pPr>
      <w:r w:rsidRPr="001A0368">
        <w:rPr>
          <w:lang w:val="en-GB"/>
        </w:rPr>
        <w:t>GameCo´s executive assum</w:t>
      </w:r>
      <w:r>
        <w:rPr>
          <w:lang w:val="en-GB"/>
        </w:rPr>
        <w:t>e</w:t>
      </w:r>
      <w:r w:rsidRPr="001A0368">
        <w:rPr>
          <w:lang w:val="en-GB"/>
        </w:rPr>
        <w:t>s that s</w:t>
      </w:r>
      <w:r>
        <w:rPr>
          <w:lang w:val="en-GB"/>
        </w:rPr>
        <w:t xml:space="preserve">ales have stayed stable across time, so we need to analyse, based on the data we have, if that assumption is true, and if not, how is reality different from the expectation and why do we think that </w:t>
      </w:r>
      <w:proofErr w:type="gramStart"/>
      <w:r>
        <w:rPr>
          <w:lang w:val="en-GB"/>
        </w:rPr>
        <w:t>in order for</w:t>
      </w:r>
      <w:proofErr w:type="gramEnd"/>
      <w:r>
        <w:rPr>
          <w:lang w:val="en-GB"/>
        </w:rPr>
        <w:t xml:space="preserve"> them to make marketing strategy decisions for 2017.</w:t>
      </w:r>
    </w:p>
    <w:p w14:paraId="10383B18" w14:textId="317ED094" w:rsidR="001A0368" w:rsidRPr="00EE625D" w:rsidRDefault="001A0368">
      <w:pPr>
        <w:rPr>
          <w:lang w:val="en-GB"/>
        </w:rPr>
      </w:pPr>
      <w:r>
        <w:rPr>
          <w:lang w:val="en-GB"/>
        </w:rPr>
        <w:t>For start</w:t>
      </w:r>
      <w:r w:rsidR="00CF554C">
        <w:rPr>
          <w:lang w:val="en-GB"/>
        </w:rPr>
        <w:t>er</w:t>
      </w:r>
      <w:r>
        <w:rPr>
          <w:lang w:val="en-GB"/>
        </w:rPr>
        <w:t xml:space="preserve">s, I think the best visualization to start with would </w:t>
      </w:r>
      <w:r w:rsidR="00EE625D">
        <w:rPr>
          <w:lang w:val="en-GB"/>
        </w:rPr>
        <w:t>be global sales by year</w:t>
      </w:r>
      <w:r>
        <w:rPr>
          <w:lang w:val="en-GB"/>
        </w:rPr>
        <w:t xml:space="preserve"> (Figure 1), that way we see the evolution of </w:t>
      </w:r>
      <w:r w:rsidR="00EF18D2">
        <w:rPr>
          <w:lang w:val="en-GB"/>
        </w:rPr>
        <w:t xml:space="preserve">sales </w:t>
      </w:r>
      <w:r>
        <w:rPr>
          <w:lang w:val="en-GB"/>
        </w:rPr>
        <w:t>across time.</w:t>
      </w:r>
    </w:p>
    <w:p w14:paraId="1EEEFF6E" w14:textId="466CB1F6" w:rsidR="001A0368" w:rsidRDefault="009011AA" w:rsidP="009011AA">
      <w:pPr>
        <w:pStyle w:val="Caption"/>
        <w:rPr>
          <w:lang w:val="en-GB"/>
        </w:rPr>
      </w:pPr>
      <w:r w:rsidRPr="009011AA">
        <w:rPr>
          <w:lang w:val="en-GB"/>
        </w:rPr>
        <w:t xml:space="preserve">Figure </w:t>
      </w:r>
      <w:r>
        <w:fldChar w:fldCharType="begin"/>
      </w:r>
      <w:r w:rsidRPr="009011AA">
        <w:rPr>
          <w:lang w:val="en-GB"/>
        </w:rPr>
        <w:instrText xml:space="preserve"> SEQ Figure \* ARABIC </w:instrText>
      </w:r>
      <w:r>
        <w:fldChar w:fldCharType="separate"/>
      </w:r>
      <w:r w:rsidRPr="009011AA">
        <w:rPr>
          <w:noProof/>
          <w:lang w:val="en-GB"/>
        </w:rPr>
        <w:t>1</w:t>
      </w:r>
      <w:r>
        <w:fldChar w:fldCharType="end"/>
      </w:r>
      <w:r w:rsidRPr="009011AA">
        <w:rPr>
          <w:lang w:val="en-GB"/>
        </w:rPr>
        <w:t>:</w:t>
      </w:r>
      <w:r w:rsidR="00EE625D">
        <w:rPr>
          <w:lang w:val="en-GB"/>
        </w:rPr>
        <w:t>Global</w:t>
      </w:r>
      <w:r w:rsidRPr="009011AA">
        <w:rPr>
          <w:lang w:val="en-GB"/>
        </w:rPr>
        <w:t xml:space="preserve"> sales by year</w:t>
      </w:r>
      <w:r w:rsidR="00B2564F" w:rsidRPr="00B2564F">
        <w:rPr>
          <w:noProof/>
          <w:lang w:val="en-GB"/>
        </w:rPr>
        <w:t xml:space="preserve"> </w:t>
      </w:r>
      <w:r w:rsidR="00B2564F">
        <w:rPr>
          <w:noProof/>
        </w:rPr>
        <w:drawing>
          <wp:inline distT="0" distB="0" distL="0" distR="0" wp14:anchorId="3B9B0349" wp14:editId="75DFF9A1">
            <wp:extent cx="5400040" cy="2378075"/>
            <wp:effectExtent l="0" t="0" r="10160" b="3175"/>
            <wp:docPr id="1" name="Chart 1">
              <a:extLst xmlns:a="http://schemas.openxmlformats.org/drawingml/2006/main">
                <a:ext uri="{FF2B5EF4-FFF2-40B4-BE49-F238E27FC236}">
                  <a16:creationId xmlns:a16="http://schemas.microsoft.com/office/drawing/2014/main" id="{236A1167-5976-D7D5-7D00-52F9F904C7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03768CE" w14:textId="2CA101D4" w:rsidR="001A0368" w:rsidRDefault="001A0368" w:rsidP="001A0368">
      <w:pPr>
        <w:rPr>
          <w:lang w:val="en-GB"/>
        </w:rPr>
      </w:pPr>
    </w:p>
    <w:p w14:paraId="37CFEA19" w14:textId="5A11C45A" w:rsidR="009011AA" w:rsidRDefault="009011AA" w:rsidP="001A0368">
      <w:pPr>
        <w:rPr>
          <w:lang w:val="en-GB"/>
        </w:rPr>
      </w:pPr>
      <w:r>
        <w:rPr>
          <w:lang w:val="en-GB"/>
        </w:rPr>
        <w:t xml:space="preserve">Observing the figure above, we can safely say that the expectation of GameCo´s executive </w:t>
      </w:r>
      <w:r w:rsidR="00EF18D2">
        <w:rPr>
          <w:lang w:val="en-GB"/>
        </w:rPr>
        <w:t xml:space="preserve">board </w:t>
      </w:r>
      <w:r>
        <w:rPr>
          <w:lang w:val="en-GB"/>
        </w:rPr>
        <w:t>was wrong. Sales have not been stable across time, so now what we should do is try to make more sense of that insight and understand why and how sales were changing across time</w:t>
      </w:r>
      <w:r w:rsidR="00EE625D">
        <w:rPr>
          <w:lang w:val="en-GB"/>
        </w:rPr>
        <w:t xml:space="preserve"> in all different regions because the executive </w:t>
      </w:r>
      <w:r w:rsidR="005862D6">
        <w:rPr>
          <w:lang w:val="en-GB"/>
        </w:rPr>
        <w:t xml:space="preserve">board </w:t>
      </w:r>
      <w:r w:rsidR="00EE625D">
        <w:rPr>
          <w:lang w:val="en-GB"/>
        </w:rPr>
        <w:t xml:space="preserve">wants the study to be conducted by region. </w:t>
      </w:r>
    </w:p>
    <w:p w14:paraId="60233E31" w14:textId="267D6E64" w:rsidR="00EE625D" w:rsidRDefault="00B2564F" w:rsidP="00EE625D">
      <w:pPr>
        <w:rPr>
          <w:lang w:val="en-GB"/>
        </w:rPr>
      </w:pPr>
      <w:r>
        <w:rPr>
          <w:lang w:val="en-GB"/>
        </w:rPr>
        <w:t>From previous exercises, we can also see that regional sales were also different by game´s genre. Some genres sold better in Japan, others sold better in North America and Europe</w:t>
      </w:r>
      <w:r w:rsidR="00EE625D">
        <w:rPr>
          <w:lang w:val="en-GB"/>
        </w:rPr>
        <w:t xml:space="preserve">. For that, I thought about visualizing the evolution of the </w:t>
      </w:r>
      <w:r w:rsidR="003A4F5F">
        <w:rPr>
          <w:lang w:val="en-GB"/>
        </w:rPr>
        <w:t>top selling</w:t>
      </w:r>
      <w:r w:rsidR="00EE625D">
        <w:rPr>
          <w:lang w:val="en-GB"/>
        </w:rPr>
        <w:t xml:space="preserve"> genre in each region across time. </w:t>
      </w:r>
    </w:p>
    <w:p w14:paraId="2C501E1A" w14:textId="7D780740" w:rsidR="001474F0" w:rsidRDefault="001474F0" w:rsidP="00EE625D">
      <w:pPr>
        <w:rPr>
          <w:lang w:val="en-GB"/>
        </w:rPr>
      </w:pPr>
      <w:r>
        <w:rPr>
          <w:noProof/>
        </w:rPr>
        <w:drawing>
          <wp:inline distT="0" distB="0" distL="0" distR="0" wp14:anchorId="00BB2A8C" wp14:editId="3E29FAEE">
            <wp:extent cx="5400040" cy="2290445"/>
            <wp:effectExtent l="0" t="0" r="10160" b="14605"/>
            <wp:docPr id="2" name="Chart 2">
              <a:extLst xmlns:a="http://schemas.openxmlformats.org/drawingml/2006/main">
                <a:ext uri="{FF2B5EF4-FFF2-40B4-BE49-F238E27FC236}">
                  <a16:creationId xmlns:a16="http://schemas.microsoft.com/office/drawing/2014/main" id="{14BB247B-C4CA-EBF0-29D8-DBED6C2A7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4B3A681" w14:textId="77777777" w:rsidR="00EE625D" w:rsidRDefault="00EE625D" w:rsidP="00EE625D">
      <w:pPr>
        <w:rPr>
          <w:lang w:val="en-GB"/>
        </w:rPr>
      </w:pPr>
    </w:p>
    <w:p w14:paraId="01D6418E" w14:textId="4A08955D" w:rsidR="001474F0" w:rsidRDefault="001474F0" w:rsidP="00EE625D">
      <w:pPr>
        <w:rPr>
          <w:lang w:val="en-GB"/>
        </w:rPr>
      </w:pPr>
      <w:r>
        <w:rPr>
          <w:noProof/>
        </w:rPr>
        <w:drawing>
          <wp:inline distT="0" distB="0" distL="0" distR="0" wp14:anchorId="4656FA49" wp14:editId="1096BDD9">
            <wp:extent cx="5400040" cy="2549525"/>
            <wp:effectExtent l="0" t="0" r="10160" b="3175"/>
            <wp:docPr id="3" name="Chart 3">
              <a:extLst xmlns:a="http://schemas.openxmlformats.org/drawingml/2006/main">
                <a:ext uri="{FF2B5EF4-FFF2-40B4-BE49-F238E27FC236}">
                  <a16:creationId xmlns:a16="http://schemas.microsoft.com/office/drawing/2014/main" id="{B43F88C3-D8ED-B20C-F0C9-616AD01D0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E392B1" w14:textId="77777777" w:rsidR="002066DA" w:rsidRDefault="002066DA" w:rsidP="00EE625D">
      <w:pPr>
        <w:rPr>
          <w:lang w:val="en-GB"/>
        </w:rPr>
      </w:pPr>
    </w:p>
    <w:p w14:paraId="18AF9720" w14:textId="26618BF4" w:rsidR="001474F0" w:rsidRDefault="002066DA" w:rsidP="00EE625D">
      <w:pPr>
        <w:rPr>
          <w:lang w:val="en-GB"/>
        </w:rPr>
      </w:pPr>
      <w:r>
        <w:rPr>
          <w:noProof/>
        </w:rPr>
        <w:drawing>
          <wp:inline distT="0" distB="0" distL="0" distR="0" wp14:anchorId="0742D75A" wp14:editId="3069FB5A">
            <wp:extent cx="5400040" cy="2280285"/>
            <wp:effectExtent l="0" t="0" r="10160" b="5715"/>
            <wp:docPr id="4" name="Chart 4">
              <a:extLst xmlns:a="http://schemas.openxmlformats.org/drawingml/2006/main">
                <a:ext uri="{FF2B5EF4-FFF2-40B4-BE49-F238E27FC236}">
                  <a16:creationId xmlns:a16="http://schemas.microsoft.com/office/drawing/2014/main" id="{AA0D5CE3-D04A-C67E-BE5B-12BA6A4A3E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E963CC" w14:textId="77777777" w:rsidR="002066DA" w:rsidRDefault="002066DA" w:rsidP="00EE625D">
      <w:pPr>
        <w:rPr>
          <w:lang w:val="en-GB"/>
        </w:rPr>
      </w:pPr>
    </w:p>
    <w:p w14:paraId="040E92FF" w14:textId="77777777" w:rsidR="001474F0" w:rsidRDefault="001474F0" w:rsidP="00EE625D">
      <w:pPr>
        <w:rPr>
          <w:lang w:val="en-GB"/>
        </w:rPr>
      </w:pPr>
    </w:p>
    <w:p w14:paraId="22644CC9" w14:textId="7CE27A2E" w:rsidR="002066DA" w:rsidRDefault="00EE625D" w:rsidP="00EE625D">
      <w:pPr>
        <w:rPr>
          <w:lang w:val="en-GB"/>
        </w:rPr>
      </w:pPr>
      <w:r>
        <w:rPr>
          <w:lang w:val="en-GB"/>
        </w:rPr>
        <w:t>S</w:t>
      </w:r>
      <w:r w:rsidR="00B2564F">
        <w:rPr>
          <w:lang w:val="en-GB"/>
        </w:rPr>
        <w:t>o</w:t>
      </w:r>
      <w:r w:rsidR="002066DA">
        <w:rPr>
          <w:lang w:val="en-GB"/>
        </w:rPr>
        <w:t>,</w:t>
      </w:r>
      <w:r w:rsidR="00B2564F">
        <w:rPr>
          <w:lang w:val="en-GB"/>
        </w:rPr>
        <w:t xml:space="preserve"> it would be quite a coincidence to have stable sales in all regions when </w:t>
      </w:r>
      <w:r w:rsidR="002066DA">
        <w:rPr>
          <w:lang w:val="en-GB"/>
        </w:rPr>
        <w:t xml:space="preserve">the most selling genre in each region has not been stable across time. And </w:t>
      </w:r>
      <w:proofErr w:type="gramStart"/>
      <w:r w:rsidR="002066DA">
        <w:rPr>
          <w:lang w:val="en-GB"/>
        </w:rPr>
        <w:t>taking into account</w:t>
      </w:r>
      <w:proofErr w:type="gramEnd"/>
      <w:r w:rsidR="002066DA">
        <w:rPr>
          <w:lang w:val="en-GB"/>
        </w:rPr>
        <w:t xml:space="preserve"> figure one, we can conclude, for now, that reality does not match the executive expectations.</w:t>
      </w:r>
    </w:p>
    <w:p w14:paraId="08B8E0EC" w14:textId="68C900F0" w:rsidR="00B2564F" w:rsidRDefault="00B2564F" w:rsidP="00EE625D">
      <w:pPr>
        <w:rPr>
          <w:lang w:val="en-GB"/>
        </w:rPr>
      </w:pPr>
      <w:r>
        <w:rPr>
          <w:lang w:val="en-GB"/>
        </w:rPr>
        <w:t xml:space="preserve"> </w:t>
      </w:r>
    </w:p>
    <w:p w14:paraId="2DDA98AF" w14:textId="0235E855" w:rsidR="002066DA" w:rsidRDefault="002066DA" w:rsidP="00EE625D">
      <w:pPr>
        <w:rPr>
          <w:lang w:val="en-GB"/>
        </w:rPr>
      </w:pPr>
      <w:r>
        <w:rPr>
          <w:noProof/>
          <w:lang w:val="en-GB"/>
        </w:rPr>
        <mc:AlternateContent>
          <mc:Choice Requires="wps">
            <w:drawing>
              <wp:anchor distT="0" distB="0" distL="114300" distR="114300" simplePos="0" relativeHeight="251659264" behindDoc="0" locked="0" layoutInCell="1" allowOverlap="1" wp14:anchorId="425CEA64" wp14:editId="0CA505C7">
                <wp:simplePos x="0" y="0"/>
                <wp:positionH relativeFrom="margin">
                  <wp:align>left</wp:align>
                </wp:positionH>
                <wp:positionV relativeFrom="paragraph">
                  <wp:posOffset>7621</wp:posOffset>
                </wp:positionV>
                <wp:extent cx="53816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381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00F11" id="Straight Connector 5"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23.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" strokecolor="#4472c4 [3204]" strokeweight=".5pt">
                <v:stroke joinstyle="miter"/>
                <w10:wrap anchorx="margin"/>
              </v:line>
            </w:pict>
          </mc:Fallback>
        </mc:AlternateContent>
      </w:r>
    </w:p>
    <w:p w14:paraId="42564FA3" w14:textId="3A2005F3" w:rsidR="00B2564F" w:rsidRPr="002066DA" w:rsidRDefault="002066DA" w:rsidP="001A0368">
      <w:pPr>
        <w:rPr>
          <w:b/>
          <w:bCs/>
          <w:sz w:val="26"/>
          <w:szCs w:val="26"/>
          <w:u w:val="single"/>
          <w:lang w:val="en-GB"/>
        </w:rPr>
      </w:pPr>
      <w:r w:rsidRPr="002066DA">
        <w:rPr>
          <w:b/>
          <w:bCs/>
          <w:sz w:val="26"/>
          <w:szCs w:val="26"/>
          <w:u w:val="single"/>
          <w:lang w:val="en-GB"/>
        </w:rPr>
        <w:t>Step 4:</w:t>
      </w:r>
    </w:p>
    <w:p w14:paraId="4F1E3A9B" w14:textId="77777777" w:rsidR="00E13ED8" w:rsidRDefault="00D975F9" w:rsidP="001A0368">
      <w:pPr>
        <w:rPr>
          <w:noProof/>
          <w:lang w:val="en-US"/>
        </w:rPr>
      </w:pPr>
      <w:r>
        <w:rPr>
          <w:noProof/>
          <w:lang w:val="en-US"/>
        </w:rPr>
        <w:t>I created a line chart for sales between 1980 and 2016 in all regions.</w:t>
      </w:r>
      <w:r w:rsidR="00D71185">
        <w:rPr>
          <w:noProof/>
          <w:lang w:val="en-US"/>
        </w:rPr>
        <w:t xml:space="preserve"> That way we can test the asumption of the exicutive board about the stability of sales in all regions across time. When we discovered that the board’s expectation was incorrect, </w:t>
      </w:r>
      <w:r w:rsidR="009B0A4A">
        <w:rPr>
          <w:noProof/>
          <w:lang w:val="en-US"/>
        </w:rPr>
        <w:t xml:space="preserve">we assumed that the instability could be related to the number of games published across time. So, we created our next visualization for the number of games published by the top three publishers in each region across the same period of time. The third visualization we created was a response for the </w:t>
      </w:r>
      <w:r w:rsidR="009B0A4A">
        <w:rPr>
          <w:noProof/>
          <w:lang w:val="en-US"/>
        </w:rPr>
        <w:lastRenderedPageBreak/>
        <w:t xml:space="preserve">necessity of the borad for their marketing budgent planning in 2017. It was based on dividing </w:t>
      </w:r>
      <w:r w:rsidR="00E13ED8">
        <w:rPr>
          <w:noProof/>
          <w:lang w:val="en-US"/>
        </w:rPr>
        <w:t>game sales in each region by genre so that the board can have a better idea about where to invest more money in each region.</w:t>
      </w:r>
    </w:p>
    <w:p w14:paraId="79910D19" w14:textId="38FFF9C8" w:rsidR="002066DA" w:rsidRDefault="009B0A4A" w:rsidP="001A0368">
      <w:pPr>
        <w:rPr>
          <w:lang w:val="en-GB"/>
        </w:rPr>
      </w:pPr>
      <w:r>
        <w:rPr>
          <w:noProof/>
          <w:lang w:val="en-US"/>
        </w:rPr>
        <w:t xml:space="preserve"> </w:t>
      </w:r>
    </w:p>
    <w:p w14:paraId="0DA09B67" w14:textId="65767E8E" w:rsidR="00ED7E48" w:rsidRDefault="00ED7E48" w:rsidP="001A0368">
      <w:pPr>
        <w:rPr>
          <w:lang w:val="en-GB"/>
        </w:rPr>
      </w:pPr>
    </w:p>
    <w:p w14:paraId="0DE1FA03" w14:textId="3140F233" w:rsidR="00ED7E48" w:rsidRDefault="00ED7E48" w:rsidP="001A0368">
      <w:pPr>
        <w:rPr>
          <w:lang w:val="en-GB"/>
        </w:rPr>
      </w:pPr>
    </w:p>
    <w:p w14:paraId="23984F58" w14:textId="25289B04" w:rsidR="00ED7E48" w:rsidRDefault="00ED7E48" w:rsidP="001A0368">
      <w:pPr>
        <w:rPr>
          <w:lang w:val="en-GB"/>
        </w:rPr>
      </w:pPr>
    </w:p>
    <w:p w14:paraId="21CFBD33" w14:textId="399A11B6" w:rsidR="00ED7E48" w:rsidRDefault="00ED7E48" w:rsidP="001A0368">
      <w:pPr>
        <w:rPr>
          <w:lang w:val="en-GB"/>
        </w:rPr>
      </w:pPr>
    </w:p>
    <w:p w14:paraId="66A65832" w14:textId="16925148" w:rsidR="00ED7E48" w:rsidRDefault="00ED7E48" w:rsidP="001A0368">
      <w:pPr>
        <w:rPr>
          <w:lang w:val="en-GB"/>
        </w:rPr>
      </w:pPr>
    </w:p>
    <w:p w14:paraId="0644E5D7" w14:textId="1C3222CE" w:rsidR="00ED7E48" w:rsidRDefault="00ED7E48" w:rsidP="001A0368">
      <w:pPr>
        <w:rPr>
          <w:lang w:val="en-GB"/>
        </w:rPr>
      </w:pPr>
    </w:p>
    <w:p w14:paraId="4A6DE711" w14:textId="754653C9" w:rsidR="00ED7E48" w:rsidRDefault="00ED7E48" w:rsidP="001A0368">
      <w:pPr>
        <w:rPr>
          <w:lang w:val="en-GB"/>
        </w:rPr>
      </w:pPr>
    </w:p>
    <w:p w14:paraId="26093358" w14:textId="77777777" w:rsidR="00ED7E48" w:rsidRPr="001A0368" w:rsidRDefault="00ED7E48" w:rsidP="001A0368">
      <w:pPr>
        <w:rPr>
          <w:rtl/>
          <w:lang w:val="en-GB"/>
        </w:rPr>
      </w:pPr>
    </w:p>
    <w:sectPr w:rsidR="00ED7E48" w:rsidRPr="001A03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68"/>
    <w:rsid w:val="001474F0"/>
    <w:rsid w:val="0015708E"/>
    <w:rsid w:val="001A0368"/>
    <w:rsid w:val="002066DA"/>
    <w:rsid w:val="003A4F5F"/>
    <w:rsid w:val="00445AA5"/>
    <w:rsid w:val="00535205"/>
    <w:rsid w:val="005862D6"/>
    <w:rsid w:val="005A21BF"/>
    <w:rsid w:val="007E222A"/>
    <w:rsid w:val="008052CD"/>
    <w:rsid w:val="008C3496"/>
    <w:rsid w:val="009011AA"/>
    <w:rsid w:val="009B0A4A"/>
    <w:rsid w:val="00B2564F"/>
    <w:rsid w:val="00C33985"/>
    <w:rsid w:val="00CF554C"/>
    <w:rsid w:val="00D71185"/>
    <w:rsid w:val="00D975F9"/>
    <w:rsid w:val="00E13ED8"/>
    <w:rsid w:val="00ED7E48"/>
    <w:rsid w:val="00EE625D"/>
    <w:rsid w:val="00EF18D2"/>
    <w:rsid w:val="00F740B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6738"/>
  <w15:chartTrackingRefBased/>
  <w15:docId w15:val="{A2B85BA6-08AD-41AB-BBBB-78160434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011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DIA\Desktop\Anas\Ghaleb\vgsales_clean_%20(practice%20cop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DIA\Desktop\Anas\Ghaleb\vgsales_clean_%20(practice%20co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DIA\Desktop\Anas\Ghaleb\vgsales_clean_%20(practice%20cop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DIA\Desktop\Anas\Ghaleb\Exercise%2010\vgsales_clean_%20Ecercise%2010.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[vgsales_clean_ (practice copy).xlsx]Global sales by year!PivotTable2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baseline="0"/>
              <a:t>Global sales by year</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'Global sales by year'!$B$1</c:f>
              <c:strCache>
                <c:ptCount val="1"/>
                <c:pt idx="0">
                  <c:v>Total</c:v>
                </c:pt>
              </c:strCache>
            </c:strRef>
          </c:tx>
          <c:spPr>
            <a:ln w="28575" cap="rnd">
              <a:solidFill>
                <a:schemeClr val="accent1"/>
              </a:solidFill>
              <a:round/>
            </a:ln>
            <a:effectLst/>
          </c:spPr>
          <c:marker>
            <c:symbol val="none"/>
          </c:marker>
          <c:cat>
            <c:strRef>
              <c:f>'Global sales by year'!$A$2:$A$15</c:f>
              <c:strCache>
                <c:ptCount val="13"/>
                <c:pt idx="0">
                  <c:v>1980-1982</c:v>
                </c:pt>
                <c:pt idx="1">
                  <c:v>1983-1985</c:v>
                </c:pt>
                <c:pt idx="2">
                  <c:v>1986-1988</c:v>
                </c:pt>
                <c:pt idx="3">
                  <c:v>1989-1991</c:v>
                </c:pt>
                <c:pt idx="4">
                  <c:v>1992-1994</c:v>
                </c:pt>
                <c:pt idx="5">
                  <c:v>1995-1997</c:v>
                </c:pt>
                <c:pt idx="6">
                  <c:v>1998-2000</c:v>
                </c:pt>
                <c:pt idx="7">
                  <c:v>2001-2003</c:v>
                </c:pt>
                <c:pt idx="8">
                  <c:v>2004-2006</c:v>
                </c:pt>
                <c:pt idx="9">
                  <c:v>2007-2009</c:v>
                </c:pt>
                <c:pt idx="10">
                  <c:v>2010-2012</c:v>
                </c:pt>
                <c:pt idx="11">
                  <c:v>2013-2015</c:v>
                </c:pt>
                <c:pt idx="12">
                  <c:v>2016</c:v>
                </c:pt>
              </c:strCache>
            </c:strRef>
          </c:cat>
          <c:val>
            <c:numRef>
              <c:f>'Global sales by year'!$B$2:$B$15</c:f>
              <c:numCache>
                <c:formatCode>General</c:formatCode>
                <c:ptCount val="13"/>
                <c:pt idx="0">
                  <c:v>76.010000000000005</c:v>
                </c:pt>
                <c:pt idx="1">
                  <c:v>121.08999999999996</c:v>
                </c:pt>
                <c:pt idx="2">
                  <c:v>106.03000000000006</c:v>
                </c:pt>
                <c:pt idx="3">
                  <c:v>155.07</c:v>
                </c:pt>
                <c:pt idx="4">
                  <c:v>201.31000000000017</c:v>
                </c:pt>
                <c:pt idx="5">
                  <c:v>488.23999999999927</c:v>
                </c:pt>
                <c:pt idx="6">
                  <c:v>709.29999999999688</c:v>
                </c:pt>
                <c:pt idx="7">
                  <c:v>1084.8399999999895</c:v>
                </c:pt>
                <c:pt idx="8">
                  <c:v>1400.2899999999656</c:v>
                </c:pt>
                <c:pt idx="9">
                  <c:v>1959.3299999999506</c:v>
                </c:pt>
                <c:pt idx="10">
                  <c:v>1480.4799999999652</c:v>
                </c:pt>
                <c:pt idx="11">
                  <c:v>970.09999999999081</c:v>
                </c:pt>
                <c:pt idx="12">
                  <c:v>70.930000000000078</c:v>
                </c:pt>
              </c:numCache>
            </c:numRef>
          </c:val>
          <c:smooth val="0"/>
          <c:extLst>
            <c:ext xmlns:c16="http://schemas.microsoft.com/office/drawing/2014/chart" uri="{C3380CC4-5D6E-409C-BE32-E72D297353CC}">
              <c16:uniqueId val="{00000005-E8F9-4346-B83F-1DBF52F4D931}"/>
            </c:ext>
          </c:extLst>
        </c:ser>
        <c:dLbls>
          <c:showLegendKey val="0"/>
          <c:showVal val="0"/>
          <c:showCatName val="0"/>
          <c:showSerName val="0"/>
          <c:showPercent val="0"/>
          <c:showBubbleSize val="0"/>
        </c:dLbls>
        <c:smooth val="0"/>
        <c:axId val="11093920"/>
        <c:axId val="11094336"/>
      </c:lineChart>
      <c:catAx>
        <c:axId val="1109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1094336"/>
        <c:crosses val="autoZero"/>
        <c:auto val="1"/>
        <c:lblAlgn val="ctr"/>
        <c:lblOffset val="100"/>
        <c:noMultiLvlLbl val="0"/>
      </c:catAx>
      <c:valAx>
        <c:axId val="1109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1093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[vgsales_clean_ (practice copy).xlsx]Role-palying, Japan!PivotTable3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Role-playing games sales by year in Japan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'Role-palying, Japan'!$B$3</c:f>
              <c:strCache>
                <c:ptCount val="1"/>
                <c:pt idx="0">
                  <c:v>Total</c:v>
                </c:pt>
              </c:strCache>
            </c:strRef>
          </c:tx>
          <c:spPr>
            <a:ln w="28575" cap="rnd">
              <a:solidFill>
                <a:schemeClr val="accent1"/>
              </a:solidFill>
              <a:round/>
            </a:ln>
            <a:effectLst/>
          </c:spPr>
          <c:marker>
            <c:symbol val="none"/>
          </c:marker>
          <c:cat>
            <c:strRef>
              <c:f>'Role-palying, Japan'!$A$4:$A$35</c:f>
              <c:strCache>
                <c:ptCount val="31"/>
                <c:pt idx="0">
                  <c:v>1986</c:v>
                </c:pt>
                <c:pt idx="1">
                  <c:v>1987</c:v>
                </c:pt>
                <c:pt idx="2">
                  <c:v>1988</c:v>
                </c:pt>
                <c:pt idx="3">
                  <c:v>1989</c:v>
                </c:pt>
                <c:pt idx="4">
                  <c:v>1990</c:v>
                </c:pt>
                <c:pt idx="5">
                  <c:v>1991</c:v>
                </c:pt>
                <c:pt idx="6">
                  <c:v>1992</c:v>
                </c:pt>
                <c:pt idx="7">
                  <c:v>1993</c:v>
                </c:pt>
                <c:pt idx="8">
                  <c:v>1994</c:v>
                </c:pt>
                <c:pt idx="9">
                  <c:v>1995</c:v>
                </c:pt>
                <c:pt idx="10">
                  <c:v>1996</c:v>
                </c:pt>
                <c:pt idx="11">
                  <c:v>1997</c:v>
                </c:pt>
                <c:pt idx="12">
                  <c:v>1998</c:v>
                </c:pt>
                <c:pt idx="13">
                  <c:v>1999</c:v>
                </c:pt>
                <c:pt idx="14">
                  <c:v>2000</c:v>
                </c:pt>
                <c:pt idx="15">
                  <c:v>2001</c:v>
                </c:pt>
                <c:pt idx="16">
                  <c:v>2002</c:v>
                </c:pt>
                <c:pt idx="17">
                  <c:v>2003</c:v>
                </c:pt>
                <c:pt idx="18">
                  <c:v>2004</c:v>
                </c:pt>
                <c:pt idx="19">
                  <c:v>2005</c:v>
                </c:pt>
                <c:pt idx="20">
                  <c:v>2006</c:v>
                </c:pt>
                <c:pt idx="21">
                  <c:v>2007</c:v>
                </c:pt>
                <c:pt idx="22">
                  <c:v>2008</c:v>
                </c:pt>
                <c:pt idx="23">
                  <c:v>2009</c:v>
                </c:pt>
                <c:pt idx="24">
                  <c:v>2010</c:v>
                </c:pt>
                <c:pt idx="25">
                  <c:v>2011</c:v>
                </c:pt>
                <c:pt idx="26">
                  <c:v>2012</c:v>
                </c:pt>
                <c:pt idx="27">
                  <c:v>2013</c:v>
                </c:pt>
                <c:pt idx="28">
                  <c:v>2014</c:v>
                </c:pt>
                <c:pt idx="29">
                  <c:v>2015</c:v>
                </c:pt>
                <c:pt idx="30">
                  <c:v>2016</c:v>
                </c:pt>
              </c:strCache>
            </c:strRef>
          </c:cat>
          <c:val>
            <c:numRef>
              <c:f>'Role-palying, Japan'!$B$4:$B$35</c:f>
              <c:numCache>
                <c:formatCode>General</c:formatCode>
                <c:ptCount val="31"/>
                <c:pt idx="0">
                  <c:v>0.52</c:v>
                </c:pt>
                <c:pt idx="1">
                  <c:v>4.18</c:v>
                </c:pt>
                <c:pt idx="2">
                  <c:v>5.7799999999999994</c:v>
                </c:pt>
                <c:pt idx="3">
                  <c:v>2.2000000000000002</c:v>
                </c:pt>
                <c:pt idx="4">
                  <c:v>4.42</c:v>
                </c:pt>
                <c:pt idx="5">
                  <c:v>2.81</c:v>
                </c:pt>
                <c:pt idx="6">
                  <c:v>6.83</c:v>
                </c:pt>
                <c:pt idx="7">
                  <c:v>5.25</c:v>
                </c:pt>
                <c:pt idx="8">
                  <c:v>6.23</c:v>
                </c:pt>
                <c:pt idx="9">
                  <c:v>13.09</c:v>
                </c:pt>
                <c:pt idx="10">
                  <c:v>18.779999999999998</c:v>
                </c:pt>
                <c:pt idx="11">
                  <c:v>11.56</c:v>
                </c:pt>
                <c:pt idx="12">
                  <c:v>11.330000000000004</c:v>
                </c:pt>
                <c:pt idx="13">
                  <c:v>18.700000000000003</c:v>
                </c:pt>
                <c:pt idx="14">
                  <c:v>15.8</c:v>
                </c:pt>
                <c:pt idx="15">
                  <c:v>9.5500000000000007</c:v>
                </c:pt>
                <c:pt idx="16">
                  <c:v>13.639999999999999</c:v>
                </c:pt>
                <c:pt idx="17">
                  <c:v>9.629999999999999</c:v>
                </c:pt>
                <c:pt idx="18">
                  <c:v>13.489999999999997</c:v>
                </c:pt>
                <c:pt idx="19">
                  <c:v>9.2200000000000006</c:v>
                </c:pt>
                <c:pt idx="20">
                  <c:v>19.829999999999988</c:v>
                </c:pt>
                <c:pt idx="21">
                  <c:v>12.429999999999998</c:v>
                </c:pt>
                <c:pt idx="22">
                  <c:v>17.509999999999991</c:v>
                </c:pt>
                <c:pt idx="23">
                  <c:v>17.069999999999997</c:v>
                </c:pt>
                <c:pt idx="24">
                  <c:v>23.669999999999991</c:v>
                </c:pt>
                <c:pt idx="25">
                  <c:v>14.43</c:v>
                </c:pt>
                <c:pt idx="26">
                  <c:v>14.390000000000002</c:v>
                </c:pt>
                <c:pt idx="27">
                  <c:v>19.859999999999992</c:v>
                </c:pt>
                <c:pt idx="28">
                  <c:v>17.71</c:v>
                </c:pt>
                <c:pt idx="29">
                  <c:v>6.7099999999999973</c:v>
                </c:pt>
                <c:pt idx="30">
                  <c:v>3.6299999999999994</c:v>
                </c:pt>
              </c:numCache>
            </c:numRef>
          </c:val>
          <c:smooth val="0"/>
          <c:extLst>
            <c:ext xmlns:c16="http://schemas.microsoft.com/office/drawing/2014/chart" uri="{C3380CC4-5D6E-409C-BE32-E72D297353CC}">
              <c16:uniqueId val="{00000000-C17C-4368-BB05-103A01EABA36}"/>
            </c:ext>
          </c:extLst>
        </c:ser>
        <c:dLbls>
          <c:showLegendKey val="0"/>
          <c:showVal val="0"/>
          <c:showCatName val="0"/>
          <c:showSerName val="0"/>
          <c:showPercent val="0"/>
          <c:showBubbleSize val="0"/>
        </c:dLbls>
        <c:smooth val="0"/>
        <c:axId val="125512624"/>
        <c:axId val="125513872"/>
      </c:lineChart>
      <c:catAx>
        <c:axId val="12551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25513872"/>
        <c:crosses val="autoZero"/>
        <c:auto val="1"/>
        <c:lblAlgn val="ctr"/>
        <c:lblOffset val="100"/>
        <c:noMultiLvlLbl val="0"/>
      </c:catAx>
      <c:valAx>
        <c:axId val="12551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25512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[vgsales_clean_ (practice copy).xlsx]Action, Europe!PivotTable5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Action</a:t>
            </a:r>
            <a:r>
              <a:rPr lang="en-US" baseline="0"/>
              <a:t> games sales by year in Europe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'Action, Europe'!$B$3</c:f>
              <c:strCache>
                <c:ptCount val="1"/>
                <c:pt idx="0">
                  <c:v>Total</c:v>
                </c:pt>
              </c:strCache>
            </c:strRef>
          </c:tx>
          <c:spPr>
            <a:ln w="28575" cap="rnd">
              <a:solidFill>
                <a:schemeClr val="accent1"/>
              </a:solidFill>
              <a:round/>
            </a:ln>
            <a:effectLst/>
          </c:spPr>
          <c:marker>
            <c:symbol val="none"/>
          </c:marker>
          <c:cat>
            <c:strRef>
              <c:f>'Action, Europe'!$A$4:$A$41</c:f>
              <c:strCach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strCache>
            </c:strRef>
          </c:cat>
          <c:val>
            <c:numRef>
              <c:f>'Action, Europe'!$B$4:$B$41</c:f>
              <c:numCache>
                <c:formatCode>General</c:formatCode>
                <c:ptCount val="37"/>
                <c:pt idx="0">
                  <c:v>0.02</c:v>
                </c:pt>
                <c:pt idx="1">
                  <c:v>0.81000000000000016</c:v>
                </c:pt>
                <c:pt idx="2">
                  <c:v>0.38000000000000017</c:v>
                </c:pt>
                <c:pt idx="3">
                  <c:v>0.16999999999999998</c:v>
                </c:pt>
                <c:pt idx="4">
                  <c:v>0.19</c:v>
                </c:pt>
                <c:pt idx="5">
                  <c:v>0.38</c:v>
                </c:pt>
                <c:pt idx="6">
                  <c:v>1.66</c:v>
                </c:pt>
                <c:pt idx="7">
                  <c:v>0.06</c:v>
                </c:pt>
                <c:pt idx="8">
                  <c:v>0.16</c:v>
                </c:pt>
                <c:pt idx="9">
                  <c:v>0.46</c:v>
                </c:pt>
                <c:pt idx="10">
                  <c:v>0.97000000000000008</c:v>
                </c:pt>
                <c:pt idx="11">
                  <c:v>1.08</c:v>
                </c:pt>
                <c:pt idx="12">
                  <c:v>0.96</c:v>
                </c:pt>
                <c:pt idx="13">
                  <c:v>0.22</c:v>
                </c:pt>
                <c:pt idx="14">
                  <c:v>0.12</c:v>
                </c:pt>
                <c:pt idx="15">
                  <c:v>0.45</c:v>
                </c:pt>
                <c:pt idx="16">
                  <c:v>5.8799999999999981</c:v>
                </c:pt>
                <c:pt idx="17">
                  <c:v>9.8599999999999977</c:v>
                </c:pt>
                <c:pt idx="18">
                  <c:v>11.899999999999997</c:v>
                </c:pt>
                <c:pt idx="19">
                  <c:v>8.68</c:v>
                </c:pt>
                <c:pt idx="20">
                  <c:v>10.84</c:v>
                </c:pt>
                <c:pt idx="21">
                  <c:v>19.250000000000004</c:v>
                </c:pt>
                <c:pt idx="22">
                  <c:v>27.010000000000016</c:v>
                </c:pt>
                <c:pt idx="23">
                  <c:v>20.879999999999974</c:v>
                </c:pt>
                <c:pt idx="24">
                  <c:v>16.029999999999983</c:v>
                </c:pt>
                <c:pt idx="25">
                  <c:v>21.949999999999978</c:v>
                </c:pt>
                <c:pt idx="26">
                  <c:v>15.289999999999971</c:v>
                </c:pt>
                <c:pt idx="27">
                  <c:v>25.860000000000028</c:v>
                </c:pt>
                <c:pt idx="28">
                  <c:v>39.489999999999995</c:v>
                </c:pt>
                <c:pt idx="29">
                  <c:v>39.200000000000024</c:v>
                </c:pt>
                <c:pt idx="30">
                  <c:v>35.750000000000028</c:v>
                </c:pt>
                <c:pt idx="31">
                  <c:v>41.04000000000002</c:v>
                </c:pt>
                <c:pt idx="32">
                  <c:v>42.780000000000022</c:v>
                </c:pt>
                <c:pt idx="33">
                  <c:v>45.210000000000051</c:v>
                </c:pt>
                <c:pt idx="34">
                  <c:v>40.480000000000025</c:v>
                </c:pt>
                <c:pt idx="35">
                  <c:v>24.649999999999991</c:v>
                </c:pt>
                <c:pt idx="36">
                  <c:v>6.3600000000000012</c:v>
                </c:pt>
              </c:numCache>
            </c:numRef>
          </c:val>
          <c:smooth val="0"/>
          <c:extLst>
            <c:ext xmlns:c16="http://schemas.microsoft.com/office/drawing/2014/chart" uri="{C3380CC4-5D6E-409C-BE32-E72D297353CC}">
              <c16:uniqueId val="{00000000-6F46-45F0-8364-B67580B146CC}"/>
            </c:ext>
          </c:extLst>
        </c:ser>
        <c:dLbls>
          <c:showLegendKey val="0"/>
          <c:showVal val="0"/>
          <c:showCatName val="0"/>
          <c:showSerName val="0"/>
          <c:showPercent val="0"/>
          <c:showBubbleSize val="0"/>
        </c:dLbls>
        <c:smooth val="0"/>
        <c:axId val="224953392"/>
        <c:axId val="224954224"/>
      </c:lineChart>
      <c:catAx>
        <c:axId val="22495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224954224"/>
        <c:crosses val="autoZero"/>
        <c:auto val="1"/>
        <c:lblAlgn val="ctr"/>
        <c:lblOffset val="100"/>
        <c:noMultiLvlLbl val="0"/>
      </c:catAx>
      <c:valAx>
        <c:axId val="224954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224953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[vgsales_clean_ Ecercise 10.xlsx]Action, NA!PivotTable6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Action games</a:t>
            </a:r>
            <a:r>
              <a:rPr lang="es-ES" baseline="0"/>
              <a:t> sales by year in North America</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'Action, NA'!$B$3</c:f>
              <c:strCache>
                <c:ptCount val="1"/>
                <c:pt idx="0">
                  <c:v>Total</c:v>
                </c:pt>
              </c:strCache>
            </c:strRef>
          </c:tx>
          <c:spPr>
            <a:ln w="28575" cap="rnd">
              <a:solidFill>
                <a:schemeClr val="accent1"/>
              </a:solidFill>
              <a:round/>
            </a:ln>
            <a:effectLst/>
          </c:spPr>
          <c:marker>
            <c:symbol val="none"/>
          </c:marker>
          <c:cat>
            <c:strRef>
              <c:f>'Action, NA'!$A$4:$A$41</c:f>
              <c:strCach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strCache>
            </c:strRef>
          </c:cat>
          <c:val>
            <c:numRef>
              <c:f>'Action, NA'!$B$4:$B$41</c:f>
              <c:numCache>
                <c:formatCode>General</c:formatCode>
                <c:ptCount val="37"/>
                <c:pt idx="0">
                  <c:v>0.32</c:v>
                </c:pt>
                <c:pt idx="1">
                  <c:v>13.860000000000005</c:v>
                </c:pt>
                <c:pt idx="2">
                  <c:v>6.0699999999999994</c:v>
                </c:pt>
                <c:pt idx="3">
                  <c:v>2.67</c:v>
                </c:pt>
                <c:pt idx="4">
                  <c:v>0.8</c:v>
                </c:pt>
                <c:pt idx="5">
                  <c:v>1.64</c:v>
                </c:pt>
                <c:pt idx="6">
                  <c:v>6.5200000000000005</c:v>
                </c:pt>
                <c:pt idx="7">
                  <c:v>1.04</c:v>
                </c:pt>
                <c:pt idx="8">
                  <c:v>1.1500000000000001</c:v>
                </c:pt>
                <c:pt idx="9">
                  <c:v>3.83</c:v>
                </c:pt>
                <c:pt idx="10">
                  <c:v>4.2700000000000005</c:v>
                </c:pt>
                <c:pt idx="11">
                  <c:v>3.4699999999999998</c:v>
                </c:pt>
                <c:pt idx="12">
                  <c:v>2.21</c:v>
                </c:pt>
                <c:pt idx="13">
                  <c:v>0.64</c:v>
                </c:pt>
                <c:pt idx="14">
                  <c:v>0.56999999999999995</c:v>
                </c:pt>
                <c:pt idx="15">
                  <c:v>1.7300000000000002</c:v>
                </c:pt>
                <c:pt idx="16">
                  <c:v>10.65</c:v>
                </c:pt>
                <c:pt idx="17">
                  <c:v>14.4</c:v>
                </c:pt>
                <c:pt idx="18">
                  <c:v>20.149999999999991</c:v>
                </c:pt>
                <c:pt idx="19">
                  <c:v>14.909999999999998</c:v>
                </c:pt>
                <c:pt idx="20">
                  <c:v>17.790000000000003</c:v>
                </c:pt>
                <c:pt idx="21">
                  <c:v>29.810000000000002</c:v>
                </c:pt>
                <c:pt idx="22">
                  <c:v>47.810000000000016</c:v>
                </c:pt>
                <c:pt idx="23">
                  <c:v>37.739999999999988</c:v>
                </c:pt>
                <c:pt idx="24">
                  <c:v>39.079999999999991</c:v>
                </c:pt>
                <c:pt idx="25">
                  <c:v>49.61999999999999</c:v>
                </c:pt>
                <c:pt idx="26">
                  <c:v>38.370000000000026</c:v>
                </c:pt>
                <c:pt idx="27">
                  <c:v>58.900000000000006</c:v>
                </c:pt>
                <c:pt idx="28">
                  <c:v>72.389999999999958</c:v>
                </c:pt>
                <c:pt idx="29">
                  <c:v>71.609999999999985</c:v>
                </c:pt>
                <c:pt idx="30">
                  <c:v>60.320000000000014</c:v>
                </c:pt>
                <c:pt idx="31">
                  <c:v>53.72999999999999</c:v>
                </c:pt>
                <c:pt idx="32">
                  <c:v>52.509999999999962</c:v>
                </c:pt>
                <c:pt idx="33">
                  <c:v>53.790000000000006</c:v>
                </c:pt>
                <c:pt idx="34">
                  <c:v>38.730000000000011</c:v>
                </c:pt>
                <c:pt idx="35">
                  <c:v>22.83</c:v>
                </c:pt>
                <c:pt idx="36">
                  <c:v>5.8699999999999992</c:v>
                </c:pt>
              </c:numCache>
            </c:numRef>
          </c:val>
          <c:smooth val="0"/>
          <c:extLst>
            <c:ext xmlns:c16="http://schemas.microsoft.com/office/drawing/2014/chart" uri="{C3380CC4-5D6E-409C-BE32-E72D297353CC}">
              <c16:uniqueId val="{00000000-8CAE-4AE6-AB4D-7C1C0D6CBB1B}"/>
            </c:ext>
          </c:extLst>
        </c:ser>
        <c:dLbls>
          <c:showLegendKey val="0"/>
          <c:showVal val="0"/>
          <c:showCatName val="0"/>
          <c:showSerName val="0"/>
          <c:showPercent val="0"/>
          <c:showBubbleSize val="0"/>
        </c:dLbls>
        <c:smooth val="0"/>
        <c:axId val="317277008"/>
        <c:axId val="225136784"/>
      </c:lineChart>
      <c:catAx>
        <c:axId val="31727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225136784"/>
        <c:crosses val="autoZero"/>
        <c:auto val="1"/>
        <c:lblAlgn val="ctr"/>
        <c:lblOffset val="100"/>
        <c:noMultiLvlLbl val="0"/>
      </c:catAx>
      <c:valAx>
        <c:axId val="22513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317277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E7366-96B1-4368-B0DA-0097FE57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dc:creator>
  <cp:keywords/>
  <dc:description/>
  <cp:lastModifiedBy>Ghaleb Jumaa</cp:lastModifiedBy>
  <cp:revision>2</cp:revision>
  <dcterms:created xsi:type="dcterms:W3CDTF">2023-07-17T15:12:00Z</dcterms:created>
  <dcterms:modified xsi:type="dcterms:W3CDTF">2023-07-17T15:12:00Z</dcterms:modified>
</cp:coreProperties>
</file>