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</w:pPr>
    </w:p>
    <w:p>
      <w:pPr>
        <w:spacing w:after="100" w:before="100"/>
      </w:pPr>
    </w:p>
    <w:p>
      <w:pPr>
        <w:spacing w:after="100" w:before="100"/>
      </w:pPr>
    </w:p>
    <w:p>
      <w:pPr>
        <w:jc w:val="center"/>
      </w:pPr>
      <w:r>
        <w:drawing>
          <wp:inline distT="0" distB="0" distL="0" distR="0">
            <wp:extent cx="2476500" cy="1209675"/>
            <wp:effectExtent t="0" r="0" b="0" l="0"/>
            <wp:docPr id="1" name="cover-logo" descr="Mimaric Official Logo" title="Mimari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100"/>
      </w:pPr>
    </w:p>
    <w:p>
      <w:pPr>
        <w:spacing w:after="100" w:before="100"/>
      </w:pPr>
    </w:p>
    <w:p>
      <w:pPr>
        <w:spacing w:after="80"/>
        <w:jc w:val="center"/>
      </w:pPr>
      <w:r>
        <w:rPr>
          <w:rFonts w:ascii="Calibri Light" w:cs="Calibri Light" w:eastAsia="Calibri Light" w:hAnsi="Calibri Light"/>
          <w:color w:val="4A5568"/>
          <w:sz w:val="28"/>
          <w:szCs w:val="28"/>
        </w:rPr>
        <w:t xml:space="preserve">User Guide</w:t>
      </w:r>
    </w:p>
    <w:p>
      <w:pPr>
        <w:pBdr>
          <w:bottom w:val="single" w:color="D4AF37" w:sz="4" w:space="8"/>
        </w:pBdr>
        <w:spacing w:after="120"/>
        <w:jc w:val="center"/>
      </w:pPr>
      <w:r>
        <w:rPr>
          <w:rFonts w:ascii="Calibri Light" w:cs="Calibri Light" w:eastAsia="Calibri Light" w:hAnsi="Calibri Light"/>
          <w:b/>
          <w:bCs/>
          <w:color w:val="182840"/>
          <w:sz w:val="52"/>
          <w:szCs w:val="52"/>
        </w:rPr>
        <w:t xml:space="preserve">Land Acquisition</w:t>
      </w:r>
    </w:p>
    <w:p>
      <w:pPr>
        <w:spacing w:after="80" w:before="200"/>
        <w:jc w:val="center"/>
      </w:pPr>
      <w:r>
        <w:rPr>
          <w:rFonts w:ascii="Calibri Light" w:cs="Calibri Light" w:eastAsia="Calibri Light" w:hAnsi="Calibri Light"/>
          <w:color w:val="107840"/>
          <w:sz w:val="26"/>
          <w:szCs w:val="26"/>
        </w:rPr>
        <w:t xml:space="preserve">Structured Evaluation and Tracking of Land Opportunities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5568"/>
          <w:sz w:val="24"/>
          <w:szCs w:val="24"/>
        </w:rPr>
        <w:t xml:space="preserve">استحواذ الأراضي</w:t>
      </w:r>
    </w:p>
    <w:p>
      <w:pPr>
        <w:spacing w:after="100" w:before="100"/>
      </w:pPr>
    </w:p>
    <w:p>
      <w:pPr>
        <w:pBdr>
          <w:top w:val="single" w:color="E2E8F0" w:sz="2" w:space="8"/>
        </w:pBdr>
        <w:spacing w:after="80" w:before="200"/>
        <w:jc w:val="center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Version 1.0  |  March 2026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82840"/>
          <w:sz w:val="20"/>
          <w:szCs w:val="20"/>
        </w:rPr>
        <w:t xml:space="preserve">Mimaric PropTech Co.  |  mimaric.com</w:t>
      </w:r>
    </w:p>
    <w:p>
      <w:pPr>
        <w:sectPr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296" w:bottom="1440" w:left="1296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1. Module Overview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Land Acquisition module provides a structured pipeline for evaluating, tracking, and acquiring land parcels. It replaces ad-hoc spreadsheets with a formal workflow that moves land opportunities through defined stages: Identified → Under Review → Acquired.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Designed for Project Managers and Company Admins who evaluate land opportunities and need to track due diligence, feasibility assessments, and decision gates before committing capital.</w:t>
      </w:r>
    </w:p>
    <w:p>
      <w:pPr>
        <w:spacing w:after="100" w:before="100"/>
      </w:pPr>
    </w:p>
    <w:p>
      <w:pPr>
        <w:spacing w:after="60" w:before="200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land-acquisition-pipeline-showing-parcels-with-status,-area,-and-deed-numbers" descr="Land Acquisition pipeline showing parcels with status, area, and deed numbers" title="Land Acquisition pipeline showing parcels with status, area, and deed numb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Figure: Land Acquisition pipeline showing parcels with status, area, and deed numbers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82840" w:sz="1"/>
              <w:left w:val="single" w:color="182840" w:sz="8"/>
              <w:bottom w:val="single" w:color="182840" w:sz="1"/>
              <w:right w:val="single" w:color="182840" w:sz="1"/>
            </w:tcBorders>
            <w:shd w:fill="EBF8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82840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Acquired land parcels can be opened directly in the Planning OS for spatial subdivision design, or promoted directly to a Project.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2. Getting Started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“Land” (الأراضي) in the sidebar.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You’ll see the Land Pipeline with all tracked parcels grouped by status.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“New Land Parcel” to begin tracking a new opportunity.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The Land module uses Balady-aligned data fields, so all parcel information is pre-structured for future government integration.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3. Core Tasks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3.1 Adding a New Land Parcel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Land and click “New Land Parcel.”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parcel name (e.g., “Al-Rawdah Plot 7”).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Fill in Balady-aligned fields: Parcel Number, Deed Number, Land Use (Residential, Commercial, Mixed, Industrial, Agricultural).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the total area in square meters.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Optionally add geographic coordinates for map display.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Set initial status to “Identified” and click Save.</w:t>
      </w:r>
    </w:p>
    <w:p>
      <w:pPr>
        <w:spacing w:after="100" w:before="1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D4AF37" w:sz="1"/>
              <w:left w:val="single" w:color="D4AF37" w:sz="8"/>
              <w:bottom w:val="single" w:color="D4AF37" w:sz="1"/>
              <w:right w:val="single" w:color="D4AF37" w:sz="1"/>
            </w:tcBorders>
            <w:shd w:fill="FFFB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D4AF37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Enter Parcel Number and Deed Number exactly as they appear on official documents for future government integration.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3.2 Conducting Due Diligence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land parcel detail page.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Navigate to the “Due Diligence” tab.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Add checklist items: title, description, status (Pending/In Progress/Complete/Failed), responsible person.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Track completion percentage as items are resolved.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3.3 Running Feasibility Assessment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“Feasibility” tab.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Enter assessment criteria across five weighted dimensions: Legal (25%), Commercial (25%), Technical (20%), Environmental (15%), Financial (15%).</w:t>
      </w:r>
    </w:p>
    <w:p>
      <w:pPr>
        <w:pStyle w:val="ListParagraph"/>
        <w:numPr>
          <w:ilvl w:val="0"/>
          <w:numId w:val="5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The system calculates a weighted suitability score automatically.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648"/>
            <w:tcBorders>
              <w:top w:val="single" w:color="107840" w:sz="1"/>
              <w:left w:val="single" w:color="107840" w:sz="8"/>
              <w:bottom w:val="single" w:color="107840" w:sz="1"/>
              <w:right w:val="single" w:color="107840" w:sz="1"/>
            </w:tcBorders>
            <w:shd w:fill="F0FF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07840"/>
                <w:sz w:val="20"/>
                <w:szCs w:val="20"/>
              </w:rPr>
              <w:t xml:space="preserve">Tip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A suitability score above 70% is generally considered favorable. Below 50% typically signals significant constraints.</w:t>
            </w:r>
          </w:p>
        </w:tc>
      </w:tr>
    </w:tbl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3.4 Updating Land Status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Identified: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Initial opportunity tracked.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Under Review: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Active due diligence and feasibility in progress.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Acquired: </w:t>
      </w:r>
      <w:r>
        <w:rPr>
          <w:rFonts w:ascii="Calibri" w:cs="Calibri" w:eastAsia="Calibri" w:hAnsi="Calibri"/>
          <w:color w:val="4A5568"/>
          <w:sz w:val="22"/>
          <w:szCs w:val="22"/>
        </w:rPr>
        <w:t xml:space="preserve">Purchase completed. Ready for planning or project creation.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3.5 Opening Land in Planning OS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Open the acquired land parcel.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Click “Open in Planning.” A new Planning Workspace is created and linked.</w:t>
      </w:r>
    </w:p>
    <w:p>
      <w:pPr>
        <w:pStyle w:val="ListParagraph"/>
        <w:numPr>
          <w:ilvl w:val="0"/>
          <w:numId w:val="6"/>
        </w:numPr>
        <w:spacing w:after="10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You’ll be redirected to the Planning OS module.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4. Advanced Topics</w:t>
      </w:r>
    </w:p>
    <w:p>
      <w:pPr>
        <w:pBdr>
          <w:bottom w:val="single" w:color="107840" w:sz="6" w:space="1"/>
        </w:pBdr>
        <w:spacing w:after="300" w:before="300"/>
      </w:pP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4.1 Decision Gates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Decision gates are formal checkpoints requiring approval. The Detail page includes a “Decision Gates” tab for tracking approval milestones.</w:t>
      </w:r>
    </w:p>
    <w:p>
      <w:pPr>
        <w:pStyle w:val="Heading2"/>
        <w:spacing w:after="160" w:before="280"/>
      </w:pPr>
      <w:r>
        <w:rPr>
          <w:rFonts w:ascii="Calibri Light" w:cs="Calibri Light" w:eastAsia="Calibri Light" w:hAnsi="Calibri Light"/>
          <w:b/>
          <w:bCs/>
          <w:color w:val="107840"/>
          <w:sz w:val="28"/>
          <w:szCs w:val="28"/>
        </w:rPr>
        <w:t xml:space="preserve">4.2 Constraint Analysis</w:t>
      </w: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Document physical, legal, and environmental constraints. These carry forward into Planning OS when creating a workspace.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5. Frequently Asked Questions</w:t>
      </w:r>
    </w:p>
    <w:p>
      <w:pPr>
        <w:pBdr>
          <w:bottom w:val="single" w:color="107840" w:sz="6" w:space="1"/>
        </w:pBdr>
        <w:spacing w:after="300" w:before="30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delete a land parcel after acquisition?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Parcels linked to Planning Workspaces or Projects cannot be deleted. The record is preserved for audit trail purposes.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What happens to data when I create a project from it?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Parcel data (number, deed, area, coordinates, land use) is copied to the project record. The original remains linked.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How does suitability scoring work?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Weighted average across 5 dimensions: Legal (25%), Commercial (25%), Technical (20%), Environmental (15%), Financial (15%).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82840"/>
          <w:sz w:val="22"/>
          <w:szCs w:val="22"/>
        </w:rPr>
        <w:t xml:space="preserve">Q: Can I import land data from external sources?</w:t>
      </w:r>
    </w:p>
    <w:p>
      <w:pPr>
        <w:spacing w:after="120" w:line="276"/>
        <w:ind w:left="360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Currently parcels must be created manually. Bulk import from CSV/Excel is planned for a future release.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Calibri Light" w:cs="Calibri Light" w:eastAsia="Calibri Light" w:hAnsi="Calibri Light"/>
          <w:b/>
          <w:bCs/>
          <w:color w:val="182840"/>
          <w:sz w:val="36"/>
          <w:szCs w:val="36"/>
        </w:rPr>
        <w:t xml:space="preserve">6. Related Modules</w:t>
      </w:r>
    </w:p>
    <w:p>
      <w:pPr>
        <w:pBdr>
          <w:bottom w:val="single" w:color="107840" w:sz="6" w:space="1"/>
        </w:pBdr>
        <w:spacing w:after="300" w:before="300"/>
      </w:pP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10784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Planning OS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Receives acquired land for spatial planning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Click ‘Open in Planning’ on acquired land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Projects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Receives land data for project creation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Promote acquired land to a project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Feeds land portfolio KPIs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Dashboard shows aggregate land metrics</w:t>
            </w:r>
          </w:p>
        </w:tc>
      </w:tr>
      <w:tr>
        <w:tc>
          <w:tcPr>
            <w:tcW w:type="dxa" w:w="2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Documents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Stores land-related documents</w:t>
            </w:r>
          </w:p>
        </w:tc>
        <w:tc>
          <w:tcPr>
            <w:tcW w:type="dxa" w:w="3724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F8F9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4A5568"/>
                <w:sz w:val="20"/>
                <w:szCs w:val="20"/>
              </w:rPr>
              <w:t xml:space="preserve">Upload title deeds, surveys, feasibility reports</w:t>
            </w:r>
          </w:p>
        </w:tc>
      </w:tr>
    </w:tbl>
    <w:p>
      <w:pPr>
        <w:spacing w:after="100" w:before="100"/>
      </w:pPr>
    </w:p>
    <w:p>
      <w:pPr>
        <w:spacing w:after="120" w:line="276"/>
      </w:pPr>
      <w:r>
        <w:rPr>
          <w:rFonts w:ascii="Calibri" w:cs="Calibri" w:eastAsia="Calibri" w:hAnsi="Calibri"/>
          <w:color w:val="4A5568"/>
          <w:sz w:val="22"/>
          <w:szCs w:val="22"/>
        </w:rPr>
        <w:t xml:space="preserve">— End of Land Acquisition User Guide —</w:t>
      </w:r>
    </w:p>
    <w:sectPr>
      <w:headerReference w:type="default" r:id="rId9"/>
      <w:footerReference w:type="default" r:id="rId10"/>
      <w:pgSz w:w="12240" w:h="15840" w:orient="portrait"/>
      <w:pgMar w:top="1440" w:right="1296" w:bottom="1440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Land Acquisition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 w:space="4"/>
      </w:pBdr>
      <w:jc w:val="center"/>
    </w:pPr>
    <w:r>
      <w:rPr>
        <w:rFonts w:ascii="Calibri" w:cs="Calibri" w:eastAsia="Calibri" w:hAnsi="Calibri"/>
        <w:i/>
        <w:iCs/>
        <w:color w:val="4A5568"/>
        <w:sz w:val="16"/>
        <w:szCs w:val="16"/>
      </w:rPr>
      <w:t xml:space="preserve">CONFIDENTIAL </w:t>
    </w:r>
    <w:r>
      <w:rPr>
        <w:rFonts w:ascii="Calibri" w:cs="Calibri" w:eastAsia="Calibri" w:hAnsi="Calibri"/>
        <w:color w:val="4A5568"/>
        <w:sz w:val="16"/>
        <w:szCs w:val="16"/>
      </w:rPr>
      <w:t xml:space="preserve">  |  Mimaric — Land Acquisition  |  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LAND ACQUISITION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07840" w:sz="2" w:space="4"/>
      </w:pBdr>
      <w:jc w:val="left"/>
    </w:pPr>
    <w:r>
      <w:drawing>
        <wp:inline distT="0" distB="0" distL="0" distR="0">
          <wp:extent cx="952500" cy="466725"/>
          <wp:effectExtent t="0" r="0" b="0" l="0"/>
          <wp:docPr id="1" name="logo" descr="Mimaric Logo" title="Mimari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16"/>
        <w:szCs w:val="16"/>
      </w:rPr>
      <w:t xml:space="preserve">    </w:t>
    </w:r>
    <w:r>
      <w:rPr>
        <w:rFonts w:ascii="Calibri Light" w:cs="Calibri Light" w:eastAsia="Calibri Light" w:hAnsi="Calibri Light"/>
        <w:i/>
        <w:iCs/>
        <w:color w:val="4A5568"/>
        <w:sz w:val="16"/>
        <w:szCs w:val="16"/>
      </w:rPr>
      <w:t xml:space="preserve">MIMARIC USER GUIDE — LAND ACQUISITION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2"/>
    <w:lvlOverride w:ilvl="0">
      <w:startOverride w:val="1"/>
    </w:lvlOverride>
  </w:num>
  <w:num w:numId="3">
    <w:abstractNumId w:val="23"/>
    <w:lvlOverride w:ilvl="0">
      <w:startOverride w:val="1"/>
    </w:lvlOverride>
  </w:num>
  <w:num w:numId="4">
    <w:abstractNumId w:val="24"/>
    <w:lvlOverride w:ilvl="0">
      <w:startOverride w:val="1"/>
    </w:lvlOverride>
  </w:num>
  <w:num w:numId="5">
    <w:abstractNumId w:val="25"/>
    <w:lvlOverride w:ilvl="0">
      <w:startOverride w:val="1"/>
    </w:lvlOverride>
  </w:num>
  <w:num w:numId="6">
    <w:abstractNumId w:val="2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 Light" w:cs="Calibri Light" w:eastAsia="Calibri Light" w:hAnsi="Calibri Light"/>
      <w:b/>
      <w:bCs/>
      <w:color w:val="1828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Calibri Light" w:cs="Calibri Light" w:eastAsia="Calibri Light" w:hAnsi="Calibri Light"/>
      <w:b/>
      <w:bCs/>
      <w:color w:val="10784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0203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f938ffad00aaed9db0d616790405392f856364db.png"/><Relationship Id="rId12" Type="http://schemas.openxmlformats.org/officeDocument/2006/relationships/image" Target="media/3c7fcb6ab0df602d350b2c1fd428e8f27114f12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938ffad00aaed9db0d616790405392f856364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2026-03-18T00:56:35.677Z</dcterms:created>
  <dcterms:modified xsi:type="dcterms:W3CDTF">2026-03-18T00:56:35.677Z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