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"/>
      </w:pPr>
    </w:p>
    <w:p>
      <w:pPr>
        <w:spacing w:after="100" w:before="100"/>
      </w:pPr>
    </w:p>
    <w:p>
      <w:pPr>
        <w:spacing w:after="100" w:before="100"/>
      </w:pPr>
    </w:p>
    <w:p>
      <w:pPr>
        <w:jc w:val="center"/>
      </w:pPr>
      <w:r>
        <w:drawing>
          <wp:inline distT="0" distB="0" distL="0" distR="0">
            <wp:extent cx="2476500" cy="1209675"/>
            <wp:effectExtent t="0" r="0" b="0" l="0"/>
            <wp:docPr id="1" name="cover-logo" descr="Mimaric Official Logo" title="Mimari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100"/>
      </w:pPr>
    </w:p>
    <w:p>
      <w:pPr>
        <w:spacing w:after="100" w:before="100"/>
      </w:pPr>
    </w:p>
    <w:p>
      <w:pPr>
        <w:spacing w:after="80"/>
        <w:jc w:val="center"/>
      </w:pPr>
      <w:r>
        <w:rPr>
          <w:rFonts w:ascii="Calibri Light" w:cs="Calibri Light" w:eastAsia="Calibri Light" w:hAnsi="Calibri Light"/>
          <w:color w:val="4A5568"/>
          <w:sz w:val="28"/>
          <w:szCs w:val="28"/>
        </w:rPr>
        <w:t xml:space="preserve">User Guide</w:t>
      </w:r>
    </w:p>
    <w:p>
      <w:pPr>
        <w:pBdr>
          <w:bottom w:val="single" w:color="D4AF37" w:sz="4" w:space="8"/>
        </w:pBdr>
        <w:spacing w:after="120"/>
        <w:jc w:val="center"/>
      </w:pPr>
      <w:r>
        <w:rPr>
          <w:rFonts w:ascii="Calibri Light" w:cs="Calibri Light" w:eastAsia="Calibri Light" w:hAnsi="Calibri Light"/>
          <w:b/>
          <w:bCs/>
          <w:color w:val="182840"/>
          <w:sz w:val="52"/>
          <w:szCs w:val="52"/>
        </w:rPr>
        <w:t xml:space="preserve">Contracts</w:t>
      </w:r>
    </w:p>
    <w:p>
      <w:pPr>
        <w:spacing w:after="80" w:before="200"/>
        <w:jc w:val="center"/>
      </w:pPr>
      <w:r>
        <w:rPr>
          <w:rFonts w:ascii="Calibri Light" w:cs="Calibri Light" w:eastAsia="Calibri Light" w:hAnsi="Calibri Light"/>
          <w:color w:val="107840"/>
          <w:sz w:val="26"/>
          <w:szCs w:val="26"/>
        </w:rPr>
        <w:t xml:space="preserve">Ejar and Wafi Compliant Contract Lifecycle Management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4A5568"/>
          <w:sz w:val="24"/>
          <w:szCs w:val="24"/>
        </w:rPr>
        <w:t xml:space="preserve">العقود</w:t>
      </w:r>
    </w:p>
    <w:p>
      <w:pPr>
        <w:spacing w:after="100" w:before="100"/>
      </w:pPr>
    </w:p>
    <w:p>
      <w:pPr>
        <w:pBdr>
          <w:top w:val="single" w:color="E2E8F0" w:sz="2" w:space="8"/>
        </w:pBdr>
        <w:spacing w:after="80" w:before="200"/>
        <w:jc w:val="center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Version 1.0  |  March 2026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182840"/>
          <w:sz w:val="20"/>
          <w:szCs w:val="20"/>
        </w:rPr>
        <w:t xml:space="preserve">Mimaric PropTech Co.  |  mimaric.com</w:t>
      </w:r>
    </w:p>
    <w:p>
      <w:pPr>
        <w:sectPr>
          <w:pgSz w:w="12240" w:h="15840" w:orient="portrait"/>
          <w:pgMar w:top="1440" w:right="1296" w:bottom="1440" w:left="1296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296" w:bottom="1440" w:left="1296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1. Module Overview</w:t>
      </w:r>
    </w:p>
    <w:p>
      <w:pPr>
        <w:pBdr>
          <w:bottom w:val="single" w:color="107840" w:sz="6" w:space="1"/>
        </w:pBdr>
        <w:spacing w:after="300" w:before="300"/>
      </w:pP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Contracts module manages the full lifecycle of sale and lease agreements. It enforces Saudi regulatory compliance — Ejar for rental contracts and Wafi for off-plan sale contracts — directly in the data model and workflow.</w:t>
      </w:r>
    </w:p>
    <w:p>
      <w:pPr>
        <w:spacing w:after="60" w:before="200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contracts-module" descr="Contracts Module" title="Contracts Modu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Figure: Contracts module showing sale and lease agreements with status tracking</w:t>
      </w:r>
    </w:p>
    <w:p>
      <w:pPr>
        <w:spacing w:after="100" w:before="100"/>
      </w:pP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Contracts move through a formal state machine: Draft → Sent → Signed → (optionally) Void. Status transitions trigger automatic side-effects: signing a lease creates installment schedules, signing a sale contract creates escrow deposits.</w:t>
      </w:r>
    </w:p>
    <w:p>
      <w:pPr>
        <w:spacing w:after="100" w:before="1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Two Contract Types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82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Contract Type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82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Regulation</w:t>
            </w:r>
          </w:p>
        </w:tc>
        <w:tc>
          <w:tcPr>
            <w:tcW w:type="dxa" w:w="5648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82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Key Fields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SALE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Wafi</w:t>
            </w:r>
          </w:p>
        </w:tc>
        <w:tc>
          <w:tcPr>
            <w:tcW w:type="dxa" w:w="5648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Delivery date, Wafi license reference, escrow account reference, contract amount, file upload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LEASE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Ejar</w:t>
            </w:r>
          </w:p>
        </w:tc>
        <w:tc>
          <w:tcPr>
            <w:tcW w:type="dxa" w:w="5648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Start/end dates, payment frequency, security deposit (max 5%), auto-renewal, notice period, maintenance responsibility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2. Getting Started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Navigate to “Sales” in the sidebar, then click “Contracts.”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“New Contract” to create a sale or lease agreement.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Select the contract type (Sale or Lease) to load the appropriate form.</w:t>
      </w:r>
    </w:p>
    <w:p>
      <w:pPr>
        <w:spacing w:after="100" w:before="1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48"/>
            <w:tcBorders>
              <w:top w:val="single" w:color="182840" w:sz="1"/>
              <w:left w:val="single" w:color="182840" w:sz="8"/>
              <w:bottom w:val="single" w:color="182840" w:sz="1"/>
              <w:right w:val="single" w:color="182840" w:sz="1"/>
            </w:tcBorders>
            <w:shd w:fill="EBF8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82840"/>
                <w:sz w:val="20"/>
                <w:szCs w:val="20"/>
              </w:rPr>
              <w:t xml:space="preserve">Note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Contract numbers are auto-generated: SALE-2026-XXXX for sales, LEASE-2026-XXXX for leases. You cannot modify the contract number.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3. Core Tasks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3.1 Creating a Sale Contract (Wafi-Compliant)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“New Contract” and select type: Sale.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Select the customer (from CRM) and unit or inventory item.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Enter the contract amount.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Enter the expected delivery date.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Enter Wafi license reference and escrow account reference.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Upload the contract document (PDF, max 16MB).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Save. The contract is created in Draft status.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3.2 Creating a Lease Contract (Ejar-Compliant)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“New Contract” and select type: Lease.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Select the customer and unit.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Enter lease start date and end date.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Set payment frequency: Monthly, Quarterly, Semi-Annual, or Annual.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Enter the security deposit (system enforces max 5% of annual rent per Ejar).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Configure auto-renewal toggle and notice period (default: 60 days).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Set maintenance responsibility (Landlord or Tenant).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Save. Draft lease created.</w:t>
      </w:r>
    </w:p>
    <w:p>
      <w:pPr>
        <w:spacing w:after="100" w:before="1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48"/>
            <w:tcBorders>
              <w:top w:val="single" w:color="D4AF37" w:sz="1"/>
              <w:left w:val="single" w:color="D4AF37" w:sz="8"/>
              <w:bottom w:val="single" w:color="D4AF37" w:sz="1"/>
              <w:right w:val="single" w:color="D4AF37" w:sz="1"/>
            </w:tcBorders>
            <w:shd w:fill="FFFBE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4AF37"/>
                <w:sz w:val="20"/>
                <w:szCs w:val="20"/>
              </w:rPr>
              <w:t xml:space="preserve">Important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The system validates that security deposit does not exceed 5% of annual rent. If you enter a higher amount, you’ll receive a validation error. This ensures Ejar compliance.</w:t>
            </w:r>
          </w:p>
        </w:tc>
      </w:tr>
    </w:tbl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3.3 Managing Contract Status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Contracts follow a strict state machine: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Draft → Sent: </w:t>
      </w:r>
      <w:r>
        <w:rPr>
          <w:rFonts w:ascii="Calibri" w:cs="Calibri" w:eastAsia="Calibri" w:hAnsi="Calibri"/>
          <w:color w:val="4A5568"/>
          <w:sz w:val="22"/>
          <w:szCs w:val="22"/>
        </w:rPr>
        <w:t xml:space="preserve">Contract has been shared with the customer for review.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Sent → Signed: </w:t>
      </w:r>
      <w:r>
        <w:rPr>
          <w:rFonts w:ascii="Calibri" w:cs="Calibri" w:eastAsia="Calibri" w:hAnsi="Calibri"/>
          <w:color w:val="4A5568"/>
          <w:sz w:val="22"/>
          <w:szCs w:val="22"/>
        </w:rPr>
        <w:t xml:space="preserve">Customer has signed. This triggers automatic side-effects.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Signed → Void: </w:t>
      </w:r>
      <w:r>
        <w:rPr>
          <w:rFonts w:ascii="Calibri" w:cs="Calibri" w:eastAsia="Calibri" w:hAnsi="Calibri"/>
          <w:color w:val="4A5568"/>
          <w:sz w:val="22"/>
          <w:szCs w:val="22"/>
        </w:rPr>
        <w:t xml:space="preserve">Contract cancelled. Requires a void reason.</w:t>
      </w:r>
    </w:p>
    <w:p>
      <w:pPr>
        <w:spacing w:after="100" w:before="100"/>
      </w:pP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Side-effects on signing: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LEASE: Auto-creates a Lease record and generates RentInstallment schedule based on payment frequency.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SALE: Auto-creates an escrow deposit (BUYER_DEPOSIT) in the project’s escrow account.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Both: Updates the unit status to Rented (lease) or Sold (sale).</w:t>
      </w:r>
    </w:p>
    <w:p>
      <w:pPr>
        <w:spacing w:after="100" w:before="100"/>
      </w:pP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Side-effects on voiding: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SALE: Auto-creates an escrow reversal entry.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Both: Reverts the unit status to Available.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3.4 Uploading Signed Documents</w:t>
      </w:r>
    </w:p>
    <w:p>
      <w:pPr>
        <w:pStyle w:val="ListParagraph"/>
        <w:numPr>
          <w:ilvl w:val="0"/>
          <w:numId w:val="7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Open the contract detail page.</w:t>
      </w:r>
    </w:p>
    <w:p>
      <w:pPr>
        <w:pStyle w:val="ListParagraph"/>
        <w:numPr>
          <w:ilvl w:val="0"/>
          <w:numId w:val="7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“Upload Document” in the document section.</w:t>
      </w:r>
    </w:p>
    <w:p>
      <w:pPr>
        <w:pStyle w:val="ListParagraph"/>
        <w:numPr>
          <w:ilvl w:val="0"/>
          <w:numId w:val="7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Upload the signed contract PDF (max 16MB).</w:t>
      </w:r>
    </w:p>
    <w:p>
      <w:pPr>
        <w:pStyle w:val="ListParagraph"/>
        <w:numPr>
          <w:ilvl w:val="0"/>
          <w:numId w:val="7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uploaded file is linked to the contract record permanently.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4. Advanced Topics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4.1 Contract Numbering Convention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Contracts are auto-numbered: TYPE-YEAR-SEQUENCE. For example, LEASE-2026-0001 is the first lease contract of 2026. This numbering is unique per organization and cannot be modified.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4.2 Ejar Integration Readiness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Lease contracts store all fields required for Ejar API registration. When the Ejar API integration launches (planned Q3 2026), contracts will be registerable with Ejar directly from Mimaric.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4.3 Wafi Escrow Automation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When a sale contract is signed, the system automatically records a BUYER_DEPOSIT in the project’s escrow account. Finance Officers can track all escrow movements in the Finance &gt; Escrow page.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5. Frequently Asked Questions</w:t>
      </w:r>
    </w:p>
    <w:p>
      <w:pPr>
        <w:pBdr>
          <w:bottom w:val="single" w:color="107840" w:sz="6" w:space="1"/>
        </w:pBdr>
        <w:spacing w:after="300" w:before="30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What’s the maximum security deposit for Ejar leases?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5% of annual rent, enforced by the system. This is an Ejar regulation to protect tenants.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Can I edit a signed contract?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No. Once a contract is signed, it cannot be edited. This is by design to maintain contractual integrity. To make changes, void the signed contract and create a new one.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What happens when I void a signed contract?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unit reverts to Available. For sale contracts, an escrow reversal is auto-recorded. A void reason is required and logged in the audit trail.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How are installment schedules generated?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When a lease contract is signed, installments are auto-generated based on: contract amount, start/end dates, and payment frequency. For monthly payments on a 12-month lease, 12 installments are created with equal amounts.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Can I track contracts from Wafi sales?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Yes. Sale contracts include Wafi-specific fields: license reference, escrow account, delivery date. Escrow deposits are auto-tracked in the Finance module.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6. Related Modules</w:t>
      </w:r>
    </w:p>
    <w:p>
      <w:pPr>
        <w:pBdr>
          <w:bottom w:val="single" w:color="107840" w:sz="6" w:space="1"/>
        </w:pBdr>
        <w:spacing w:after="300" w:before="3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Relationship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When to Use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Customer CRM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Provides customer data for contracts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Select a customer during contract creation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Unit Matrix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Provides units for contracts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Select a unit during contract creation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Reservations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Reservations convert to contracts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Convert an active reservation to a contract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Rentals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Lease contracts create leases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Signing a lease auto-creates a lease record with installments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Finance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Revenue and escrow tracking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Contract amounts flow to financial reports</w:t>
            </w:r>
          </w:p>
        </w:tc>
      </w:tr>
    </w:tbl>
    <w:p>
      <w:pPr>
        <w:spacing w:after="100" w:before="100"/>
      </w:pP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— End of Contracts User Guide —</w:t>
      </w:r>
    </w:p>
    <w:sectPr>
      <w:headerReference w:type="default" r:id="rId9"/>
      <w:footerReference w:type="default" r:id="rId10"/>
      <w:pgSz w:w="12240" w:h="15840" w:orient="portrait"/>
      <w:pgMar w:top="1440" w:right="1296" w:bottom="1440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 w:space="4"/>
      </w:pBdr>
      <w:jc w:val="center"/>
    </w:pPr>
    <w:r>
      <w:rPr>
        <w:rFonts w:ascii="Calibri" w:cs="Calibri" w:eastAsia="Calibri" w:hAnsi="Calibri"/>
        <w:i/>
        <w:iCs/>
        <w:color w:val="4A5568"/>
        <w:sz w:val="16"/>
        <w:szCs w:val="16"/>
      </w:rPr>
      <w:t xml:space="preserve">CONFIDENTIAL </w:t>
    </w:r>
    <w:r>
      <w:rPr>
        <w:rFonts w:ascii="Calibri" w:cs="Calibri" w:eastAsia="Calibri" w:hAnsi="Calibri"/>
        <w:color w:val="4A5568"/>
        <w:sz w:val="16"/>
        <w:szCs w:val="16"/>
      </w:rPr>
      <w:t xml:space="preserve">  |  Mimaric — Contracts  |  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 w:space="4"/>
      </w:pBdr>
      <w:jc w:val="center"/>
    </w:pPr>
    <w:r>
      <w:rPr>
        <w:rFonts w:ascii="Calibri" w:cs="Calibri" w:eastAsia="Calibri" w:hAnsi="Calibri"/>
        <w:i/>
        <w:iCs/>
        <w:color w:val="4A5568"/>
        <w:sz w:val="16"/>
        <w:szCs w:val="16"/>
      </w:rPr>
      <w:t xml:space="preserve">CONFIDENTIAL </w:t>
    </w:r>
    <w:r>
      <w:rPr>
        <w:rFonts w:ascii="Calibri" w:cs="Calibri" w:eastAsia="Calibri" w:hAnsi="Calibri"/>
        <w:color w:val="4A5568"/>
        <w:sz w:val="16"/>
        <w:szCs w:val="16"/>
      </w:rPr>
      <w:t xml:space="preserve">  |  Mimaric — Contracts  |  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07840" w:sz="2" w:space="4"/>
      </w:pBdr>
      <w:jc w:val="left"/>
    </w:pPr>
    <w:r>
      <w:drawing>
        <wp:inline distT="0" distB="0" distL="0" distR="0">
          <wp:extent cx="952500" cy="466725"/>
          <wp:effectExtent t="0" r="0" b="0" l="0"/>
          <wp:docPr id="1" name="logo" descr="Mimaric Logo" title="Mimari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    </w:t>
    </w:r>
    <w:r>
      <w:rPr>
        <w:rFonts w:ascii="Calibri Light" w:cs="Calibri Light" w:eastAsia="Calibri Light" w:hAnsi="Calibri Light"/>
        <w:i/>
        <w:iCs/>
        <w:color w:val="4A5568"/>
        <w:sz w:val="16"/>
        <w:szCs w:val="16"/>
      </w:rPr>
      <w:t xml:space="preserve">MIMARIC USER GUIDE — CONTRACTS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07840" w:sz="2" w:space="4"/>
      </w:pBdr>
      <w:jc w:val="left"/>
    </w:pPr>
    <w:r>
      <w:drawing>
        <wp:inline distT="0" distB="0" distL="0" distR="0">
          <wp:extent cx="952500" cy="466725"/>
          <wp:effectExtent t="0" r="0" b="0" l="0"/>
          <wp:docPr id="1" name="logo" descr="Mimaric Logo" title="Mimari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    </w:t>
    </w:r>
    <w:r>
      <w:rPr>
        <w:rFonts w:ascii="Calibri Light" w:cs="Calibri Light" w:eastAsia="Calibri Light" w:hAnsi="Calibri Light"/>
        <w:i/>
        <w:iCs/>
        <w:color w:val="4A5568"/>
        <w:sz w:val="16"/>
        <w:szCs w:val="16"/>
      </w:rPr>
      <w:t xml:space="preserve">MIMARIC USER GUIDE — CONTRACTS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2"/>
    <w:lvlOverride w:ilvl="0">
      <w:startOverride w:val="1"/>
    </w:lvlOverride>
  </w:num>
  <w:num w:numId="3">
    <w:abstractNumId w:val="23"/>
    <w:lvlOverride w:ilvl="0">
      <w:startOverride w:val="1"/>
    </w:lvlOverride>
  </w:num>
  <w:num w:numId="4">
    <w:abstractNumId w:val="24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2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 Light" w:cs="Calibri Light" w:eastAsia="Calibri Light" w:hAnsi="Calibri Light"/>
      <w:b/>
      <w:bCs/>
      <w:color w:val="18284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Calibri Light" w:cs="Calibri Light" w:eastAsia="Calibri Light" w:hAnsi="Calibri Light"/>
      <w:b/>
      <w:bCs/>
      <w:color w:val="10784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color w:val="10203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f938ffad00aaed9db0d616790405392f856364db.png"/><Relationship Id="rId12" Type="http://schemas.openxmlformats.org/officeDocument/2006/relationships/image" Target="media/6e0524e92b9c256df6f3ca5970cd60ff3e0a7a7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938ffad00aaed9db0d616790405392f856364db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938ffad00aaed9db0d616790405392f856364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2026-03-18T00:56:36.646Z</dcterms:created>
  <dcterms:modified xsi:type="dcterms:W3CDTF">2026-03-18T00:56:36.646Z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