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</w:p>
    <w:p>
      <w:pPr>
        <w:spacing w:after="100" w:before="100"/>
      </w:pPr>
    </w:p>
    <w:p>
      <w:pPr>
        <w:spacing w:after="100" w:before="100"/>
      </w:pPr>
    </w:p>
    <w:p>
      <w:pPr>
        <w:jc w:val="center"/>
      </w:pPr>
      <w:r>
        <w:drawing>
          <wp:inline distT="0" distB="0" distL="0" distR="0">
            <wp:extent cx="2476500" cy="1209675"/>
            <wp:effectExtent t="0" r="0" b="0" l="0"/>
            <wp:docPr id="1" name="cover-logo" descr="Mimaric Official Logo" title="Mimaric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100"/>
      </w:pPr>
    </w:p>
    <w:p>
      <w:pPr>
        <w:spacing w:after="100" w:before="100"/>
      </w:pPr>
    </w:p>
    <w:p>
      <w:pPr>
        <w:spacing w:after="80"/>
        <w:jc w:val="center"/>
      </w:pPr>
      <w:r>
        <w:rPr>
          <w:rFonts w:ascii="Calibri Light" w:cs="Calibri Light" w:eastAsia="Calibri Light" w:hAnsi="Calibri Light"/>
          <w:color w:val="4A5568"/>
          <w:sz w:val="28"/>
          <w:szCs w:val="28"/>
        </w:rPr>
        <w:t xml:space="preserve">User Guide</w:t>
      </w:r>
    </w:p>
    <w:p>
      <w:pPr>
        <w:pBdr>
          <w:bottom w:val="single" w:color="D4AF37" w:sz="4" w:space="8"/>
        </w:pBdr>
        <w:spacing w:after="120"/>
        <w:jc w:val="center"/>
      </w:pPr>
      <w:r>
        <w:rPr>
          <w:rFonts w:ascii="Calibri Light" w:cs="Calibri Light" w:eastAsia="Calibri Light" w:hAnsi="Calibri Light"/>
          <w:b/>
          <w:bCs/>
          <w:color w:val="182840"/>
          <w:sz w:val="52"/>
          <w:szCs w:val="52"/>
        </w:rPr>
        <w:t xml:space="preserve">Customer CRM</w:t>
      </w:r>
    </w:p>
    <w:p>
      <w:pPr>
        <w:spacing w:after="80" w:before="200"/>
        <w:jc w:val="center"/>
      </w:pPr>
      <w:r>
        <w:rPr>
          <w:rFonts w:ascii="Calibri Light" w:cs="Calibri Light" w:eastAsia="Calibri Light" w:hAnsi="Calibri Light"/>
          <w:color w:val="107840"/>
          <w:sz w:val="26"/>
          <w:szCs w:val="26"/>
        </w:rPr>
        <w:t xml:space="preserve">Sales Pipeline Management and Customer Relationship Tracking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4A5568"/>
          <w:sz w:val="24"/>
          <w:szCs w:val="24"/>
        </w:rPr>
        <w:t xml:space="preserve">إدارة العملاء</w:t>
      </w:r>
    </w:p>
    <w:p>
      <w:pPr>
        <w:spacing w:after="100" w:before="100"/>
      </w:pPr>
    </w:p>
    <w:p>
      <w:pPr>
        <w:pBdr>
          <w:top w:val="single" w:color="E2E8F0" w:sz="2" w:space="8"/>
        </w:pBdr>
        <w:spacing w:after="80" w:before="200"/>
        <w:jc w:val="center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Version 2.0  |  March 2026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182840"/>
          <w:sz w:val="20"/>
          <w:szCs w:val="20"/>
        </w:rPr>
        <w:t xml:space="preserve">Mimaric PropTech Co.  |  mimaric.com</w:t>
      </w:r>
    </w:p>
    <w:p>
      <w:pPr>
        <w:sectPr>
          <w:pgSz w:w="12240" w:h="15840" w:orient="portrait"/>
          <w:pgMar w:top="1440" w:right="1296" w:bottom="1440" w:left="1296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296" w:bottom="1440" w:left="1296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1. Module Overview</w:t>
      </w:r>
    </w:p>
    <w:p>
      <w:pPr>
        <w:pBdr>
          <w:bottom w:val="single" w:color="107840" w:sz="6" w:space="1"/>
        </w:pBdr>
        <w:spacing w:after="300" w:before="300"/>
      </w:pP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The Customer CRM module manages your sales pipeline from first contact through conversion. It provides both Kanban (board) and List (table) views to track customers through five pipeline stages: New → Interested → Qualified → Viewing → Converted.</w:t>
      </w: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Designed for Sales Managers and Sales Agents who manage buyer and tenant relationships.</w:t>
      </w:r>
    </w:p>
    <w:p>
      <w:pPr>
        <w:spacing w:after="100" w:before="100"/>
      </w:pPr>
    </w:p>
    <w:p>
      <w:pPr>
        <w:spacing w:after="60" w:before="200"/>
        <w:jc w:val="center"/>
      </w:pPr>
      <w:r>
        <w:drawing>
          <wp:inline distT="0" distB="0" distL="0" distR="0">
            <wp:extent cx="5334000" cy="3143250"/>
            <wp:effectExtent t="0" r="0" b="0" l="0"/>
            <wp:docPr id="1" name="sales-module-overview" descr="Sales Module Overview" title="Sales Module Ove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4A5568"/>
          <w:sz w:val="18"/>
          <w:szCs w:val="18"/>
        </w:rPr>
        <w:t xml:space="preserve">Figure: Sales hub showing Customers, Reservations, and Contracts sections</w:t>
      </w:r>
    </w:p>
    <w:p>
      <w:pPr>
        <w:spacing w:after="100" w:before="100"/>
      </w:pP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48"/>
            <w:tcBorders>
              <w:top w:val="single" w:color="D4AF37" w:sz="1"/>
              <w:left w:val="single" w:color="D4AF37" w:sz="8"/>
              <w:bottom w:val="single" w:color="D4AF37" w:sz="1"/>
              <w:right w:val="single" w:color="D4AF37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D4AF37"/>
                <w:sz w:val="20"/>
                <w:szCs w:val="20"/>
              </w:rPr>
              <w:t xml:space="preserve">Important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Customer personal data (national ID, phone, email) is encrypted with AES-256-GCM. Only authorized roles can view decrypted PII. All PII access is logged per PDPL Article 32.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2. Getting Started</w:t>
      </w:r>
    </w:p>
    <w:p>
      <w:pPr>
        <w:pBdr>
          <w:bottom w:val="single" w:color="107840" w:sz="6" w:space="1"/>
        </w:pBdr>
        <w:spacing w:after="300" w:before="300"/>
      </w:pP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Navigate to “Customers” (العملاء) in the sidebar.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You’ll see the customer pipeline in Kanban view by default.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Click “Add Customer” to create your first customer record.</w:t>
      </w:r>
    </w:p>
    <w:p>
      <w:pPr>
        <w:spacing w:after="100" w:before="100"/>
      </w:pP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Prerequisites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Role: Sales Manager, Sales Agent, Company Admin, or Property Manager.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Permission: customers.create for adding new customers.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3. Core Tasks</w:t>
      </w:r>
    </w:p>
    <w:p>
      <w:pPr>
        <w:pBdr>
          <w:bottom w:val="single" w:color="107840" w:sz="6" w:space="1"/>
        </w:pBdr>
        <w:spacing w:after="300" w:before="300"/>
      </w:pP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3.1 Adding a New Customer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Click “Add Customer” from the Customers page.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Enter the customer’s name (Arabic and/or English).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Enter contact information: phone number and email address.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Enter the National ID number (Absher-aligned field). This will be encrypted automatically.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Select Person Type: Individual or Organization.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Optionally fill gender, date of birth, and address fields.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Click Save. The customer is created in “New” status.</w:t>
      </w:r>
    </w:p>
    <w:p>
      <w:pPr>
        <w:spacing w:after="100" w:before="100"/>
      </w:pP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48"/>
            <w:tcBorders>
              <w:top w:val="single" w:color="182840" w:sz="1"/>
              <w:left w:val="single" w:color="182840" w:sz="8"/>
              <w:bottom w:val="single" w:color="182840" w:sz="1"/>
              <w:right w:val="single" w:color="182840" w:sz="1"/>
            </w:tcBorders>
            <w:shd w:fill="EB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82840"/>
                <w:sz w:val="20"/>
                <w:szCs w:val="20"/>
              </w:rPr>
              <w:t xml:space="preserve">Note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The customer form aligns with Absher’s data schema. Fields like National ID, Person Type, Gender, and DOB match government records for future integration.</w:t>
            </w:r>
          </w:p>
        </w:tc>
      </w:tr>
    </w:tbl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3.2 Managing the Sales Pipeline</w:t>
      </w: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Move customers through pipeline stages: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Kanban View: </w:t>
      </w:r>
      <w:r>
        <w:rPr>
          <w:rFonts w:ascii="Calibri" w:cs="Calibri" w:eastAsia="Calibri" w:hAnsi="Calibri"/>
          <w:color w:val="4A5568"/>
          <w:sz w:val="22"/>
          <w:szCs w:val="22"/>
        </w:rPr>
        <w:t xml:space="preserve">Drag and drop customer cards between columns to change status.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List View: </w:t>
      </w:r>
      <w:r>
        <w:rPr>
          <w:rFonts w:ascii="Calibri" w:cs="Calibri" w:eastAsia="Calibri" w:hAnsi="Calibri"/>
          <w:color w:val="4A5568"/>
          <w:sz w:val="22"/>
          <w:szCs w:val="22"/>
        </w:rPr>
        <w:t xml:space="preserve">Click the status dropdown on any row to update.</w:t>
      </w:r>
    </w:p>
    <w:p>
      <w:pPr>
        <w:spacing w:after="100" w:before="100"/>
      </w:pP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078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9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078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9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078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Next Action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New</w:t>
            </w:r>
          </w:p>
        </w:tc>
        <w:tc>
          <w:tcPr>
            <w:tcW w:type="dxa" w:w="39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Initial contact recorded</w:t>
            </w:r>
          </w:p>
        </w:tc>
        <w:tc>
          <w:tcPr>
            <w:tcW w:type="dxa" w:w="39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Qualify the lead: understand needs and budget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Interested</w:t>
            </w:r>
          </w:p>
        </w:tc>
        <w:tc>
          <w:tcPr>
            <w:tcW w:type="dxa" w:w="39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Customer has expressed interest</w:t>
            </w:r>
          </w:p>
        </w:tc>
        <w:tc>
          <w:tcPr>
            <w:tcW w:type="dxa" w:w="39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Schedule a property viewing or meeting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Qualified</w:t>
            </w:r>
          </w:p>
        </w:tc>
        <w:tc>
          <w:tcPr>
            <w:tcW w:type="dxa" w:w="39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Customer meets financial/profile criteria</w:t>
            </w:r>
          </w:p>
        </w:tc>
        <w:tc>
          <w:tcPr>
            <w:tcW w:type="dxa" w:w="39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Present available units and pricing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Viewing</w:t>
            </w:r>
          </w:p>
        </w:tc>
        <w:tc>
          <w:tcPr>
            <w:tcW w:type="dxa" w:w="39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Property viewing scheduled or completed</w:t>
            </w:r>
          </w:p>
        </w:tc>
        <w:tc>
          <w:tcPr>
            <w:tcW w:type="dxa" w:w="39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Create a reservation if interested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Converted</w:t>
            </w:r>
          </w:p>
        </w:tc>
        <w:tc>
          <w:tcPr>
            <w:tcW w:type="dxa" w:w="39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Customer has signed a contract</w:t>
            </w:r>
          </w:p>
        </w:tc>
        <w:tc>
          <w:tcPr>
            <w:tcW w:type="dxa" w:w="39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Process in Contracts module</w:t>
            </w:r>
          </w:p>
        </w:tc>
      </w:tr>
    </w:tbl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3.3 Searching and Filtering Customers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Use the search bar to find customers by name, phone, or email.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Apply status filters to focus on specific pipeline stages.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Sort by date added, name, or status.</w:t>
      </w:r>
    </w:p>
    <w:p>
      <w:pPr>
        <w:pStyle w:val="ListParagraph"/>
        <w:numPr>
          <w:ilvl w:val="0"/>
          <w:numId w:val="5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Toggle between Kanban and List views using the view switcher.</w:t>
      </w: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3.4 Viewing Customer Details</w:t>
      </w:r>
    </w:p>
    <w:p>
      <w:pPr>
        <w:pStyle w:val="ListParagraph"/>
        <w:numPr>
          <w:ilvl w:val="0"/>
          <w:numId w:val="6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Click any customer card or row to open the detail modal.</w:t>
      </w:r>
    </w:p>
    <w:p>
      <w:pPr>
        <w:pStyle w:val="ListParagraph"/>
        <w:numPr>
          <w:ilvl w:val="0"/>
          <w:numId w:val="6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View all contact information, interaction history, and linked records.</w:t>
      </w:r>
    </w:p>
    <w:p>
      <w:pPr>
        <w:pStyle w:val="ListParagraph"/>
        <w:numPr>
          <w:ilvl w:val="0"/>
          <w:numId w:val="6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See linked reservations, contracts, and leases for this customer.</w:t>
      </w:r>
    </w:p>
    <w:p>
      <w:pPr>
        <w:pStyle w:val="ListParagraph"/>
        <w:numPr>
          <w:ilvl w:val="0"/>
          <w:numId w:val="6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Add notes about interactions, preferences, or follow-up actions.</w:t>
      </w: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3.5 Exporting Customer Data</w:t>
      </w:r>
    </w:p>
    <w:p>
      <w:pPr>
        <w:pStyle w:val="ListParagraph"/>
        <w:numPr>
          <w:ilvl w:val="0"/>
          <w:numId w:val="7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Click the Export button in the toolbar.</w:t>
      </w:r>
    </w:p>
    <w:p>
      <w:pPr>
        <w:pStyle w:val="ListParagraph"/>
        <w:numPr>
          <w:ilvl w:val="0"/>
          <w:numId w:val="7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Select the format (Excel or PDF).</w:t>
      </w:r>
    </w:p>
    <w:p>
      <w:pPr>
        <w:pStyle w:val="ListParagraph"/>
        <w:numPr>
          <w:ilvl w:val="0"/>
          <w:numId w:val="7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PII fields are masked in exports by default for data protection.</w:t>
      </w:r>
    </w:p>
    <w:p>
      <w:pPr>
        <w:pStyle w:val="ListParagraph"/>
        <w:numPr>
          <w:ilvl w:val="0"/>
          <w:numId w:val="7"/>
        </w:numPr>
        <w:spacing w:after="10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Admin users can request unmasked exports, which are logged in the audit trail.</w:t>
      </w:r>
    </w:p>
    <w:p>
      <w:pPr>
        <w:spacing w:after="100" w:before="100"/>
      </w:pP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48"/>
            <w:tcBorders>
              <w:top w:val="single" w:color="E53E3E" w:sz="1"/>
              <w:left w:val="single" w:color="E53E3E" w:sz="8"/>
              <w:bottom w:val="single" w:color="E53E3E" w:sz="1"/>
              <w:right w:val="single" w:color="E53E3E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E53E3E"/>
                <w:sz w:val="20"/>
                <w:szCs w:val="20"/>
              </w:rPr>
              <w:t xml:space="preserve">Warning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Exporting unmasked customer PII triggers an audit log entry per PDPL Article 32. Only roles with explicit PII access permission can view unmasked data.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4. Advanced Topics</w:t>
      </w:r>
    </w:p>
    <w:p>
      <w:pPr>
        <w:pBdr>
          <w:bottom w:val="single" w:color="107840" w:sz="6" w:space="1"/>
        </w:pBdr>
        <w:spacing w:after="300" w:before="300"/>
      </w:pP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4.1 PII Encryption and Masking</w:t>
      </w: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Customer sensitive data is encrypted using AES-256-GCM before database storage. In the UI, PII is masked by default (e.g., national ID shows as ****1234). Only users with the ‘read_pii’ permission see full values. Every PII access is logged.</w:t>
      </w: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4.2 Agent Assignment</w:t>
      </w: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Sales Managers can assign customers to specific Sales Agents for follow-up. This helps distribute leads evenly and track agent performance.</w:t>
      </w:r>
    </w:p>
    <w:p>
      <w:pPr>
        <w:pStyle w:val="Heading2"/>
        <w:spacing w:after="160" w:before="280"/>
      </w:pPr>
      <w:r>
        <w:rPr>
          <w:rFonts w:ascii="Calibri Light" w:cs="Calibri Light" w:eastAsia="Calibri Light" w:hAnsi="Calibri Light"/>
          <w:b/>
          <w:bCs/>
          <w:color w:val="107840"/>
          <w:sz w:val="28"/>
          <w:szCs w:val="28"/>
        </w:rPr>
        <w:t xml:space="preserve">4.3 Customer Deduplication</w:t>
      </w: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The system checks for duplicate customers based on phone number and national ID when creating new records. If a duplicate is detected, you’ll be prompted to view the existing record instead.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5. Frequently Asked Questions</w:t>
      </w:r>
    </w:p>
    <w:p>
      <w:pPr>
        <w:pBdr>
          <w:bottom w:val="single" w:color="107840" w:sz="6" w:space="1"/>
        </w:pBdr>
        <w:spacing w:after="300" w:before="300"/>
      </w:pP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Q: How do I add a new customer?</w:t>
      </w:r>
    </w:p>
    <w:p>
      <w:pPr>
        <w:spacing w:after="120" w:line="276"/>
        <w:ind w:left="3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From Customers, click ‘Add Customer.’ Enter name, phone, national ID. Personal data is automatically encrypted.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Q: What’s the difference between Kanban and List view?</w:t>
      </w:r>
    </w:p>
    <w:p>
      <w:pPr>
        <w:spacing w:after="120" w:line="276"/>
        <w:ind w:left="3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Kanban shows customers in columns by status (New, Interested, Qualified, Viewing, Converted). List shows them in a sortable, filterable table.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Q: Why can’t I see customer phone numbers?</w:t>
      </w:r>
    </w:p>
    <w:p>
      <w:pPr>
        <w:spacing w:after="120" w:line="276"/>
        <w:ind w:left="3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PII is masked for data protection. You need the ‘read_pii’ permission to see unmasked data. Request additional permissions from your Company Admin via Help &gt; Request Permissions.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Q: Can I import customers from a spreadsheet?</w:t>
      </w:r>
    </w:p>
    <w:p>
      <w:pPr>
        <w:spacing w:after="120" w:line="276"/>
        <w:ind w:left="3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Bulk customer import is planned for a future release. Currently, customers must be added individually.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82840"/>
          <w:sz w:val="22"/>
          <w:szCs w:val="22"/>
        </w:rPr>
        <w:t xml:space="preserve">Q: How do I create a reservation for a customer?</w:t>
      </w:r>
    </w:p>
    <w:p>
      <w:pPr>
        <w:spacing w:after="120" w:line="276"/>
        <w:ind w:left="360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From Reservations, click ‘New Reservation.’ Select the customer, then choose a unit or inventory item, set the expiry date, and complete the wizard.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 Light" w:cs="Calibri Light" w:eastAsia="Calibri Light" w:hAnsi="Calibri Light"/>
          <w:b/>
          <w:bCs/>
          <w:color w:val="182840"/>
          <w:sz w:val="36"/>
          <w:szCs w:val="36"/>
        </w:rPr>
        <w:t xml:space="preserve">6. Related Modules</w:t>
      </w:r>
    </w:p>
    <w:p>
      <w:pPr>
        <w:pBdr>
          <w:bottom w:val="single" w:color="107840" w:sz="6" w:space="1"/>
        </w:pBdr>
        <w:spacing w:after="300" w:before="300"/>
      </w:pP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078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078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0784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Reservations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Create unit holds for customers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Customer is interested in a specific unit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Contracts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Formalize sales or lease agreements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Customer is ready to sign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Rentals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Customer becomes a tenant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Lease contract signed for a customer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Unit Matrix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View available units for customers</w:t>
            </w:r>
          </w:p>
        </w:tc>
        <w:tc>
          <w:tcPr>
            <w:tcW w:type="dxa" w:w="372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Showing unit options to interested customers</w:t>
            </w:r>
          </w:p>
        </w:tc>
      </w:tr>
    </w:tbl>
    <w:p>
      <w:pPr>
        <w:spacing w:after="100" w:before="100"/>
      </w:pPr>
    </w:p>
    <w:p>
      <w:pPr>
        <w:spacing w:after="120" w:line="276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— End of Customer CRM User Guide —</w:t>
      </w:r>
    </w:p>
    <w:sectPr>
      <w:headerReference w:type="default" r:id="rId9"/>
      <w:footerReference w:type="default" r:id="rId10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 w:space="4"/>
      </w:pBdr>
      <w:jc w:val="center"/>
    </w:pPr>
    <w:r>
      <w:rPr>
        <w:rFonts w:ascii="Calibri" w:cs="Calibri" w:eastAsia="Calibri" w:hAnsi="Calibri"/>
        <w:i/>
        <w:iCs/>
        <w:color w:val="4A5568"/>
        <w:sz w:val="16"/>
        <w:szCs w:val="16"/>
      </w:rPr>
      <w:t xml:space="preserve">CONFIDENTIAL </w:t>
    </w:r>
    <w:r>
      <w:rPr>
        <w:rFonts w:ascii="Calibri" w:cs="Calibri" w:eastAsia="Calibri" w:hAnsi="Calibri"/>
        <w:color w:val="4A5568"/>
        <w:sz w:val="16"/>
        <w:szCs w:val="16"/>
      </w:rPr>
      <w:t xml:space="preserve">  |  Mimaric — Customer CRM  |  Page </w:t>
    </w:r>
    <w:r>
      <w:rPr>
        <w:rFonts w:ascii="Calibri" w:cs="Calibri" w:eastAsia="Calibri" w:hAnsi="Calibri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 w:space="4"/>
      </w:pBdr>
      <w:jc w:val="center"/>
    </w:pPr>
    <w:r>
      <w:rPr>
        <w:rFonts w:ascii="Calibri" w:cs="Calibri" w:eastAsia="Calibri" w:hAnsi="Calibri"/>
        <w:i/>
        <w:iCs/>
        <w:color w:val="4A5568"/>
        <w:sz w:val="16"/>
        <w:szCs w:val="16"/>
      </w:rPr>
      <w:t xml:space="preserve">CONFIDENTIAL </w:t>
    </w:r>
    <w:r>
      <w:rPr>
        <w:rFonts w:ascii="Calibri" w:cs="Calibri" w:eastAsia="Calibri" w:hAnsi="Calibri"/>
        <w:color w:val="4A5568"/>
        <w:sz w:val="16"/>
        <w:szCs w:val="16"/>
      </w:rPr>
      <w:t xml:space="preserve">  |  Mimaric — Customer CRM  |  Page </w:t>
    </w:r>
    <w:r>
      <w:rPr>
        <w:rFonts w:ascii="Calibri" w:cs="Calibri" w:eastAsia="Calibri" w:hAnsi="Calibri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07840" w:sz="2" w:space="4"/>
      </w:pBdr>
      <w:jc w:val="left"/>
    </w:pPr>
    <w:r>
      <w:drawing>
        <wp:inline distT="0" distB="0" distL="0" distR="0">
          <wp:extent cx="952500" cy="466725"/>
          <wp:effectExtent t="0" r="0" b="0" l="0"/>
          <wp:docPr id="1" name="logo" descr="Mimaric Logo" title="Mimari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4667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sz w:val="16"/>
        <w:szCs w:val="16"/>
      </w:rPr>
      <w:t xml:space="preserve">    </w:t>
    </w:r>
    <w:r>
      <w:rPr>
        <w:rFonts w:ascii="Calibri Light" w:cs="Calibri Light" w:eastAsia="Calibri Light" w:hAnsi="Calibri Light"/>
        <w:i/>
        <w:iCs/>
        <w:color w:val="4A5568"/>
        <w:sz w:val="16"/>
        <w:szCs w:val="16"/>
      </w:rPr>
      <w:t xml:space="preserve">MIMARIC USER GUIDE — CUSTOMER CRM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07840" w:sz="2" w:space="4"/>
      </w:pBdr>
      <w:jc w:val="left"/>
    </w:pPr>
    <w:r>
      <w:drawing>
        <wp:inline distT="0" distB="0" distL="0" distR="0">
          <wp:extent cx="952500" cy="466725"/>
          <wp:effectExtent t="0" r="0" b="0" l="0"/>
          <wp:docPr id="1" name="logo" descr="Mimaric Logo" title="Mimari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4667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sz w:val="16"/>
        <w:szCs w:val="16"/>
      </w:rPr>
      <w:t xml:space="preserve">    </w:t>
    </w:r>
    <w:r>
      <w:rPr>
        <w:rFonts w:ascii="Calibri Light" w:cs="Calibri Light" w:eastAsia="Calibri Light" w:hAnsi="Calibri Light"/>
        <w:i/>
        <w:iCs/>
        <w:color w:val="4A5568"/>
        <w:sz w:val="16"/>
        <w:szCs w:val="16"/>
      </w:rPr>
      <w:t xml:space="preserve">MIMARIC USER GUIDE — CUSTOMER CRM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3"/>
    <w:lvlOverride w:ilvl="0">
      <w:startOverride w:val="1"/>
    </w:lvlOverride>
  </w:num>
  <w:num w:numId="5">
    <w:abstractNumId w:val="24"/>
    <w:lvlOverride w:ilvl="0">
      <w:startOverride w:val="1"/>
    </w:lvlOverride>
  </w:num>
  <w:num w:numId="6">
    <w:abstractNumId w:val="25"/>
    <w:lvlOverride w:ilvl="0">
      <w:startOverride w:val="1"/>
    </w:lvlOverride>
  </w:num>
  <w:num w:numId="7">
    <w:abstractNumId w:val="2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 Light" w:cs="Calibri Light" w:eastAsia="Calibri Light" w:hAnsi="Calibri Light"/>
      <w:b/>
      <w:bCs/>
      <w:color w:val="18284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 Light" w:cs="Calibri Light" w:eastAsia="Calibri Light" w:hAnsi="Calibri Light"/>
      <w:b/>
      <w:bCs/>
      <w:color w:val="10784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10203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f938ffad00aaed9db0d616790405392f856364db.png"/><Relationship Id="rId12" Type="http://schemas.openxmlformats.org/officeDocument/2006/relationships/image" Target="media/b22f8a33a8791349a29a1d415206a80c91266fe5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938ffad00aaed9db0d616790405392f856364db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f938ffad00aaed9db0d616790405392f856364d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2026-03-18T00:56:36.342Z</dcterms:created>
  <dcterms:modified xsi:type="dcterms:W3CDTF">2026-03-18T00:56:36.342Z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