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drawing>
          <wp:inline distT="0" distB="0" distL="0" distR="0">
            <wp:extent cx="2476500" cy="1209675"/>
            <wp:effectExtent t="0" r="0" b="0" l="0"/>
            <wp:docPr id="1" name="cover-logo" descr="Mimaric Official Logo" title="Mimari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</w:p>
    <w:p>
      <w:pPr>
        <w:spacing w:after="100" w:before="100"/>
      </w:pPr>
    </w:p>
    <w:p>
      <w:pPr>
        <w:spacing w:after="80"/>
        <w:jc w:val="center"/>
      </w:pPr>
      <w:r>
        <w:rPr>
          <w:rFonts w:ascii="Calibri Light" w:cs="Calibri Light" w:eastAsia="Calibri Light" w:hAnsi="Calibri Light"/>
          <w:color w:val="4A5568"/>
          <w:sz w:val="28"/>
          <w:szCs w:val="28"/>
        </w:rPr>
        <w:t xml:space="preserve">User Guide</w:t>
      </w:r>
    </w:p>
    <w:p>
      <w:pPr>
        <w:pBdr>
          <w:bottom w:val="single" w:color="D4AF37" w:sz="4" w:space="8"/>
        </w:pBdr>
        <w:spacing w:after="120"/>
        <w:jc w:val="center"/>
      </w:pPr>
      <w:r>
        <w:rPr>
          <w:rFonts w:ascii="Calibri Light" w:cs="Calibri Light" w:eastAsia="Calibri Light" w:hAnsi="Calibri Light"/>
          <w:b/>
          <w:bCs/>
          <w:color w:val="182840"/>
          <w:sz w:val="52"/>
          <w:szCs w:val="52"/>
        </w:rPr>
        <w:t xml:space="preserve">Contracts</w:t>
      </w:r>
    </w:p>
    <w:p>
      <w:pPr>
        <w:spacing w:after="80" w:before="200"/>
        <w:jc w:val="center"/>
      </w:pPr>
      <w:r>
        <w:rPr>
          <w:rFonts w:ascii="Calibri Light" w:cs="Calibri Light" w:eastAsia="Calibri Light" w:hAnsi="Calibri Light"/>
          <w:color w:val="107840"/>
          <w:sz w:val="26"/>
          <w:szCs w:val="26"/>
        </w:rPr>
        <w:t xml:space="preserve">Ejar and Wafi Compliant Contract Lifecycle Management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5568"/>
          <w:sz w:val="24"/>
          <w:szCs w:val="24"/>
        </w:rPr>
        <w:t xml:space="preserve">العقود</w:t>
      </w:r>
    </w:p>
    <w:p>
      <w:pPr>
        <w:spacing w:after="100" w:before="100"/>
      </w:pPr>
    </w:p>
    <w:p>
      <w:pPr>
        <w:pBdr>
          <w:top w:val="single" w:color="E2E8F0" w:sz="2" w:space="8"/>
        </w:pBdr>
        <w:spacing w:after="80" w:before="20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Version 2.0  |  March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82840"/>
          <w:sz w:val="20"/>
          <w:szCs w:val="20"/>
        </w:rPr>
        <w:t xml:space="preserve">Mimaric PropTech Co.  |  mimaric.com</w:t>
      </w:r>
    </w:p>
    <w:p>
      <w:pPr>
        <w:sectPr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1. Module Overview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Contracts module manages the full lifecycle of sale and lease agreements. It enforces Saudi regulatory compliance — Ejar for rental contracts and Wafi for off-plan sale contracts — directly in the data model and workflow.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contracts-module" descr="Contracts Module" title="Contracts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Figure: Contracts module showing sale and lease agreements with status tracking</w:t>
      </w:r>
    </w:p>
    <w:p>
      <w:pPr>
        <w:spacing w:after="100" w:before="1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Contracts move through a formal state machine: Draft → Sent → Signed → (optionally) Void. Status transitions trigger automatic side-effects: signing a lease creates installment schedules, signing a sale contract creates escrow deposits.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Two Contract Types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56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SALE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Wafi</w:t>
            </w:r>
          </w:p>
        </w:tc>
        <w:tc>
          <w:tcPr>
            <w:tcW w:type="dxa" w:w="56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Delivery date, Wafi license reference, escrow account reference, contract amount, file upload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LEASE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Ejar</w:t>
            </w:r>
          </w:p>
        </w:tc>
        <w:tc>
          <w:tcPr>
            <w:tcW w:type="dxa" w:w="56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Start/end dates, payment frequency, security deposit (max 5%), auto-renewal, notice period, maintenance responsibility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2. Getting Started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Navigate to “Sales” in the sidebar, then click “Contracts.”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“New Contract” to create a sale or lease agreement.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Select the contract type (Sale or Lease) to load the appropriate form.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82840" w:sz="1"/>
              <w:left w:val="single" w:color="182840" w:sz="8"/>
              <w:bottom w:val="single" w:color="182840" w:sz="1"/>
              <w:right w:val="single" w:color="182840" w:sz="1"/>
            </w:tcBorders>
            <w:shd w:fill="EB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82840"/>
                <w:sz w:val="20"/>
                <w:szCs w:val="20"/>
              </w:rPr>
              <w:t xml:space="preserve">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Contract numbers are auto-generated: SALE-2026-XXXX for sales, LEASE-2026-XXXX for leases. You cannot modify the contract number.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3. Core Tasks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3.1 Creating a Sale Contract (Wafi-Compliant)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“New Contract” and select type: Sale.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Select the customer (from CRM) and unit or inventory item.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the contract amount.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the expected delivery date.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Wafi license reference and escrow account reference.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Upload the contract document (PDF, max 16MB).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Save. The contract is created in Draft status.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3.2 Creating a Lease Contract (Ejar-Compliant)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“New Contract” and select type: Lease.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Select the customer and unit.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lease start date and end date.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Set payment frequency: Monthly, Quarterly, Semi-Annual, or Annual.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the security deposit (system enforces max 5% of annual rent per Ejar).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Configure auto-renewal toggle and notice period (default: 60 days).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Set maintenance responsibility (Landlord or Tenant).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Save. Draft lease created.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D4AF37" w:sz="1"/>
              <w:left w:val="single" w:color="D4AF37" w:sz="8"/>
              <w:bottom w:val="single" w:color="D4AF37" w:sz="1"/>
              <w:right w:val="single" w:color="D4AF37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0"/>
                <w:szCs w:val="20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The system validates that security deposit does not exceed 5% of annual rent. If you enter a higher amount, you’ll receive a validation error. This ensures Ejar compliance.</w:t>
            </w:r>
          </w:p>
        </w:tc>
      </w:tr>
    </w:tbl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3.3 Managing Contract Status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Contracts follow a strict state machine: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Draft → Sent: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Contract has been shared with the customer for review.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Sent → Signed: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Customer has signed. This triggers automatic side-effects.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Signed → Void: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Contract cancelled. Requires a void reason.</w:t>
      </w:r>
    </w:p>
    <w:p>
      <w:pPr>
        <w:spacing w:after="100" w:before="1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Side-effects on signing: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LEASE: Auto-creates a Lease record and generates RentInstallment schedule based on payment frequency.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SALE: Auto-creates an escrow deposit (BUYER_DEPOSIT) in the project’s escrow account.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Both: Updates the unit status to Rented (lease) or Sold (sale).</w:t>
      </w:r>
    </w:p>
    <w:p>
      <w:pPr>
        <w:spacing w:after="100" w:before="1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Side-effects on voiding: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SALE: Auto-creates an escrow reversal entry.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Both: Reverts the unit status to Available.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3.4 Uploading Signed Documents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Open the contract detail page.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“Upload Document” in the document section.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Upload the signed contract PDF (max 16MB).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uploaded file is linked to the contract record permanently.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4. Advanced Topics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4.1 Contract Numbering Convention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Contracts are auto-numbered: TYPE-YEAR-SEQUENCE. For example, LEASE-2026-0001 is the first lease contract of 2026. This numbering is unique per organization and cannot be modified.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4.2 Ejar Integration Readiness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Lease contracts store all fields required for Ejar API registration. When the Ejar API integration launches (planned Q3 2026), contracts will be registerable with Ejar directly from Mimaric.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4.3 Wafi Escrow Automation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When a sale contract is signed, the system automatically records a BUYER_DEPOSIT in the project’s escrow account. Finance Officers can track all escrow movements in the Finance &gt; Escrow page.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5. Frequently Asked Questions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What’s the maximum security deposit for Ejar leases?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5% of annual rent, enforced by the system. This is an Ejar regulation to protect tenants.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Can I edit a signed contract?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No. Once a contract is signed, it cannot be edited. This is by design to maintain contractual integrity. To make changes, void the signed contract and create a new one.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What happens when I void a signed contract?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unit reverts to Available. For sale contracts, an escrow reversal is auto-recorded. A void reason is required and logged in the audit trail.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are installment schedules generated?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When a lease contract is signed, installments are auto-generated based on: contract amount, start/end dates, and payment frequency. For monthly payments on a 12-month lease, 12 installments are created with equal amounts.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Can I track contracts from Wafi sales?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Yes. Sale contracts include Wafi-specific fields: license reference, escrow account, delivery date. Escrow deposits are auto-tracked in the Finance module.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6. Related Modules</w:t>
      </w:r>
    </w:p>
    <w:p>
      <w:pPr>
        <w:pBdr>
          <w:bottom w:val="single" w:color="107840" w:sz="6" w:space="1"/>
        </w:pBdr>
        <w:spacing w:after="300" w:before="3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Customer CRM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Provides customer data for contracts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Select a customer during contract creation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Unit Matrix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Provides units for contracts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Select a unit during contract creation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Reservations convert to contracts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Convert an active reservation to a contract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Rentals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Lease contracts create leases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Signing a lease auto-creates a lease record with installments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Finance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Revenue and escrow tracking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Contract amounts flow to financial reports</w:t>
            </w:r>
          </w:p>
        </w:tc>
      </w:tr>
    </w:tbl>
    <w:p>
      <w:pPr>
        <w:spacing w:after="100" w:before="1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— End of Contracts User Guide —</w:t>
      </w:r>
    </w:p>
    <w:sectPr>
      <w:headerReference w:type="default" r:id="rId9"/>
      <w:footerReference w:type="default" r:id="rId10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Contracts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Contracts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CONTRACTS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CONTRACTS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3"/>
    <w:lvlOverride w:ilvl="0">
      <w:startOverride w:val="1"/>
    </w:lvlOverride>
  </w:num>
  <w:num w:numId="4">
    <w:abstractNumId w:val="24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 Light" w:cs="Calibri Light" w:eastAsia="Calibri Light" w:hAnsi="Calibri Light"/>
      <w:b/>
      <w:bCs/>
      <w:color w:val="1828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 Light" w:cs="Calibri Light" w:eastAsia="Calibri Light" w:hAnsi="Calibri Light"/>
      <w:b/>
      <w:bCs/>
      <w:color w:val="1078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020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938ffad00aaed9db0d616790405392f856364db.png"/><Relationship Id="rId12" Type="http://schemas.openxmlformats.org/officeDocument/2006/relationships/image" Target="media/6e0524e92b9c256df6f3ca5970cd60ff3e0a7a7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2026-03-18T00:56:36.646Z</dcterms:created>
  <dcterms:modified xsi:type="dcterms:W3CDTF">2026-03-18T00:56:36.646Z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