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6"/>
          <w:szCs w:val="56"/>
        </w:rPr>
        <w:t xml:space="preserve">PARNASS — PHASE 2</w:t>
      </w:r>
    </w:p>
    <w:p>
      <w:pPr>
        <w:spacing w:after="80"/>
        <w:jc w:val="center"/>
      </w:pPr>
      <w:r>
        <w:rPr>
          <w:color w:val="2E75B6"/>
          <w:sz w:val="28"/>
          <w:szCs w:val="28"/>
        </w:rPr>
        <w:t xml:space="preserve">Cockpit économique du transport</w:t>
      </w:r>
    </w:p>
    <w:p>
      <w:pPr>
        <w:spacing w:after="0" w:before="240"/>
        <w:jc w:val="center"/>
      </w:pPr>
      <w:r>
        <w:rPr>
          <w:b/>
          <w:bCs/>
          <w:sz w:val="34"/>
          <w:szCs w:val="34"/>
        </w:rPr>
        <w:t xml:space="preserve">Analyse comparative détaillée</w:t>
      </w:r>
    </w:p>
    <w:p>
      <w:pPr>
        <w:spacing w:after="600"/>
        <w:jc w:val="center"/>
      </w:pPr>
      <w:r>
        <w:rPr>
          <w:color w:val="595959"/>
          <w:sz w:val="26"/>
          <w:szCs w:val="26"/>
        </w:rPr>
        <w:t xml:space="preserve">Spécifications Discovery  ↔  Démo / MVP</w:t>
      </w:r>
    </w:p>
    <w:p>
      <w:pPr>
        <w:spacing w:after="40"/>
        <w:jc w:val="center"/>
      </w:pPr>
      <w:r>
        <w:rPr>
          <w:i/>
          <w:iCs/>
          <w:sz w:val="22"/>
          <w:szCs w:val="22"/>
        </w:rPr>
        <w:t xml:space="preserve">Le démo répond-il à la spec ? Avons-nous assez d'éléments ? Y a-t-il du superflu ?</w:t>
      </w:r>
    </w:p>
    <w:p>
      <w:pPr>
        <w:spacing w:before="700"/>
        <w:jc w:val="center"/>
      </w:pPr>
      <w:r>
        <w:rPr>
          <w:color w:val="808080"/>
          <w:sz w:val="20"/>
          <w:szCs w:val="20"/>
        </w:rPr>
        <w:t xml:space="preserve">Revue module par module · vérification chiffrée · recommandations</w:t>
      </w:r>
    </w:p>
    <w:p>
      <w:pPr>
        <w:spacing w:before="80"/>
        <w:jc w:val="center"/>
      </w:pPr>
      <w:r>
        <w:rPr>
          <w:color w:val="808080"/>
          <w:sz w:val="20"/>
          <w:szCs w:val="20"/>
        </w:rPr>
        <w:t xml:space="preserve">Document de travail — 24 juin 2026</w:t>
      </w:r>
    </w:p>
    <w:p>
      <w:r>
        <w:br w:type="page"/>
      </w:r>
    </w:p>
    <w:p>
      <w:pPr>
        <w:pStyle w:val="Heading1"/>
        <w:spacing w:after="160" w:before="28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1. Synthèse exécutive</w:t>
      </w:r>
    </w:p>
    <w:p>
      <w:pPr>
        <w:spacing w:after="120" w:before="0" w:line="276"/>
      </w:pPr>
      <w:r>
        <w:rPr>
          <w:b/>
          <w:bCs/>
        </w:rPr>
        <w:t xml:space="preserve">Verdict global. </w:t>
      </w:r>
      <w:r>
        <w:t xml:space="preserve">Le démo couvre l'intégralité de la cible Phase 2 : les 6 modules existent et la plupart sont visuellement aboutis. C'est un excellent support de démonstration client. En revanche, en tant que socle de cadrage build, il présente trois familles d'écarts avec les specs : </w:t>
      </w:r>
      <w:r>
        <w:rPr>
          <w:b/>
          <w:bCs/>
        </w:rPr>
        <w:t xml:space="preserve">(a) des valeurs chiffrées de référence qui ne correspondent pas aux conventions arbitrées en Discovery</w:t>
      </w:r>
      <w:r>
        <w:t xml:space="preserve"> (salaires, casse, libellé « Dirham », unité du gaz, diviseur H1) ; </w:t>
      </w:r>
      <w:r>
        <w:rPr>
          <w:b/>
          <w:bCs/>
        </w:rPr>
        <w:t xml:space="preserve">(b) un modèle de données M1 très incomplet</w:t>
      </w:r>
      <w:r>
        <w:t xml:space="preserve"> (86 champs spécifiés, une fraction couverte) et un Module 2 — pourtant chemin critique — réduit à du descriptif ; </w:t>
      </w:r>
      <w:r>
        <w:rPr>
          <w:b/>
          <w:bCs/>
        </w:rPr>
        <w:t xml:space="preserve">(c) un effort surinvesti sur le Module 6</w:t>
      </w:r>
      <w:r>
        <w:t xml:space="preserve">, explicitement différé en Phase 3 par les specs, au détriment du Data Cost Hub.</w:t>
      </w:r>
    </w:p>
    <w:p>
      <w:pPr>
        <w:spacing w:after="120" w:before="0" w:line="276"/>
      </w:pPr>
      <w:r>
        <w:rPr>
          <w:b/>
          <w:bCs/>
        </w:rPr>
        <w:t xml:space="preserve">Réponse aux trois questions posées.</w:t>
      </w:r>
    </w:p>
    <w:p>
      <w:pPr>
        <w:pStyle w:val="ListParagraph"/>
        <w:numPr>
          <w:ilvl w:val="0"/>
          <w:numId w:val="2"/>
        </w:numPr>
        <w:spacing w:after="60" w:line="264"/>
      </w:pPr>
      <w:r>
        <w:rPr>
          <w:b/>
          <w:bCs/>
        </w:rPr>
        <w:t xml:space="preserve">« Le spec répond-il au démo ? » </w:t>
      </w:r>
      <w:r>
        <w:t xml:space="preserve">Oui sur la structure (6 modules, 13 postes, 2 tracks théorique/réel). Non sur le détail : plusieurs décisions arbitrées en Discovery (H1 = 21 j, source loyers = MyRentCar, gaz en kg) ne sont pas reflétées dans le démo, qui s'appuie encore par endroits sur d'anciennes valeurs d'atelier.</w:t>
      </w:r>
    </w:p>
    <w:p>
      <w:pPr>
        <w:pStyle w:val="ListParagraph"/>
        <w:numPr>
          <w:ilvl w:val="0"/>
          <w:numId w:val="2"/>
        </w:numPr>
        <w:spacing w:after="60" w:line="264"/>
      </w:pPr>
      <w:r>
        <w:rPr>
          <w:b/>
          <w:bCs/>
        </w:rPr>
        <w:t xml:space="preserve">« A-t-on assez d'éléments ? » </w:t>
      </w:r>
      <w:r>
        <w:t xml:space="preserve">Pour un démo : oui. Pour lancer le build : non — il manque le modèle de champs complet de M1, les vrais connecteurs de M2, le moteur d'allocation et d'ingestion de M3, et la réconciliation des référentiels chiffrés sur la spec.</w:t>
      </w:r>
    </w:p>
    <w:p>
      <w:pPr>
        <w:pStyle w:val="ListParagraph"/>
        <w:numPr>
          <w:ilvl w:val="0"/>
          <w:numId w:val="2"/>
        </w:numPr>
        <w:spacing w:after="60" w:line="264"/>
      </w:pPr>
      <w:r>
        <w:rPr>
          <w:b/>
          <w:bCs/>
        </w:rPr>
        <w:t xml:space="preserve">« Y a-t-il des éléments en trop ? » </w:t>
      </w:r>
      <w:r>
        <w:t xml:space="preserve">Oui : M6 (simulations, recommandations) construit alors qu'il est hors MVP ; pages mortes retirées de la navigation mais toujours présentes ; arbre /m4 et /m5 dupliqué sous /rentabilite ; un 14ᵉ poste « fantôme » ; boutons inertes.</w:t>
      </w:r>
    </w:p>
    <w:p>
      <w:pPr>
        <w:spacing w:after="120" w:before="0" w:line="276"/>
      </w:pPr>
      <w:r>
        <w:rPr>
          <w:b/>
          <w:bCs/>
        </w:rPr>
        <w:t xml:space="preserve">Recommandation directrice. </w:t>
      </w:r>
      <w:r>
        <w:t xml:space="preserve">Avant le build : (1) figer une table unique de référentiels chiffrés alignée sur la spec et la recâbler dans les mocks ; (2) compléter le modèle de champs M1 et la spec M2 (chemin critique) ; (3) geler M6 au statut maquette. Détails priorisés en section 9.</w:t>
      </w:r>
    </w:p>
    <w:p>
      <w:pPr>
        <w:pStyle w:val="Heading2"/>
        <w:spacing w:after="120" w:before="220"/>
      </w:pPr>
      <w:r>
        <w:t xml:space="preserve">1.1 Tableau de bord de couverture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2600"/>
        <w:gridCol w:w="1500"/>
        <w:gridCol w:w="1500"/>
        <w:gridCol w:w="2606"/>
      </w:tblGrid>
      <w:tr>
        <w:trPr>
          <w:tblHeader/>
        </w:trPr>
        <w:tc>
          <w:tcPr>
            <w:tcW w:type="dxa" w:w="82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Module</w:t>
            </w:r>
          </w:p>
        </w:tc>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Périmètre cible</w:t>
            </w:r>
          </w:p>
        </w:tc>
        <w:tc>
          <w:tcPr>
            <w:tcW w:type="dxa" w:w="15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Couverture démo</w:t>
            </w:r>
          </w:p>
        </w:tc>
        <w:tc>
          <w:tcPr>
            <w:tcW w:type="dxa" w:w="15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Maturité</w:t>
            </w:r>
          </w:p>
        </w:tc>
        <w:tc>
          <w:tcPr>
            <w:tcW w:type="dxa" w:w="2606"/>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Écart principal</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M1</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Commercial &amp; Tarification</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Partielle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Élevée (UI)</w:t>
            </w:r>
          </w:p>
        </w:tc>
        <w:tc>
          <w:tcPr>
            <w:tcW w:type="dxa" w:w="260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Modèle 86 champs très incomplet ; 4 modes de facturation partiels</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M2</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Data Cost Hub</w:t>
            </w:r>
          </w:p>
        </w:tc>
        <w:tc>
          <w:tcPr>
            <w:tcW w:type="dxa" w:w="15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Faible (descriptif)</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Vitrine</w:t>
            </w:r>
          </w:p>
        </w:tc>
        <w:tc>
          <w:tcPr>
            <w:tcW w:type="dxa" w:w="260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Chemin critique non spécifié ; sources obsolètes (Avia, Dirham)</w:t>
            </w:r>
          </w:p>
        </w:tc>
      </w:tr>
      <w:tr>
        <w:tc>
          <w:tcPr>
            <w:tcW w:type="dxa" w:w="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M3</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Cost Engine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Bonne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Élevée</w:t>
            </w:r>
          </w:p>
        </w:tc>
        <w:tc>
          <w:tcPr>
            <w:tcW w:type="dxa" w:w="260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Ingestion réelle absente ; allocation statique ; chiffres non alignés</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M4</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Profitability Engine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Bonne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Élevée</w:t>
            </w:r>
          </w:p>
        </w:tc>
        <w:tc>
          <w:tcPr>
            <w:tcW w:type="dxa" w:w="260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6 axes au lieu des 3 unités arbitrées ; % de coûts figés</w:t>
            </w:r>
          </w:p>
        </w:tc>
      </w:tr>
      <w:tr>
        <w:tc>
          <w:tcPr>
            <w:tcW w:type="dxa" w:w="8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M5</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Dashboard Rentabilité</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Bonne</w:t>
            </w:r>
          </w:p>
        </w:tc>
        <w:tc>
          <w:tcPr>
            <w:tcW w:type="dxa" w:w="15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Élevée</w:t>
            </w:r>
          </w:p>
        </w:tc>
        <w:tc>
          <w:tcPr>
            <w:tcW w:type="dxa" w:w="260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Pages mortes hors nav ; vue indexation quasi-statique</w:t>
            </w:r>
          </w:p>
        </w:tc>
      </w:tr>
      <w:tr>
        <w:tc>
          <w:tcPr>
            <w:tcW w:type="dxa" w:w="82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M6</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Decision Support</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Au-delà du scope</w:t>
            </w:r>
          </w:p>
        </w:tc>
        <w:tc>
          <w:tcPr>
            <w:tcW w:type="dxa" w:w="15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Moyenne</w:t>
            </w:r>
          </w:p>
        </w:tc>
        <w:tc>
          <w:tcPr>
            <w:tcW w:type="dxa" w:w="260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Construit alors que différé Phase 3 (mauvaise priorité)</w:t>
            </w:r>
          </w:p>
        </w:tc>
      </w:tr>
    </w:tbl>
    <w:p>
      <w:pPr>
        <w:spacing w:after="60" w:before="0" w:line="276"/>
      </w:pPr>
      <w:r>
        <w:rPr>
          <w:i/>
          <w:iCs/>
          <w:sz w:val="18"/>
          <w:szCs w:val="18"/>
        </w:rPr>
        <w:t xml:space="preserve">Légende couverture : </w:t>
      </w:r>
      <w:r>
        <w:rPr>
          <w:color w:val="2E7D32"/>
          <w:sz w:val="18"/>
          <w:szCs w:val="18"/>
        </w:rPr>
        <w:t xml:space="preserve">vert</w:t>
      </w:r>
      <w:r>
        <w:rPr>
          <w:i/>
          <w:iCs/>
          <w:sz w:val="18"/>
          <w:szCs w:val="18"/>
        </w:rPr>
        <w:t xml:space="preserve"> = conforme / bien couvert · </w:t>
      </w:r>
      <w:r>
        <w:rPr>
          <w:color w:val="B26A00"/>
          <w:sz w:val="18"/>
          <w:szCs w:val="18"/>
        </w:rPr>
        <w:t xml:space="preserve">orange</w:t>
      </w:r>
      <w:r>
        <w:rPr>
          <w:i/>
          <w:iCs/>
          <w:sz w:val="18"/>
          <w:szCs w:val="18"/>
        </w:rPr>
        <w:t xml:space="preserve"> = partiel ou à recadrer · </w:t>
      </w:r>
      <w:r>
        <w:rPr>
          <w:color w:val="C00000"/>
          <w:sz w:val="18"/>
          <w:szCs w:val="18"/>
        </w:rPr>
        <w:t xml:space="preserve">rouge</w:t>
      </w:r>
      <w:r>
        <w:rPr>
          <w:i/>
          <w:iCs/>
          <w:sz w:val="18"/>
          <w:szCs w:val="18"/>
        </w:rPr>
        <w:t xml:space="preserve"> = écart majeur.</w:t>
      </w:r>
    </w:p>
    <w:p>
      <w:r>
        <w:br w:type="page"/>
      </w:r>
    </w:p>
    <w:p>
      <w:pPr>
        <w:pStyle w:val="Heading1"/>
        <w:spacing w:after="160" w:before="280"/>
      </w:pPr>
      <w:r>
        <w:t xml:space="preserve">2. Méthodologie et sources</w:t>
      </w:r>
    </w:p>
    <w:p>
      <w:pPr>
        <w:spacing w:after="120" w:before="0" w:line="276"/>
      </w:pPr>
      <w:r>
        <w:t xml:space="preserve">L'analyse croise deux corpus : (1) l'ensemble des documents de specs du dossier « Phase 2 Specs » et (2) le code réellement implémenté dans le démo Next.js (dossier src/).</w:t>
      </w:r>
    </w:p>
    <w:p>
      <w:pPr>
        <w:pStyle w:val="Heading3"/>
        <w:spacing w:after="80" w:before="160"/>
      </w:pPr>
      <w:r>
        <w:t xml:space="preserve">Sources « specs » exploitées</w:t>
      </w:r>
    </w:p>
    <w:p>
      <w:pPr>
        <w:pStyle w:val="ListParagraph"/>
        <w:numPr>
          <w:ilvl w:val="0"/>
          <w:numId w:val="2"/>
        </w:numPr>
        <w:spacing w:after="60" w:line="264"/>
      </w:pPr>
      <w:r>
        <w:t xml:space="preserve">HANDOVER_Phase2_Claude_Team.md (19/05/2026) — passation faisant foi sur la structure (6 modules, 13 postes, questions Q1–Q4).</w:t>
      </w:r>
    </w:p>
    <w:p>
      <w:pPr>
        <w:pStyle w:val="ListParagraph"/>
        <w:numPr>
          <w:ilvl w:val="0"/>
          <w:numId w:val="2"/>
        </w:numPr>
        <w:spacing w:after="60" w:line="264"/>
      </w:pPr>
      <w:r>
        <w:t xml:space="preserve">Discovery Renta d'Exploitation (1).xlsx — fichier pivot 16 onglets, vérité chiffrée.</w:t>
      </w:r>
    </w:p>
    <w:p>
      <w:pPr>
        <w:pStyle w:val="ListParagraph"/>
        <w:numPr>
          <w:ilvl w:val="0"/>
          <w:numId w:val="2"/>
        </w:numPr>
        <w:spacing w:after="60" w:line="264"/>
      </w:pPr>
      <w:r>
        <w:t xml:space="preserve">Champs_Module_Commercial.xlsx — modèle de 86 champs du Module 1 (9 blocs).</w:t>
      </w:r>
    </w:p>
    <w:p>
      <w:pPr>
        <w:pStyle w:val="ListParagraph"/>
        <w:numPr>
          <w:ilvl w:val="0"/>
          <w:numId w:val="2"/>
        </w:numPr>
        <w:spacing w:after="60" w:line="264"/>
      </w:pPr>
      <w:r>
        <w:t xml:space="preserve">Indexation Carburant 2026.xlsx / .csv, BI_Sous-traitance.pdf, Renta_Avril_2025.xlsx, Cadrage_V1, Discovery.docx, et les 7 pages HTML de Restitution (11/05/2026).</w:t>
      </w:r>
    </w:p>
    <w:p>
      <w:pPr>
        <w:spacing w:after="120" w:before="0" w:line="276"/>
      </w:pPr>
      <w:r>
        <w:rPr>
          <w:b/>
          <w:bCs/>
        </w:rPr>
        <w:t xml:space="preserve">Point de vigilance méthodologique. </w:t>
      </w:r>
      <w:r>
        <w:t xml:space="preserve">Les specs contiennent trois générations de documents parfois contradictoires : les ateliers d'avril (14 postes, 6 unités, « Dirham », source « Avia »), la Restitution consolidée du 11/05 et le HANDOVER du 19/05 (13 postes, 3 unités, « DIREM », source « MyRentCar »). L'ordre de priorité retenu place le HANDOVER et la Restitution 11/05 comme faisant foi. Plusieurs écarts du démo viennent du fait qu'il s'appuie encore sur la version ateliers, antérieure.</w:t>
      </w:r>
    </w:p>
    <w:p>
      <w:pPr>
        <w:pStyle w:val="Heading3"/>
        <w:spacing w:after="80" w:before="160"/>
      </w:pPr>
      <w:r>
        <w:t xml:space="preserve">Sources « démo » exploitées</w:t>
      </w:r>
    </w:p>
    <w:p>
      <w:pPr>
        <w:pStyle w:val="ListParagraph"/>
        <w:numPr>
          <w:ilvl w:val="0"/>
          <w:numId w:val="2"/>
        </w:numPr>
        <w:spacing w:after="60" w:line="264"/>
      </w:pPr>
      <w:r>
        <w:t xml:space="preserve">Pages src/app/m1…m6 et src/app/rentabilite ; composants finance / cockpit / m2 / m3.</w:t>
      </w:r>
    </w:p>
    <w:p>
      <w:pPr>
        <w:pStyle w:val="ListParagraph"/>
        <w:numPr>
          <w:ilvl w:val="0"/>
          <w:numId w:val="2"/>
        </w:numPr>
        <w:spacing w:after="60" w:line="264"/>
      </w:pPr>
      <w:r>
        <w:t xml:space="preserve">Données mock : demo-data.js, cockpit-mock-data.js, m2-grille-14-hub-data.js, reco-data.js ; config navigation.js, rentabilite-tabs.js.</w:t>
      </w:r>
    </w:p>
    <w:p>
      <w:pPr>
        <w:spacing w:after="120" w:before="0" w:line="276"/>
      </w:pPr>
      <w:r>
        <w:rPr>
          <w:b/>
          <w:bCs/>
        </w:rPr>
        <w:t xml:space="preserve">Note d'architecture du démo. </w:t>
      </w:r>
      <w:r>
        <w:t xml:space="preserve">La navigation pointe M4 et M5 vers /rentabilite/*, qui sont de simples ré-exports des écrans réels vivant dans /m4/* et /m5/*. Toutes les données sont des fixtures statiques : aucun backend ni API live.</w:t>
      </w:r>
    </w:p>
    <w:p>
      <w:r>
        <w:br w:type="page"/>
      </w:r>
    </w:p>
    <w:p>
      <w:pPr>
        <w:pStyle w:val="Heading1"/>
        <w:spacing w:after="160" w:before="280"/>
      </w:pPr>
      <w:r>
        <w:t xml:space="preserve">3. Module 1 — Commercial &amp; Tarification</w:t>
      </w:r>
    </w:p>
    <w:p>
      <w:pPr>
        <w:spacing w:after="120" w:before="0" w:line="276"/>
      </w:pPr>
      <w:r>
        <w:rPr>
          <w:b/>
          <w:bCs/>
        </w:rPr>
        <w:t xml:space="preserve">Rôle cible : </w:t>
      </w:r>
      <w:r>
        <w:t xml:space="preserve">sécuriser la marge avant exploitation — CA théorique, grilles tarifaires, indexation carburant, chiffrage Spot/SUP.</w:t>
      </w:r>
    </w:p>
    <w:p>
      <w:pPr>
        <w:pStyle w:val="Heading3"/>
        <w:spacing w:after="80" w:before="160"/>
      </w:pPr>
      <w:r>
        <w:t xml:space="preserve">Ce que disent les specs</w:t>
      </w:r>
    </w:p>
    <w:p>
      <w:pPr>
        <w:pStyle w:val="ListParagraph"/>
        <w:numPr>
          <w:ilvl w:val="0"/>
          <w:numId w:val="2"/>
        </w:numPr>
        <w:spacing w:after="60" w:line="264"/>
      </w:pPr>
      <w:r>
        <w:t xml:space="preserve">Modèle de 86 champs en 9 blocs (A Identification … I Conventions de calcul) ; 16 existants, 6 partiels, 64 à créer. Source : Champs_Module_Commercial.xlsx.</w:t>
      </w:r>
    </w:p>
    <w:p>
      <w:pPr>
        <w:pStyle w:val="ListParagraph"/>
        <w:numPr>
          <w:ilvl w:val="0"/>
          <w:numId w:val="2"/>
        </w:numPr>
        <w:spacing w:after="60" w:line="264"/>
      </w:pPr>
      <w:r>
        <w:t xml:space="preserve">4 modes de facturation : Forfaitaire / TK / Taux horaire / Trinôme (Trinôme = forfait matériel obligatoire + TK et/ou TH optionnels).</w:t>
      </w:r>
    </w:p>
    <w:p>
      <w:pPr>
        <w:pStyle w:val="ListParagraph"/>
        <w:numPr>
          <w:ilvl w:val="0"/>
          <w:numId w:val="2"/>
        </w:numPr>
        <w:spacing w:after="60" w:line="264"/>
      </w:pPr>
      <w:r>
        <w:t xml:space="preserve">Indexation carburant complète : 5 indices CNR + DIREM, mode temporel M / M-1 / M-2, pondération % ou L/100km, gestion TICPE, niveau prestation ou héritage contrat ; cas FedEx, Auchan (remise TICPE), CEVA, Chronopost.</w:t>
      </w:r>
    </w:p>
    <w:p>
      <w:pPr>
        <w:pStyle w:val="ListParagraph"/>
        <w:numPr>
          <w:ilvl w:val="0"/>
          <w:numId w:val="2"/>
        </w:numPr>
        <w:spacing w:after="60" w:line="264"/>
      </w:pPr>
      <w:r>
        <w:t xml:space="preserve">Aide au chiffrage Spot/SUP : triplet coût estimé + prix minimum conseillé + niveau de risque.</w:t>
      </w:r>
    </w:p>
    <w:p>
      <w:pPr>
        <w:pStyle w:val="ListParagraph"/>
        <w:numPr>
          <w:ilvl w:val="0"/>
          <w:numId w:val="2"/>
        </w:numPr>
        <w:spacing w:after="60" w:line="264"/>
      </w:pPr>
      <w:r>
        <w:t xml:space="preserve">Convention : </w:t>
      </w:r>
      <w:r>
        <w:rPr>
          <w:i/>
          <w:iCs/>
        </w:rPr>
        <w:t xml:space="preserve">« date de chargement fait foi » </w:t>
      </w:r>
      <w:r>
        <w:t xml:space="preserve">; CA réel = prestas effectuées sans réintégrer les écarts km/horaires.</w:t>
      </w:r>
    </w:p>
    <w:p>
      <w:pPr>
        <w:pStyle w:val="Heading3"/>
        <w:spacing w:after="80" w:before="160"/>
      </w:pPr>
      <w:r>
        <w:t xml:space="preserve">Ce que fait le démo</w:t>
      </w:r>
    </w:p>
    <w:p>
      <w:pPr>
        <w:pStyle w:val="ListParagraph"/>
        <w:numPr>
          <w:ilvl w:val="0"/>
          <w:numId w:val="2"/>
        </w:numPr>
        <w:spacing w:after="60" w:line="264"/>
      </w:pPr>
      <w:r>
        <w:t xml:space="preserve">4 écrans fonctionnels : adv-contrats (liste + drawer + courbe indice), indexation-carburant (calculateur live, sélecteur CNR/DIREM, M/M-1/M-2, pondération, 11 champs de référentiel), ca-theorique (KPIs + décomposition volume/prix/indexation), chiffrage-spot (calculateur live avec prix conseillé et marge cible).</w:t>
      </w:r>
    </w:p>
    <w:p>
      <w:pPr>
        <w:pStyle w:val="ListParagraph"/>
        <w:numPr>
          <w:ilvl w:val="0"/>
          <w:numId w:val="2"/>
        </w:numPr>
        <w:spacing w:after="60" w:line="264"/>
      </w:pPr>
      <w:r>
        <w:t xml:space="preserve">L'écran indexation est le plus abouti et couvre bien la mécanique CNR/DIREM, les types de carburant (GO/GNC/GNV/GNL/BIO_GNC/GNR/FIOUL_FRIGO) et le niveau d'application (hérité contrat / spécifique prestation).</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Indexation carburant (CNR/DIREM, M-1, pondération, TICPE)</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Calculateur live complet, types carburant couverts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86 champs / 9 blocs</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Indexation riche ; blocs Tarification, Véhicule prévu, Conducteur prévu, Trajet, Équipements, Sous-traitance, Conventions largement absents</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Écart majeur</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4 modes de facturation (dont Trinôme : forfait + TK/TH)</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Type de tarif présent ; logique Trinôme / forfait matériel / règles de dépassement non implémentée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Chiffrage Spot triplet coût + prix mini + risque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Calculateur prix conseillé + marge ; notion de « niveau de risque » non explicite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Libellé indice = DIREM</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Affiche « Dirham » (vue-indexation, sources M2)</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À corriger</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9 référentiels externes (clients, contrats, énergies, indices, sous-traitants, conventions…)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Référentiel indexation présent ; autres référentiels non modélisés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Écart</w:t>
            </w:r>
          </w:p>
        </w:tc>
      </w:tr>
    </w:tbl>
    <w:p>
      <w:pPr>
        <w:spacing w:after="120" w:before="0" w:line="276"/>
      </w:pPr>
      <w:r>
        <w:rPr>
          <w:b/>
          <w:bCs/>
        </w:rPr>
        <w:t xml:space="preserve">Conclusion M1. </w:t>
      </w:r>
      <w:r>
        <w:t xml:space="preserve">La vitrine d'indexation et de chiffrage est convaincante, mais le cœur contractuel (modèle de 86 champs, modes de facturation, référentiels) reste à spécifier et construire. C'est l'écart fonctionnel le plus profond du démo.</w:t>
      </w:r>
    </w:p>
    <w:p>
      <w:r>
        <w:br w:type="page"/>
      </w:r>
    </w:p>
    <w:p>
      <w:pPr>
        <w:pStyle w:val="Heading1"/>
        <w:spacing w:after="160" w:before="280"/>
      </w:pPr>
      <w:r>
        <w:t xml:space="preserve">4. Module 2 — Data Cost Hub</w:t>
      </w:r>
    </w:p>
    <w:p>
      <w:pPr>
        <w:spacing w:after="120" w:before="0" w:line="276"/>
      </w:pPr>
      <w:r>
        <w:rPr>
          <w:b/>
          <w:bCs/>
        </w:rPr>
        <w:t xml:space="preserve">Rôle cible : </w:t>
      </w:r>
      <w:r>
        <w:t xml:space="preserve">couche d'infrastructure qui centralise, normalise et fiabilise les données de coût. C'est le </w:t>
      </w:r>
      <w:r>
        <w:rPr>
          <w:b/>
          <w:bCs/>
        </w:rPr>
        <w:t xml:space="preserve">chemin critique technique</w:t>
      </w:r>
      <w:r>
        <w:t xml:space="preserve"> de la Phase 2 — sans lui, M3 et M4 s'effondrent.</w:t>
      </w:r>
    </w:p>
    <w:p>
      <w:pPr>
        <w:pStyle w:val="Heading3"/>
        <w:spacing w:after="80" w:before="160"/>
      </w:pPr>
      <w:r>
        <w:t xml:space="preserve">Ce que disent les specs</w:t>
      </w:r>
    </w:p>
    <w:p>
      <w:pPr>
        <w:pStyle w:val="ListParagraph"/>
        <w:numPr>
          <w:ilvl w:val="0"/>
          <w:numId w:val="2"/>
        </w:numPr>
        <w:spacing w:after="60" w:line="264"/>
      </w:pPr>
      <w:r>
        <w:t xml:space="preserve">11 sources : AS24, Michelin, Masternaut, Solid (tachy), Silae, Factorial, WinCPL, MyRentCar, Engie, CNR+DIREM, PTV.</w:t>
      </w:r>
    </w:p>
    <w:p>
      <w:pPr>
        <w:pStyle w:val="ListParagraph"/>
        <w:numPr>
          <w:ilvl w:val="0"/>
          <w:numId w:val="2"/>
        </w:numPr>
        <w:spacing w:after="60" w:line="264"/>
      </w:pPr>
      <w:r>
        <w:t xml:space="preserve">Pipeline ETL en 6 étapes (ingestion → validation → normalisation → mapping → dédoublonnage → logs/alertes), principe 80/20, historisation 12 mois, filtrage flotte sur client C9TPS.</w:t>
      </w:r>
    </w:p>
    <w:p>
      <w:pPr>
        <w:pStyle w:val="ListParagraph"/>
        <w:numPr>
          <w:ilvl w:val="0"/>
          <w:numId w:val="2"/>
        </w:numPr>
        <w:spacing w:after="60" w:line="264"/>
      </w:pPr>
      <w:r>
        <w:t xml:space="preserve">Arbitrage H8 (acté) : source des loyers = </w:t>
      </w:r>
      <w:r>
        <w:rPr>
          <w:b/>
          <w:bCs/>
        </w:rPr>
        <w:t xml:space="preserve">MyRentCar</w:t>
      </w:r>
      <w:r>
        <w:t xml:space="preserve">, et non Avia.</w:t>
      </w:r>
    </w:p>
    <w:p>
      <w:pPr>
        <w:pStyle w:val="Heading3"/>
        <w:spacing w:after="80" w:before="160"/>
      </w:pPr>
      <w:r>
        <w:t xml:space="preserve">Ce que fait le démo</w:t>
      </w:r>
    </w:p>
    <w:p>
      <w:pPr>
        <w:pStyle w:val="ListParagraph"/>
        <w:numPr>
          <w:ilvl w:val="0"/>
          <w:numId w:val="2"/>
        </w:numPr>
        <w:spacing w:after="60" w:line="264"/>
      </w:pPr>
      <w:r>
        <w:t xml:space="preserve">Un seul écran descriptif riche : synthèse flux, connecteurs avec protocole/statut/owner, pipeline ETL 6 étapes, onglets par poste de coût, gouvernance RACI.</w:t>
      </w:r>
    </w:p>
    <w:p>
      <w:pPr>
        <w:pStyle w:val="ListParagraph"/>
        <w:numPr>
          <w:ilvl w:val="0"/>
          <w:numId w:val="2"/>
        </w:numPr>
        <w:spacing w:after="60" w:line="264"/>
      </w:pPr>
      <w:r>
        <w:t xml:space="preserve">Sources cataloguées (11) mais étiquetées partiellement à l'ancienne : « Dirham », et le détail loyers (m2-grille-14-hub-data.js) cite « Avia Location » et « NAS Transport ».</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Cartographie des 11 sources + pipeline ETL</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Présent (descriptif, pédagogique)</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 (vitrine)</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Connecteurs réels / ingestion</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Aucun — tout est fixture statique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Non couvert (normal en démo)</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Source loyers = MyRentCar (H8 acté)</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Détail hub cite Avia Location / NAS Transport</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Incohérent / obsolète</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Libellé indice DIREM</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 Dirham »</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À corriger</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Spec build du Data Cost Hub (chemin critique)</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Inexistante — seul un écran d'illustration</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Écart majeur de priorité</w:t>
            </w:r>
          </w:p>
        </w:tc>
      </w:tr>
    </w:tbl>
    <w:p>
      <w:pPr>
        <w:spacing w:after="120" w:before="0" w:line="276"/>
      </w:pPr>
      <w:r>
        <w:rPr>
          <w:b/>
          <w:bCs/>
        </w:rPr>
        <w:t xml:space="preserve">Conclusion M2. </w:t>
      </w:r>
      <w:r>
        <w:t xml:space="preserve">L'écran « raconte » bien le Hub mais ne le spécifie pas. Or c'est le module porteur de la majorité du risque technique. La priorité de cadrage build devrait être ici, pas sur M6.</w:t>
      </w:r>
    </w:p>
    <w:p>
      <w:r>
        <w:br w:type="page"/>
      </w:r>
    </w:p>
    <w:p>
      <w:pPr>
        <w:pStyle w:val="Heading1"/>
        <w:spacing w:after="160" w:before="280"/>
      </w:pPr>
      <w:r>
        <w:t xml:space="preserve">5. Module 3 — Cost Engine</w:t>
      </w:r>
    </w:p>
    <w:p>
      <w:pPr>
        <w:spacing w:after="120" w:before="0" w:line="276"/>
      </w:pPr>
      <w:r>
        <w:rPr>
          <w:b/>
          <w:bCs/>
        </w:rPr>
        <w:t xml:space="preserve">Rôle cible : </w:t>
      </w:r>
      <w:r>
        <w:t xml:space="preserve">transformer les données brutes en coûts ventilés théoriques ET réels, sur la grille à 13 postes.</w:t>
      </w:r>
    </w:p>
    <w:p>
      <w:pPr>
        <w:pStyle w:val="Heading3"/>
        <w:spacing w:after="80" w:before="160"/>
      </w:pPr>
      <w:r>
        <w:t xml:space="preserve">Ce que disent les specs</w:t>
      </w:r>
    </w:p>
    <w:p>
      <w:pPr>
        <w:pStyle w:val="ListParagraph"/>
        <w:numPr>
          <w:ilvl w:val="0"/>
          <w:numId w:val="2"/>
        </w:numPr>
        <w:spacing w:after="60" w:line="264"/>
      </w:pPr>
      <w:r>
        <w:t xml:space="preserve">Grille à 13 postes (peut passer à 15-16 selon arbitrage Q1-Q3) ; deux tracks théorique/réel ; postes 03/06/07/08/12 produisent l'écart, les autres réel = théorique.</w:t>
      </w:r>
    </w:p>
    <w:p>
      <w:pPr>
        <w:pStyle w:val="ListParagraph"/>
        <w:numPr>
          <w:ilvl w:val="0"/>
          <w:numId w:val="2"/>
        </w:numPr>
        <w:spacing w:after="60" w:line="264"/>
      </w:pPr>
      <w:r>
        <w:t xml:space="preserve">Conventions : carburant réel = </w:t>
      </w:r>
      <w:r>
        <w:rPr>
          <w:i/>
          <w:iCs/>
        </w:rPr>
        <w:t xml:space="preserve">litres × prix réel</w:t>
      </w:r>
      <w:r>
        <w:t xml:space="preserve"> (et non litres théoriques × prix indexé) ; salaires forfait jour vs heures réelles ; diviseur H1 = 21 j (acté).</w:t>
      </w:r>
    </w:p>
    <w:p>
      <w:pPr>
        <w:pStyle w:val="Heading3"/>
        <w:spacing w:after="80" w:before="160"/>
      </w:pPr>
      <w:r>
        <w:t xml:space="preserve">Ce que fait le démo</w:t>
      </w:r>
    </w:p>
    <w:p>
      <w:pPr>
        <w:pStyle w:val="ListParagraph"/>
        <w:numPr>
          <w:ilvl w:val="0"/>
          <w:numId w:val="2"/>
        </w:numPr>
        <w:spacing w:after="60" w:line="264"/>
      </w:pPr>
      <w:r>
        <w:t xml:space="preserve">grille-couts (« Cost Atlas ») : l'écran le plus abouti — réconciliation Théo 542 k€ / Réel 589 k€ / écart +47,7 k€ (+8,8 %), cartes par poste éditables, heatmap de dérive, standards éditables.</w:t>
      </w:r>
    </w:p>
    <w:p>
      <w:pPr>
        <w:pStyle w:val="ListParagraph"/>
        <w:numPr>
          <w:ilvl w:val="0"/>
          <w:numId w:val="2"/>
        </w:numPr>
        <w:spacing w:after="60" w:line="264"/>
      </w:pPr>
      <w:r>
        <w:t xml:space="preserve">couts-theoriques (formulaire d'hypothèses branché sur le store, sensibilité 8 scénarios), ingestion-couts-reels (vitrine : 5 flux « à connecter », 0 actif), regles-allocation (8 règles statiques), historique-audit (6 entrées figées).</w:t>
      </w:r>
    </w:p>
    <w:p>
      <w:pPr>
        <w:pStyle w:val="ListParagraph"/>
        <w:numPr>
          <w:ilvl w:val="0"/>
          <w:numId w:val="2"/>
        </w:numPr>
        <w:spacing w:after="60" w:line="264"/>
      </w:pPr>
      <w:r>
        <w:t xml:space="preserve">Grille effectivement implémentée : 13 postes (m3CostGrid), conforme au nombre cible.</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Grille à 13 postes, 2 tracks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13 postes, théo/réel partout</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Moteur d'allocation par poste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8 règles statiques (vs 13 postes), non éditable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Ingestion des coûts réels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Vitrine « à connecter », 0 flux actif</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Non couvert (normal en démo)</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Diviseur H1 = 21 j (acté)</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couts-theoriques propose encore « 21 ou 26 à arbitrer »</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En retard sur la décision</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Arbitrage Q1-Q3 (Géoloc/Équipements/APSAD)</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Grille figée à 13 ; 14ᵉ slug « fantôme » jamais rendu</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À nettoyer</w:t>
            </w:r>
          </w:p>
        </w:tc>
      </w:tr>
    </w:tbl>
    <w:p>
      <w:pPr>
        <w:spacing w:after="120" w:before="0" w:line="276"/>
      </w:pPr>
      <w:r>
        <w:rPr>
          <w:b/>
          <w:bCs/>
        </w:rPr>
        <w:t xml:space="preserve">Conclusion M3. </w:t>
      </w:r>
      <w:r>
        <w:t xml:space="preserve">Très bonne maquette de calcul. À aligner : verrouiller H1=21 j, transformer les 8 règles d'allocation en véritable moteur couvrant les 13 postes, supprimer le 14ᵉ poste fantôme.</w:t>
      </w:r>
    </w:p>
    <w:p>
      <w:r>
        <w:br w:type="page"/>
      </w:r>
    </w:p>
    <w:p>
      <w:pPr>
        <w:pStyle w:val="Heading1"/>
        <w:spacing w:after="160" w:before="280"/>
      </w:pPr>
      <w:r>
        <w:t xml:space="preserve">6. Module 4 — Profitability Engine</w:t>
      </w:r>
    </w:p>
    <w:p>
      <w:pPr>
        <w:spacing w:after="120" w:before="0" w:line="276"/>
      </w:pPr>
      <w:r>
        <w:rPr>
          <w:b/>
          <w:bCs/>
        </w:rPr>
        <w:t xml:space="preserve">Rôle cible : </w:t>
      </w:r>
      <w:r>
        <w:t xml:space="preserve">confronter revenus (M1) et coûts (M3) au niveau de la tournée ; marge par tournée/client ; analyse des écarts théorique vs réel ; décomposition CA volume/prix/indexation.</w:t>
      </w:r>
    </w:p>
    <w:p>
      <w:pPr>
        <w:pStyle w:val="Heading3"/>
        <w:spacing w:after="80" w:before="160"/>
      </w:pPr>
      <w:r>
        <w:t xml:space="preserve">Ce que fait le démo</w:t>
      </w:r>
    </w:p>
    <w:p>
      <w:pPr>
        <w:pStyle w:val="ListParagraph"/>
        <w:numPr>
          <w:ilvl w:val="0"/>
          <w:numId w:val="2"/>
        </w:numPr>
        <w:spacing w:after="60" w:line="264"/>
      </w:pPr>
      <w:r>
        <w:t xml:space="preserve">7 écrans : par-tournée (30 tournées, drawer Cost Engine détaillé, waterfall marge), par-client, par-chauffeur, par-véhicule, par-semi-remorque, sous-traitance, analyse-ecarts (bridge waterfall, top 5 déficitaires, décomposition 3 effets).</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Marge par tournée + analyse écarts par poste</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par-tournée + analyse-ecarts complets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Décomposition CA volume / prix / indexation</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Présente (coefficients figés +4,2 / -1,8 / +2,7 %)</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 (valeurs statiques)</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3 unités d'analyse arbitrées (Conducteur · Véhicule · Tournée)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6 axes pilotables (+ client, semi-remorque, sous-traitance)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Au-delà / à recadrer</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Semi-remorque = consultable par agrégation, non pilotable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Axe pilotable à part entière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Divergence d'intention</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Rentabilité sous-traitance (achat/CA/marge)</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Écran sous-traitance + P&amp;L</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bl>
    <w:p>
      <w:pPr>
        <w:spacing w:after="120" w:before="0" w:line="276"/>
      </w:pPr>
      <w:r>
        <w:rPr>
          <w:b/>
          <w:bCs/>
        </w:rPr>
        <w:t xml:space="preserve">Conclusion M4. </w:t>
      </w:r>
      <w:r>
        <w:t xml:space="preserve">Fonctionnellement le module le plus complet. Seul point de doctrine : le démo expose 6 axes pilotables alors que la Restitution 11/05 fige 3 unités (Conducteur, Véhicule, Tournée), les autres étant consultables par agrégation. À aligner avec le client ou à assumer comme enrichissement.</w:t>
      </w:r>
    </w:p>
    <w:p>
      <w:r>
        <w:br w:type="page"/>
      </w:r>
    </w:p>
    <w:p>
      <w:pPr>
        <w:pStyle w:val="Heading1"/>
        <w:spacing w:after="160" w:before="280"/>
      </w:pPr>
      <w:r>
        <w:t xml:space="preserve">7. Module 5 — Dashboard Rentabilité</w:t>
      </w:r>
    </w:p>
    <w:p>
      <w:pPr>
        <w:spacing w:after="120" w:before="0" w:line="276"/>
      </w:pPr>
      <w:r>
        <w:rPr>
          <w:b/>
          <w:bCs/>
        </w:rPr>
        <w:t xml:space="preserve">Rôle cible : </w:t>
      </w:r>
      <w:r>
        <w:t xml:space="preserve">cockpit visuel — vues synthétique et détaillée, théorique vs réel, sous-traitance, indexation, alertes opérationnelles.</w:t>
      </w:r>
    </w:p>
    <w:p>
      <w:pPr>
        <w:pStyle w:val="Heading3"/>
        <w:spacing w:after="80" w:before="160"/>
      </w:pPr>
      <w:r>
        <w:t xml:space="preserve">Ce que fait le démo</w:t>
      </w:r>
    </w:p>
    <w:p>
      <w:pPr>
        <w:pStyle w:val="ListParagraph"/>
        <w:numPr>
          <w:ilvl w:val="0"/>
          <w:numId w:val="2"/>
        </w:numPr>
        <w:spacing w:after="60" w:line="264"/>
      </w:pPr>
      <w:r>
        <w:t xml:space="preserve">vue-synthetique (page la plus riche : hero-KPIs, combo CA &amp; marge 12 semaines, top/flop clients, bridge waterfall, sensibilité), vue-detaillee-kpis (11 KPIs), théorique-vs-réel, vue-indexation, vue-sous-traitance, integration-planning, alertes.</w:t>
      </w:r>
    </w:p>
    <w:p>
      <w:pPr>
        <w:pStyle w:val="ListParagraph"/>
        <w:numPr>
          <w:ilvl w:val="0"/>
          <w:numId w:val="2"/>
        </w:numPr>
        <w:spacing w:after="60" w:line="264"/>
      </w:pPr>
      <w:r>
        <w:t xml:space="preserve">Les 11 KPIs couvrent CA réalisé/prévu, marge, km théo/réel, taux utilisation (base 22 h), amplitude, conso réelle vs théo, impact indexation, péages, casse, delta théo/réel, taux de modification S-1.</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5 vues (synthétique, détaillée, théo/réel, sous-traitance, indexation) + alertes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Toutes présentes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KPIs de référence (taux util base 22 h, taux modif S-1…)</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11 KPIs présents et conformes aux indicateurs spec</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Vue indexation (facturé vs réel, delta par contrat)</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Quasi-statique (tableau en dur, « Dirham »)</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 / à corriger</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Navigation cible (8 onglets consolidés)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Pages théo/réel, indexation, planning retirées de la nav mais toujours présentes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À nettoyer (pages mortes)</w:t>
            </w:r>
          </w:p>
        </w:tc>
      </w:tr>
    </w:tbl>
    <w:p>
      <w:pPr>
        <w:spacing w:after="120" w:before="0" w:line="276"/>
      </w:pPr>
      <w:r>
        <w:rPr>
          <w:b/>
          <w:bCs/>
        </w:rPr>
        <w:t xml:space="preserve">Conclusion M5. </w:t>
      </w:r>
      <w:r>
        <w:t xml:space="preserve">Couverture complète et démonstrative. Nettoyer les pages mortes hors-nav et dynamiser la vue indexation (et corriger « Dirham »).</w:t>
      </w:r>
    </w:p>
    <w:p>
      <w:r>
        <w:br w:type="page"/>
      </w:r>
    </w:p>
    <w:p>
      <w:pPr>
        <w:pStyle w:val="Heading1"/>
        <w:spacing w:after="160" w:before="280"/>
      </w:pPr>
      <w:r>
        <w:t xml:space="preserve">8. Module 6 — Decision Support</w:t>
      </w:r>
    </w:p>
    <w:p>
      <w:pPr>
        <w:spacing w:after="120" w:before="0" w:line="276"/>
      </w:pPr>
      <w:r>
        <w:rPr>
          <w:b/>
          <w:bCs/>
        </w:rPr>
        <w:t xml:space="preserve">Statut spec : </w:t>
      </w:r>
      <w:r>
        <w:t xml:space="preserve">CAPÉ / différé (Phase 3 probable). Sa valeur dépend de la maturité data de M2-M4 ; à re-statuer après le MVP.</w:t>
      </w:r>
    </w:p>
    <w:p>
      <w:pPr>
        <w:pStyle w:val="Heading3"/>
        <w:spacing w:after="80" w:before="160"/>
      </w:pPr>
      <w:r>
        <w:t xml:space="preserve">Ce que fait le démo</w:t>
      </w:r>
    </w:p>
    <w:p>
      <w:pPr>
        <w:pStyle w:val="ListParagraph"/>
        <w:numPr>
          <w:ilvl w:val="0"/>
          <w:numId w:val="2"/>
        </w:numPr>
        <w:spacing w:after="60" w:line="264"/>
      </w:pPr>
      <w:r>
        <w:t xml:space="preserve">Landing maquette (5 cartes « fonctionnalités prévues »), alertes (ré-export M5), analyse-ecarts (ré-export M4), recommandations (détection d'anomalies live sur 30 tournées + 5 recos figées), simulations (simulateur what-if live : énergie GO→Gaz, km, tarif, prix pompe, casse, bascule flotte SPL→CM).</w:t>
      </w:r>
    </w:p>
    <w:p>
      <w:pPr>
        <w:pStyle w:val="Heading3"/>
        <w:spacing w:after="80" w:before="160"/>
      </w:pPr>
      <w:r>
        <w:t xml:space="preserve">Comparaison et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Exigence spec</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État démo</w:t>
            </w:r>
          </w:p>
        </w:tc>
        <w:tc>
          <w:tcPr>
            <w:tcW w:type="dxa" w:w="306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Module différé Phase 3</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Construit (simulateur + recommandations fonctionnels)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Au-delà du scope MVP</w:t>
            </w:r>
          </w:p>
        </w:tc>
      </w:tr>
      <w:tr>
        <w:tc>
          <w:tcPr>
            <w:tcW w:type="dxa" w:w="29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Détection d'anomalies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Présente (seuils sur 30 tournées)</w:t>
            </w:r>
          </w:p>
        </w:tc>
        <w:tc>
          <w:tcPr>
            <w:tcW w:type="dxa" w:w="3063"/>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Couvert (mock)</w:t>
            </w:r>
          </w:p>
        </w:tc>
      </w:tr>
      <w:tr>
        <w:tc>
          <w:tcPr>
            <w:tcW w:type="dxa" w:w="29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Reco station AS24 / optimisation itinéraires / pricing dynamique</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Cartes vitrine sans cible (boutons inertes)</w:t>
            </w:r>
          </w:p>
        </w:tc>
        <w:tc>
          <w:tcPr>
            <w:tcW w:type="dxa" w:w="3063"/>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Placeholder</w:t>
            </w:r>
          </w:p>
        </w:tc>
      </w:tr>
      <w:tr>
        <w:tc>
          <w:tcPr>
            <w:tcW w:type="dxa" w:w="29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Bug simulation : casseBase 0.014/100 (≈0,014 %)</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Devrait être 1,4 % ; dépendances useMemo incomplètes</w:t>
            </w:r>
          </w:p>
        </w:tc>
        <w:tc>
          <w:tcPr>
            <w:tcW w:type="dxa" w:w="3063"/>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Bug à corriger</w:t>
            </w:r>
          </w:p>
        </w:tc>
      </w:tr>
    </w:tbl>
    <w:p>
      <w:pPr>
        <w:spacing w:after="120" w:before="0" w:line="276"/>
      </w:pPr>
      <w:r>
        <w:rPr>
          <w:b/>
          <w:bCs/>
        </w:rPr>
        <w:t xml:space="preserve">Conclusion M6. </w:t>
      </w:r>
      <w:r>
        <w:t xml:space="preserve">Beau pour la démo, mais c'est de l'effort investi hors MVP pendant que M2 (chemin critique) reste descriptif. Recommandation : geler M6 en l'état (maquette) et réallouer vers M1/M2. Corriger au passage le bug de casse.</w:t>
      </w:r>
    </w:p>
    <w:p>
      <w:r>
        <w:br w:type="page"/>
      </w:r>
    </w:p>
    <w:p>
      <w:pPr>
        <w:pStyle w:val="Heading1"/>
        <w:spacing w:after="160" w:before="280"/>
      </w:pPr>
      <w:r>
        <w:t xml:space="preserve">9. Vérification chiffrée — conventions spec vs démo</w:t>
      </w:r>
    </w:p>
    <w:p>
      <w:pPr>
        <w:spacing w:after="120" w:before="0" w:line="276"/>
      </w:pPr>
      <w:r>
        <w:t xml:space="preserve">Comparaison des valeurs de référence figées en Discovery avec les valeurs réellement codées dans les mocks du démo. C'est le chantier de fiabilisation le plus urgent : plusieurs chiffres du démo proviennent d'anciennes versions d'atelier ou sont inventés.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50"/>
        <w:gridCol w:w="2376"/>
        <w:gridCol w:w="240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Convention</w:t>
            </w:r>
          </w:p>
        </w:tc>
        <w:tc>
          <w:tcPr>
            <w:tcW w:type="dxa" w:w="205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Spec (faisant foi)</w:t>
            </w:r>
          </w:p>
        </w:tc>
        <w:tc>
          <w:tcPr>
            <w:tcW w:type="dxa" w:w="2376"/>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Démo</w:t>
            </w:r>
          </w:p>
        </w:tc>
        <w:tc>
          <w:tcPr>
            <w:tcW w:type="dxa" w:w="24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Verdict</w:t>
            </w:r>
          </w:p>
        </w:tc>
      </w:tr>
      <w:tr>
        <w:tc>
          <w:tcPr>
            <w:tcW w:type="dxa" w:w="22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Conso TRAGO (tracteur gasoil)</w:t>
            </w:r>
          </w:p>
        </w:tc>
        <w:tc>
          <w:tcPr>
            <w:tcW w:type="dxa" w:w="205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28 L/100 km</w:t>
            </w:r>
          </w:p>
        </w:tc>
        <w:tc>
          <w:tcPr>
            <w:tcW w:type="dxa" w:w="2376"/>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28 L/100 km</w:t>
            </w:r>
          </w:p>
        </w:tc>
        <w:tc>
          <w:tcPr>
            <w:tcW w:type="dxa" w:w="2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Conforme</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Conso TRAGZ (tracteur gaz)</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30,5 kg/100 km</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30,5 mais libellé « L »</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Unité erronée (kg≠L)</w:t>
            </w:r>
          </w:p>
        </w:tc>
      </w:tr>
      <w:tr>
        <w:tc>
          <w:tcPr>
            <w:tcW w:type="dxa" w:w="22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Conso PORGO / PORGZ</w:t>
            </w:r>
          </w:p>
        </w:tc>
        <w:tc>
          <w:tcPr>
            <w:tcW w:type="dxa" w:w="205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30 L / 33 kg /100 km</w:t>
            </w:r>
          </w:p>
        </w:tc>
        <w:tc>
          <w:tcPr>
            <w:tcW w:type="dxa" w:w="2376"/>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Conso CM/VL différentes</w:t>
            </w:r>
          </w:p>
        </w:tc>
        <w:tc>
          <w:tcPr>
            <w:tcW w:type="dxa" w:w="2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r>
        <w:tc>
          <w:tcPr>
            <w:tcW w:type="dxa" w:w="22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Carburant frigo</w:t>
            </w:r>
          </w:p>
        </w:tc>
        <w:tc>
          <w:tcPr>
            <w:tcW w:type="dxa" w:w="205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2 L/h (GNR)</w:t>
            </w:r>
          </w:p>
        </w:tc>
        <w:tc>
          <w:tcPr>
            <w:tcW w:type="dxa" w:w="2376"/>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2 L/h</w:t>
            </w:r>
          </w:p>
        </w:tc>
        <w:tc>
          <w:tcPr>
            <w:tcW w:type="dxa" w:w="2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Conforme</w:t>
            </w:r>
          </w:p>
        </w:tc>
      </w:tr>
      <w:tr>
        <w:tc>
          <w:tcPr>
            <w:tcW w:type="dxa" w:w="22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AdBlue</w:t>
            </w:r>
          </w:p>
        </w:tc>
        <w:tc>
          <w:tcPr>
            <w:tcW w:type="dxa" w:w="205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0,42 €/L · 1,9 L/100 km · gasoil only</w:t>
            </w:r>
          </w:p>
        </w:tc>
        <w:tc>
          <w:tcPr>
            <w:tcW w:type="dxa" w:w="2376"/>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1,9 L/100 km ; prix non explicite</w:t>
            </w:r>
          </w:p>
        </w:tc>
        <w:tc>
          <w:tcPr>
            <w:tcW w:type="dxa" w:w="2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Salaires SPL / CM / Polyvalent</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210 / 235 / 305 €/j</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165 (SPL) ; 170/190/245 ; 170/190/120</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Non conforme</w:t>
            </w:r>
          </w:p>
        </w:tc>
      </w:tr>
      <w:tr>
        <w:tc>
          <w:tcPr>
            <w:tcW w:type="dxa" w:w="22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Amplitude de référence</w:t>
            </w:r>
          </w:p>
        </w:tc>
        <w:tc>
          <w:tcPr>
            <w:tcW w:type="dxa" w:w="205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12 h</w:t>
            </w:r>
          </w:p>
        </w:tc>
        <w:tc>
          <w:tcPr>
            <w:tcW w:type="dxa" w:w="2376"/>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13 h (réglementaire) / 10,7 h moy</w:t>
            </w:r>
          </w:p>
        </w:tc>
        <w:tc>
          <w:tcPr>
            <w:tcW w:type="dxa" w:w="2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À cadrer</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Diviseur H1</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21 j (acté)</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 21 ou 26 à arbitrer »</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En retard</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Casse (% du CA)</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 1,4 %</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1,7 % ; bug 0,014 %</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Non conforme</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Indice carburant (libellé)</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DIREM</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 Dirham »</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Erroné</w:t>
            </w:r>
          </w:p>
        </w:tc>
      </w:tr>
      <w:tr>
        <w:tc>
          <w:tcPr>
            <w:tcW w:type="dxa" w:w="22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Source loyers</w:t>
            </w:r>
          </w:p>
        </w:tc>
        <w:tc>
          <w:tcPr>
            <w:tcW w:type="dxa" w:w="205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MyRentCar (H8 acté)</w:t>
            </w:r>
          </w:p>
        </w:tc>
        <w:tc>
          <w:tcPr>
            <w:tcW w:type="dxa" w:w="2376"/>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Avia / NAS Transport (détail hub)</w:t>
            </w:r>
          </w:p>
        </w:tc>
        <w:tc>
          <w:tcPr>
            <w:tcW w:type="dxa" w:w="2400"/>
            <w:tcBorders>
              <w:top w:val="single" w:color="BFBFBF" w:sz="1"/>
              <w:left w:val="single" w:color="BFBFBF" w:sz="1"/>
              <w:bottom w:val="single" w:color="BFBFBF" w:sz="1"/>
              <w:right w:val="single" w:color="BFBFBF" w:sz="1"/>
            </w:tcBorders>
            <w:shd w:fill="FFC7CE" w:val="clear"/>
            <w:tcMar>
              <w:top w:type="dxa" w:w="60"/>
              <w:left w:type="dxa" w:w="110"/>
              <w:bottom w:type="dxa" w:w="60"/>
              <w:right w:type="dxa" w:w="110"/>
            </w:tcMar>
          </w:tcPr>
          <w:p>
            <w:pPr>
              <w:spacing w:after="0" w:line="252"/>
            </w:pPr>
            <w:r>
              <w:rPr>
                <w:sz w:val="19"/>
                <w:szCs w:val="19"/>
              </w:rPr>
              <w:t xml:space="preserve">Obsolète</w:t>
            </w:r>
          </w:p>
        </w:tc>
      </w:tr>
      <w:tr>
        <w:tc>
          <w:tcPr>
            <w:tcW w:type="dxa" w:w="22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Nombre de postes</w:t>
            </w:r>
          </w:p>
        </w:tc>
        <w:tc>
          <w:tcPr>
            <w:tcW w:type="dxa" w:w="205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13 (→15-16 selon Q)</w:t>
            </w:r>
          </w:p>
        </w:tc>
        <w:tc>
          <w:tcPr>
            <w:tcW w:type="dxa" w:w="2376"/>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13 (+ 1 slug fantôme)</w:t>
            </w:r>
          </w:p>
        </w:tc>
        <w:tc>
          <w:tcPr>
            <w:tcW w:type="dxa" w:w="2400"/>
            <w:tcBorders>
              <w:top w:val="single" w:color="BFBFBF" w:sz="1"/>
              <w:left w:val="single" w:color="BFBFBF" w:sz="1"/>
              <w:bottom w:val="single" w:color="BFBFBF" w:sz="1"/>
              <w:right w:val="single" w:color="BFBFBF" w:sz="1"/>
            </w:tcBorders>
            <w:shd w:fill="C6EFCE" w:val="clear"/>
            <w:tcMar>
              <w:top w:type="dxa" w:w="60"/>
              <w:left w:type="dxa" w:w="110"/>
              <w:bottom w:type="dxa" w:w="60"/>
              <w:right w:type="dxa" w:w="110"/>
            </w:tcMar>
          </w:tcPr>
          <w:p>
            <w:pPr>
              <w:spacing w:after="0" w:line="252"/>
            </w:pPr>
            <w:r>
              <w:rPr>
                <w:sz w:val="19"/>
                <w:szCs w:val="19"/>
              </w:rPr>
              <w:t xml:space="preserve">Conforme</w:t>
            </w:r>
          </w:p>
        </w:tc>
      </w:tr>
      <w:tr>
        <w:tc>
          <w:tcPr>
            <w:tcW w:type="dxa" w:w="22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Modes de facturation</w:t>
            </w:r>
          </w:p>
        </w:tc>
        <w:tc>
          <w:tcPr>
            <w:tcW w:type="dxa" w:w="205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4 (Forf./TK/TH/Trinôme)</w:t>
            </w:r>
          </w:p>
        </w:tc>
        <w:tc>
          <w:tcPr>
            <w:tcW w:type="dxa" w:w="2376"/>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Type présent, logique partielle</w:t>
            </w:r>
          </w:p>
        </w:tc>
        <w:tc>
          <w:tcPr>
            <w:tcW w:type="dxa" w:w="2400"/>
            <w:tcBorders>
              <w:top w:val="single" w:color="BFBFBF" w:sz="1"/>
              <w:left w:val="single" w:color="BFBFBF" w:sz="1"/>
              <w:bottom w:val="single" w:color="BFBFBF" w:sz="1"/>
              <w:right w:val="single" w:color="BFBFBF" w:sz="1"/>
            </w:tcBorders>
            <w:shd w:fill="FFEB9C" w:val="clear"/>
            <w:tcMar>
              <w:top w:type="dxa" w:w="60"/>
              <w:left w:type="dxa" w:w="110"/>
              <w:bottom w:type="dxa" w:w="60"/>
              <w:right w:type="dxa" w:w="110"/>
            </w:tcMar>
          </w:tcPr>
          <w:p>
            <w:pPr>
              <w:spacing w:after="0" w:line="252"/>
            </w:pPr>
            <w:r>
              <w:rPr>
                <w:sz w:val="19"/>
                <w:szCs w:val="19"/>
              </w:rPr>
              <w:t xml:space="preserve">Partiel</w:t>
            </w:r>
          </w:p>
        </w:tc>
      </w:tr>
    </w:tbl>
    <w:p>
      <w:pPr>
        <w:spacing w:after="120" w:before="0" w:line="276"/>
      </w:pPr>
      <w:r>
        <w:rPr>
          <w:b/>
          <w:bCs/>
        </w:rPr>
        <w:t xml:space="preserve">Lecture. </w:t>
      </w:r>
      <w:r>
        <w:t xml:space="preserve">Cinq écarts « rouges » sont des reprises d'anciennes valeurs ou des erreurs de transcription faciles à corriger une fois la table de référentiels unifiée : unité du gaz (kg), salaires, casse, « Dirham »→DIREM, source loyers. Le salaire est le plus sensible car il pèse ~30 % des coûts et alimente toutes les marges affichées.</w:t>
      </w:r>
    </w:p>
    <w:p>
      <w:r>
        <w:br w:type="page"/>
      </w:r>
    </w:p>
    <w:p>
      <w:pPr>
        <w:pStyle w:val="Heading1"/>
        <w:spacing w:after="160" w:before="280"/>
      </w:pPr>
      <w:r>
        <w:t xml:space="preserve">10. Incohérences internes des specs à arbitrer</w:t>
      </w:r>
    </w:p>
    <w:p>
      <w:pPr>
        <w:spacing w:after="120" w:before="0" w:line="276"/>
      </w:pPr>
      <w:r>
        <w:t xml:space="preserve">Indépendamment du démo, les specs elles-mêmes contiennent des divergences entre générations de documents. À trancher avant le build pour éviter de coder une version périmée.</w:t>
      </w:r>
    </w:p>
    <w:p>
      <w:pPr>
        <w:pStyle w:val="ListParagraph"/>
        <w:numPr>
          <w:ilvl w:val="0"/>
          <w:numId w:val="3"/>
        </w:numPr>
        <w:spacing w:after="60" w:line="264"/>
      </w:pPr>
      <w:r>
        <w:t xml:space="preserve">Deux numérotations Q1–Q4 : structure de grille (HANDOVER) vs questions métier (Cadrage V1). Clarifier laquelle on suit.</w:t>
      </w:r>
    </w:p>
    <w:p>
      <w:pPr>
        <w:pStyle w:val="ListParagraph"/>
        <w:numPr>
          <w:ilvl w:val="0"/>
          <w:numId w:val="3"/>
        </w:numPr>
        <w:spacing w:after="60" w:line="264"/>
      </w:pPr>
      <w:r>
        <w:t xml:space="preserve">13 postes (récent) vs 14 postes (ateliers). Le démo a choisi 13 — confirmer le verrou.</w:t>
      </w:r>
    </w:p>
    <w:p>
      <w:pPr>
        <w:pStyle w:val="ListParagraph"/>
        <w:numPr>
          <w:ilvl w:val="0"/>
          <w:numId w:val="3"/>
        </w:numPr>
        <w:spacing w:after="60" w:line="264"/>
      </w:pPr>
      <w:r>
        <w:t xml:space="preserve">3 unités d'analyse (11/05) vs 6 (ateliers). Le démo en expose 6 — aligner avec le client.</w:t>
      </w:r>
    </w:p>
    <w:p>
      <w:pPr>
        <w:pStyle w:val="ListParagraph"/>
        <w:numPr>
          <w:ilvl w:val="0"/>
          <w:numId w:val="3"/>
        </w:numPr>
        <w:spacing w:after="60" w:line="264"/>
      </w:pPr>
      <w:r>
        <w:t xml:space="preserve">Conversion HT du DIREM : ÷1,3 (pivot) vs ÷1,2 (Cadrage). Trancher la formule.</w:t>
      </w:r>
    </w:p>
    <w:p>
      <w:pPr>
        <w:pStyle w:val="ListParagraph"/>
        <w:numPr>
          <w:ilvl w:val="0"/>
          <w:numId w:val="3"/>
        </w:numPr>
        <w:spacing w:after="60" w:line="264"/>
      </w:pPr>
      <w:r>
        <w:t xml:space="preserve">Casse : ≈1,4 % (récent) vs 1,7 % (ateliers). Le démo utilise 1,7 %.</w:t>
      </w:r>
    </w:p>
    <w:p>
      <w:pPr>
        <w:pStyle w:val="ListParagraph"/>
        <w:numPr>
          <w:ilvl w:val="0"/>
          <w:numId w:val="3"/>
        </w:numPr>
        <w:spacing w:after="60" w:line="264"/>
      </w:pPr>
      <w:r>
        <w:t xml:space="preserve">Gaz exprimé en kg/100 km (récent) vs L/100 km (ateliers). Le démo mélange.</w:t>
      </w:r>
    </w:p>
    <w:p>
      <w:pPr>
        <w:pStyle w:val="ListParagraph"/>
        <w:numPr>
          <w:ilvl w:val="0"/>
          <w:numId w:val="3"/>
        </w:numPr>
        <w:spacing w:after="60" w:line="264"/>
      </w:pPr>
      <w:r>
        <w:t xml:space="preserve">Taux journalier VL : non défini (« TBD » Mathieu) — point ouvert à fermer.</w:t>
      </w:r>
    </w:p>
    <w:p>
      <w:pPr>
        <w:pStyle w:val="ListParagraph"/>
        <w:numPr>
          <w:ilvl w:val="0"/>
          <w:numId w:val="3"/>
        </w:numPr>
        <w:spacing w:after="60" w:line="264"/>
      </w:pPr>
      <w:r>
        <w:t xml:space="preserve">Q1/Q2/Q3 (Géoloc, Équipements, APSAD en lignes autonomes) : si tous « autonome », la grille passe à 15-16 postes — impacte M2 et M3.</w:t>
      </w:r>
    </w:p>
    <w:p>
      <w:pPr>
        <w:spacing w:after="120" w:before="0" w:line="276"/>
      </w:pPr>
      <w:r>
        <w:rPr>
          <w:b/>
          <w:bCs/>
        </w:rPr>
        <w:t xml:space="preserve">Note. </w:t>
      </w:r>
      <w:r>
        <w:t xml:space="preserve">Le contrat Phase 2 signé (PDF) n'a pas pu être lu (scan image, pas de texte extractible) — à vérifier manuellement pour confirmer le périmètre contractuel.</w:t>
      </w:r>
    </w:p>
    <w:p>
      <w:pPr>
        <w:pStyle w:val="Heading2"/>
        <w:spacing w:after="120" w:before="220"/>
      </w:pPr>
      <w:r>
        <w:t xml:space="preserve">10.1 Éléments superflus / dette à nettoyer dans le démo</w:t>
      </w:r>
    </w:p>
    <w:p>
      <w:pPr>
        <w:pStyle w:val="ListParagraph"/>
        <w:numPr>
          <w:ilvl w:val="0"/>
          <w:numId w:val="2"/>
        </w:numPr>
        <w:spacing w:after="60" w:line="264"/>
      </w:pPr>
      <w:r>
        <w:t xml:space="preserve">Module 6 (simulations, recommandations) construit alors qu'il est hors MVP / différé Phase 3.</w:t>
      </w:r>
    </w:p>
    <w:p>
      <w:pPr>
        <w:pStyle w:val="ListParagraph"/>
        <w:numPr>
          <w:ilvl w:val="0"/>
          <w:numId w:val="2"/>
        </w:numPr>
        <w:spacing w:after="60" w:line="264"/>
      </w:pPr>
      <w:r>
        <w:t xml:space="preserve">Pages retirées de la navigation mais toujours présentes : m5/théorique-vs-réel, vue-indexation, integration-planning.</w:t>
      </w:r>
    </w:p>
    <w:p>
      <w:pPr>
        <w:pStyle w:val="ListParagraph"/>
        <w:numPr>
          <w:ilvl w:val="0"/>
          <w:numId w:val="2"/>
        </w:numPr>
        <w:spacing w:after="60" w:line="264"/>
      </w:pPr>
      <w:r>
        <w:t xml:space="preserve">Arbre /m4 et /m5 entièrement dupliqué par ré-export sous /rentabilite (dette technique, pas bloquante).</w:t>
      </w:r>
    </w:p>
    <w:p>
      <w:pPr>
        <w:pStyle w:val="ListParagraph"/>
        <w:numPr>
          <w:ilvl w:val="0"/>
          <w:numId w:val="2"/>
        </w:numPr>
        <w:spacing w:after="60" w:line="264"/>
      </w:pPr>
      <w:r>
        <w:t xml:space="preserve">14ᵉ poste « fantôme » (slug repositionnements) jamais rendu ; doublon m5/vue-sous-traitance ≈ m4/sous-traitance.</w:t>
      </w:r>
    </w:p>
    <w:p>
      <w:pPr>
        <w:pStyle w:val="ListParagraph"/>
        <w:numPr>
          <w:ilvl w:val="0"/>
          <w:numId w:val="2"/>
        </w:numPr>
        <w:spacing w:after="60" w:line="264"/>
      </w:pPr>
      <w:r>
        <w:t xml:space="preserve">Boutons inertes (M6 : « Suggérer regroupement », « Recommander itinéraire ») et sélecteurs de période décoratifs (ne recalculent pas).</w:t>
      </w:r>
    </w:p>
    <w:p>
      <w:r>
        <w:br w:type="page"/>
      </w:r>
    </w:p>
    <w:p>
      <w:pPr>
        <w:pStyle w:val="Heading1"/>
        <w:spacing w:after="160" w:before="280"/>
      </w:pPr>
      <w:r>
        <w:t xml:space="preserve">11. Recommandations priorisées</w:t>
      </w:r>
    </w:p>
    <w:p>
      <w:pPr>
        <w:pStyle w:val="Heading3"/>
        <w:spacing w:after="80" w:before="160"/>
      </w:pPr>
      <w:r>
        <w:t xml:space="preserve">Priorité 1 — Avant tout build (fiabilisation)</w:t>
      </w:r>
    </w:p>
    <w:p>
      <w:pPr>
        <w:pStyle w:val="ListParagraph"/>
        <w:numPr>
          <w:ilvl w:val="0"/>
          <w:numId w:val="4"/>
        </w:numPr>
        <w:spacing w:after="60" w:line="264"/>
      </w:pPr>
      <w:r>
        <w:rPr>
          <w:b/>
          <w:bCs/>
        </w:rPr>
        <w:t xml:space="preserve">Référentiel chiffré unique. </w:t>
      </w:r>
      <w:r>
        <w:t xml:space="preserve">Créer une table de référence alignée sur la spec (salaires 210/235/305, casse 1,4 %, gaz en kg, DIREM, H1=21 j, source MyRentCar) et la recâbler dans tous les mocks. Supprime d'un coup les 5 écarts « rouges ».</w:t>
      </w:r>
    </w:p>
    <w:p>
      <w:pPr>
        <w:pStyle w:val="ListParagraph"/>
        <w:numPr>
          <w:ilvl w:val="0"/>
          <w:numId w:val="4"/>
        </w:numPr>
        <w:spacing w:after="60" w:line="264"/>
      </w:pPr>
      <w:r>
        <w:rPr>
          <w:b/>
          <w:bCs/>
        </w:rPr>
        <w:t xml:space="preserve">Compléter le modèle M1. </w:t>
      </w:r>
      <w:r>
        <w:t xml:space="preserve">Spécifier les 86 champs / 9 blocs et les 4 modes de facturation (notamment Trinôme et règles de dépassement), plus les 9 référentiels externes.</w:t>
      </w:r>
    </w:p>
    <w:p>
      <w:pPr>
        <w:pStyle w:val="ListParagraph"/>
        <w:numPr>
          <w:ilvl w:val="0"/>
          <w:numId w:val="4"/>
        </w:numPr>
        <w:spacing w:after="60" w:line="264"/>
      </w:pPr>
      <w:r>
        <w:rPr>
          <w:b/>
          <w:bCs/>
        </w:rPr>
        <w:t xml:space="preserve">Spécifier le Data Cost Hub (M2). </w:t>
      </w:r>
      <w:r>
        <w:t xml:space="preserve">C'est le chemin critique : connecteurs prioritaires AS24, Masternaut, Silae ; arbitrages de sources (AS24 vs Michelin pour la conso ; MyRentCar vs WinCPL pour l'entretien).</w:t>
      </w:r>
    </w:p>
    <w:p>
      <w:pPr>
        <w:pStyle w:val="Heading3"/>
        <w:spacing w:after="80" w:before="160"/>
      </w:pPr>
      <w:r>
        <w:t xml:space="preserve">Priorité 2 — Cohérence produit</w:t>
      </w:r>
    </w:p>
    <w:p>
      <w:pPr>
        <w:pStyle w:val="ListParagraph"/>
        <w:numPr>
          <w:ilvl w:val="0"/>
          <w:numId w:val="4"/>
        </w:numPr>
        <w:spacing w:after="60" w:line="264"/>
      </w:pPr>
      <w:r>
        <w:rPr>
          <w:b/>
          <w:bCs/>
        </w:rPr>
        <w:t xml:space="preserve">Trancher les incohérences specs </w:t>
      </w:r>
      <w:r>
        <w:t xml:space="preserve">de la section 10 (postes 13/14, 3 vs 6 unités, ÷1,2 vs ÷1,3, Q1-Q3).</w:t>
      </w:r>
    </w:p>
    <w:p>
      <w:pPr>
        <w:pStyle w:val="ListParagraph"/>
        <w:numPr>
          <w:ilvl w:val="0"/>
          <w:numId w:val="4"/>
        </w:numPr>
        <w:spacing w:after="60" w:line="264"/>
      </w:pPr>
      <w:r>
        <w:rPr>
          <w:b/>
          <w:bCs/>
        </w:rPr>
        <w:t xml:space="preserve">Verrouiller H1 = 21 j </w:t>
      </w:r>
      <w:r>
        <w:t xml:space="preserve">dans couts-theoriques (retirer l'option « 26 »).</w:t>
      </w:r>
    </w:p>
    <w:p>
      <w:pPr>
        <w:pStyle w:val="ListParagraph"/>
        <w:numPr>
          <w:ilvl w:val="0"/>
          <w:numId w:val="4"/>
        </w:numPr>
        <w:spacing w:after="60" w:line="264"/>
      </w:pPr>
      <w:r>
        <w:rPr>
          <w:b/>
          <w:bCs/>
        </w:rPr>
        <w:t xml:space="preserve">Aligner les axes M4 </w:t>
      </w:r>
      <w:r>
        <w:t xml:space="preserve">sur les 3 unités arbitrées (ou faire valider l'enrichissement à 6 par le client).</w:t>
      </w:r>
    </w:p>
    <w:p>
      <w:pPr>
        <w:pStyle w:val="Heading3"/>
        <w:spacing w:after="80" w:before="160"/>
      </w:pPr>
      <w:r>
        <w:t xml:space="preserve">Priorité 3 — Nettoyage / dette</w:t>
      </w:r>
    </w:p>
    <w:p>
      <w:pPr>
        <w:pStyle w:val="ListParagraph"/>
        <w:numPr>
          <w:ilvl w:val="0"/>
          <w:numId w:val="4"/>
        </w:numPr>
        <w:spacing w:after="60" w:line="264"/>
      </w:pPr>
      <w:r>
        <w:rPr>
          <w:b/>
          <w:bCs/>
        </w:rPr>
        <w:t xml:space="preserve">Geler M6 </w:t>
      </w:r>
      <w:r>
        <w:t xml:space="preserve">au statut maquette ; réallouer l'effort vers M1/M2.</w:t>
      </w:r>
    </w:p>
    <w:p>
      <w:pPr>
        <w:pStyle w:val="ListParagraph"/>
        <w:numPr>
          <w:ilvl w:val="0"/>
          <w:numId w:val="4"/>
        </w:numPr>
        <w:spacing w:after="60" w:line="264"/>
      </w:pPr>
      <w:r>
        <w:rPr>
          <w:b/>
          <w:bCs/>
        </w:rPr>
        <w:t xml:space="preserve">Supprimer </w:t>
      </w:r>
      <w:r>
        <w:t xml:space="preserve">le 14ᵉ poste fantôme, les pages mortes hors-nav, les boutons inertes ; corriger le bug de casse (0,014 % → 1,4 %) et les dépendances useMemo de la simulation.</w:t>
      </w:r>
    </w:p>
    <w:p>
      <w:pPr>
        <w:pStyle w:val="ListParagraph"/>
        <w:numPr>
          <w:ilvl w:val="0"/>
          <w:numId w:val="4"/>
        </w:numPr>
        <w:spacing w:after="60" w:line="264"/>
      </w:pPr>
      <w:r>
        <w:rPr>
          <w:b/>
          <w:bCs/>
        </w:rPr>
        <w:t xml:space="preserve">Corriger « Dirham » → « DIREM » </w:t>
      </w:r>
      <w:r>
        <w:t xml:space="preserve">partout (UI + libellés de sources).</w:t>
      </w:r>
    </w:p>
    <w:p>
      <w:pPr>
        <w:spacing w:after="120" w:before="120" w:line="276"/>
      </w:pPr>
      <w:r>
        <w:rPr>
          <w:b/>
          <w:bCs/>
        </w:rPr>
        <w:t xml:space="preserve">Synthèse d'effort. </w:t>
      </w:r>
      <w:r>
        <w:t xml:space="preserve">La Priorité 1 transforme le démo (support de vente) en socle de cadrage build fiable. Les Priorités 2 et 3 sont peu coûteuses et lèvent les ambiguïtés qui, sinon, se propageraient dans le code.</w:t>
      </w:r>
    </w:p>
    <w:p>
      <w:r>
        <w:br w:type="page"/>
      </w:r>
    </w:p>
    <w:p>
      <w:pPr>
        <w:pStyle w:val="Heading1"/>
        <w:spacing w:after="160" w:before="280"/>
      </w:pPr>
      <w:r>
        <w:t xml:space="preserve">Annexe — Grille des 13 postes : spec vs démo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2933"/>
        <w:gridCol w:w="2933"/>
      </w:tblGrid>
      <w:tr>
        <w:trPr>
          <w:tblHeader/>
        </w:trPr>
        <w:tc>
          <w:tcPr>
            <w:tcW w:type="dxa" w:w="56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w:t>
            </w:r>
          </w:p>
        </w:tc>
        <w:tc>
          <w:tcPr>
            <w:tcW w:type="dxa" w:w="2600"/>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Poste (spec)</w:t>
            </w:r>
          </w:p>
        </w:tc>
        <w:tc>
          <w:tcPr>
            <w:tcW w:type="dxa" w:w="293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Convention spec</w:t>
            </w:r>
          </w:p>
        </w:tc>
        <w:tc>
          <w:tcPr>
            <w:tcW w:type="dxa" w:w="2933"/>
            <w:tcBorders>
              <w:top w:val="single" w:color="BFBFBF" w:sz="1"/>
              <w:left w:val="single" w:color="BFBFBF" w:sz="1"/>
              <w:bottom w:val="single" w:color="BFBFBF" w:sz="1"/>
              <w:right w:val="single" w:color="BFBFBF" w:sz="1"/>
            </w:tcBorders>
            <w:shd w:fill="2E75B6" w:val="clear"/>
            <w:tcMar>
              <w:top w:type="dxa" w:w="60"/>
              <w:left w:type="dxa" w:w="110"/>
              <w:bottom w:type="dxa" w:w="60"/>
              <w:right w:type="dxa" w:w="110"/>
            </w:tcMar>
          </w:tcPr>
          <w:p>
            <w:pPr>
              <w:spacing w:after="0" w:line="252"/>
            </w:pPr>
            <w:r>
              <w:rPr>
                <w:b/>
                <w:bCs/>
                <w:color w:val="FFFFFF"/>
                <w:sz w:val="19"/>
                <w:szCs w:val="19"/>
              </w:rPr>
              <w:t xml:space="preserve">Poste démo / valeur</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01</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Loyer tracteur</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Loyer ÷ 21 × nb · MyRentCar</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Loyers tracteurs · 48 000/50 200 €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02</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Loyer remorque/tracté</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÷21 · débord 100 % client</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Loyers semi · 14 000/14 700 €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03</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Carburant tracteur</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Conso×km×prix réf · écart</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Carburant tracteur · 142 000/157 200 €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04</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Carburant frigo</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2 L/h × h × prix GNR</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Carburant frigo · 18 000/18 000 €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05</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AdBlue</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1,9 L/100km × 0,42 €/L · gasoil</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AdBlue · 3 200/3 200 €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06</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Salaires</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SPL 210/CM 235/Polyv. 305 · 21 j</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Salaires &amp; charges · 174 000/181 600 €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07</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Primes &amp; variables</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Forfait/profil · fusion 06 possible (Q4)</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Primes &amp; variables · 18 200/21 400 €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08</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Péages</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Trajets validés × coût PTV · écart</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Péages · 11 800/12 600 €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09</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Entretien &amp; pièces</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Forfait ÷21 · Q1 Géoloc ?</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Entretien &amp; maintenance · 22 000/24 800 €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10</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Pneumatiques (ou Géoloc)</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Forfait ÷21</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Pneumatiques · 8 500/9 100 €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11</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Assurance flotte</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Forfait ÷21 · Q3 APSAD ?</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Assurance flotte · 12 000/12 000 €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12</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Casse</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≈1,4 % CA · Q2 Équipements ?</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Casse/sinistres · 24 400/31 800 €</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13</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Sous-traitance</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Prorata heures · semi 500 €</w:t>
            </w:r>
          </w:p>
        </w:tc>
        <w:tc>
          <w:tcPr>
            <w:tcW w:type="dxa" w:w="2933"/>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2"/>
            </w:pPr>
            <w:r>
              <w:rPr>
                <w:sz w:val="19"/>
                <w:szCs w:val="19"/>
              </w:rPr>
              <w:t xml:space="preserve">Sous-traitance &amp; repos. · 45 500/52 700 €</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Pénalités</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 Pas intégré pour l'instant »</w:t>
            </w:r>
          </w:p>
        </w:tc>
        <w:tc>
          <w:tcPr>
            <w:tcW w:type="dxa" w:w="2933"/>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0" w:line="252"/>
            </w:pPr>
            <w:r>
              <w:rPr>
                <w:sz w:val="19"/>
                <w:szCs w:val="19"/>
              </w:rPr>
              <w:t xml:space="preserve">Absent (cohérent)</w:t>
            </w:r>
          </w:p>
        </w:tc>
      </w:tr>
    </w:tbl>
    <w:p>
      <w:pPr>
        <w:spacing w:after="120" w:before="100" w:line="276"/>
      </w:pPr>
      <w:r>
        <w:rPr>
          <w:b/>
          <w:bCs/>
        </w:rPr>
        <w:t xml:space="preserve">Total spec/démo : </w:t>
      </w:r>
      <w:r>
        <w:t xml:space="preserve">Théo ≈ 542 k€ · Réel ≈ 589 k€ · écart +47,7 k€ (+8,8 %). Le nombre et la nature des postes sont conformes ; les écarts portent sur les valeurs de référence (cf. section 9) et l'absence d'arbitrage Q1-Q3.</w:t>
      </w:r>
    </w:p>
    <w:p>
      <w:pPr>
        <w:spacing w:after="120" w:before="240" w:line="276"/>
        <w:jc w:val="center"/>
      </w:pPr>
      <w:r>
        <w:rPr>
          <w:i/>
          <w:iCs/>
          <w:color w:val="808080"/>
        </w:rPr>
        <w:t xml:space="preserve">Fin du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Parnass Phase 2 — Analyse comparative Specs ↔ Démo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2026-06-24T13:03:38.922Z</dcterms:created>
  <dcterms:modified xsi:type="dcterms:W3CDTF">2026-06-24T13:03:38.922Z</dcterms:modified>
</cp:coreProperties>
</file>

<file path=docProps/custom.xml><?xml version="1.0" encoding="utf-8"?>
<Properties xmlns="http://schemas.openxmlformats.org/officeDocument/2006/custom-properties" xmlns:vt="http://schemas.openxmlformats.org/officeDocument/2006/docPropsVTypes"/>
</file>