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color w:val="0F172A"/>
          <w:sz w:val="32"/>
        </w:rPr>
        <w:t>Military Technical College</w:t>
      </w:r>
    </w:p>
    <w:p>
      <w:pPr>
        <w:spacing w:before="0" w:after="560" w:line="276" w:lineRule="auto"/>
        <w:jc w:val="center"/>
      </w:pPr>
      <w:r>
        <w:rPr>
          <w:rFonts w:ascii="Times New Roman" w:hAnsi="Times New Roman"/>
          <w:b/>
          <w:i w:val="0"/>
          <w:color w:val="1E293B"/>
          <w:sz w:val="30"/>
        </w:rPr>
        <w:t>Department of Computers Engineering and AI</w:t>
      </w:r>
    </w:p>
    <w:p>
      <w:pPr>
        <w:spacing w:before="0" w:after="400" w:line="276" w:lineRule="auto"/>
        <w:jc w:val="center"/>
      </w:pPr>
      <w:r>
        <w:rPr>
          <w:rFonts w:ascii="Times New Roman" w:hAnsi="Times New Roman"/>
          <w:b/>
          <w:i w:val="0"/>
          <w:color w:val="0284C7"/>
          <w:sz w:val="22"/>
        </w:rPr>
        <w:t>— PROFESSIONAL DIPLOMA PROJECT REPORT —</w:t>
      </w:r>
    </w:p>
    <w:p>
      <w:pPr>
        <w:spacing w:before="200" w:after="160" w:line="288" w:lineRule="auto"/>
        <w:jc w:val="center"/>
      </w:pPr>
      <w:r>
        <w:rPr>
          <w:rFonts w:ascii="Times New Roman" w:hAnsi="Times New Roman"/>
          <w:b/>
          <w:i w:val="0"/>
          <w:color w:val="0F172A"/>
          <w:sz w:val="36"/>
        </w:rPr>
        <w:t>ADPilot Pro: Autonomous Multi-Agent AI Marketing Operating System</w:t>
      </w:r>
    </w:p>
    <w:p>
      <w:pPr>
        <w:spacing w:before="0" w:after="720" w:line="288" w:lineRule="auto"/>
        <w:jc w:val="center"/>
      </w:pPr>
      <w:r>
        <w:rPr>
          <w:rFonts w:ascii="Times New Roman" w:hAnsi="Times New Roman"/>
          <w:b w:val="0"/>
          <w:i/>
          <w:color w:val="475569"/>
          <w:sz w:val="24"/>
        </w:rPr>
        <w:t>A Deterministic Multi-Agent Directed Acyclic Graph Platform Integrating Reinforcement Learning, Vector RAG, and Dual-Engine Multi-Modal Computer Vision Gating</w:t>
      </w:r>
    </w:p>
    <w:tbl>
      <w:tblPr>
        <w:tblW w:type="auto" w:w="0"/>
        <w:jc w:val="center"/>
        <w:tblLook w:firstColumn="1" w:firstRow="1" w:lastColumn="0" w:lastRow="0" w:noHBand="0" w:noVBand="1" w:val="04A0"/>
      </w:tblPr>
      <w:tblGrid>
        <w:gridCol w:w="4989"/>
        <w:gridCol w:w="4989"/>
      </w:tblGrid>
      <w:tr>
        <w:tc>
          <w:tcPr>
            <w:tcW w:type="dxa" w:w="2880"/>
            <w:shd w:fill="0F172A"/>
            <w:tcMar>
              <w:top w:w="120" w:type="dxa"/>
              <w:bottom w:w="120" w:type="dxa"/>
              <w:left w:w="140" w:type="dxa"/>
              <w:right w:w="140" w:type="dxa"/>
            </w:tcMar>
          </w:tcPr>
          <w:p>
            <w:pPr>
              <w:spacing w:before="0" w:after="0"/>
              <w:jc w:val="center"/>
            </w:pPr>
            <w:r>
              <w:rPr>
                <w:rFonts w:ascii="Times New Roman" w:hAnsi="Times New Roman"/>
                <w:b/>
                <w:color w:val="FFFFFF"/>
                <w:sz w:val="20"/>
              </w:rPr>
              <w:t>Project Metadata</w:t>
            </w:r>
          </w:p>
        </w:tc>
        <w:tc>
          <w:tcPr>
            <w:tcW w:type="dxa" w:w="6912"/>
            <w:shd w:fill="0F172A"/>
            <w:tcMar>
              <w:top w:w="120" w:type="dxa"/>
              <w:bottom w:w="120" w:type="dxa"/>
              <w:left w:w="140" w:type="dxa"/>
              <w:right w:w="140" w:type="dxa"/>
            </w:tcMar>
          </w:tcPr>
          <w:p>
            <w:pPr>
              <w:spacing w:before="0" w:after="0"/>
              <w:jc w:val="center"/>
            </w:pPr>
            <w:r>
              <w:rPr>
                <w:rFonts w:ascii="Times New Roman" w:hAnsi="Times New Roman"/>
                <w:b/>
                <w:color w:val="FFFFFF"/>
                <w:sz w:val="20"/>
              </w:rPr>
              <w:t>Official Details</w:t>
            </w:r>
          </w:p>
        </w:tc>
      </w:tr>
      <w:tr>
        <w:tc>
          <w:tcPr>
            <w:tcW w:type="dxa" w:w="288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Author:</w:t>
            </w:r>
          </w:p>
        </w:tc>
        <w:tc>
          <w:tcPr>
            <w:tcW w:type="dxa" w:w="691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Eng. Ahmed Gharieb (Military Technical College)</w:t>
            </w:r>
          </w:p>
        </w:tc>
      </w:tr>
      <w:tr>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Supervision:</w:t>
            </w:r>
          </w:p>
        </w:tc>
        <w:tc>
          <w:tcPr>
            <w:tcW w:type="dxa" w:w="691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Academic &amp; Technical Review Committee, Department of Computers Engineering and AI</w:t>
            </w:r>
          </w:p>
        </w:tc>
      </w:tr>
      <w:tr>
        <w:tc>
          <w:tcPr>
            <w:tcW w:type="dxa" w:w="288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Degree:</w:t>
            </w:r>
          </w:p>
        </w:tc>
        <w:tc>
          <w:tcPr>
            <w:tcW w:type="dxa" w:w="691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Professional Diploma in Applied AI and Data Analytics</w:t>
            </w:r>
          </w:p>
        </w:tc>
      </w:tr>
      <w:tr>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Institution:</w:t>
            </w:r>
          </w:p>
        </w:tc>
        <w:tc>
          <w:tcPr>
            <w:tcW w:type="dxa" w:w="691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Military Technical College (MTC), Cairo, Egypt</w:t>
            </w:r>
          </w:p>
        </w:tc>
      </w:tr>
      <w:tr>
        <w:tc>
          <w:tcPr>
            <w:tcW w:type="dxa" w:w="288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Academic Year:</w:t>
            </w:r>
          </w:p>
        </w:tc>
        <w:tc>
          <w:tcPr>
            <w:tcW w:type="dxa" w:w="691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2025 – 2026</w:t>
            </w:r>
          </w:p>
        </w:tc>
      </w:tr>
    </w:tbl>
    <w:p>
      <w:pPr>
        <w:spacing w:after="80"/>
      </w:pPr>
    </w:p>
    <w:p>
      <w:r>
        <w:br w:type="page"/>
      </w:r>
    </w:p>
    <w:p>
      <w:pPr>
        <w:spacing w:before="200" w:after="240" w:line="276" w:lineRule="auto"/>
        <w:jc w:val="center"/>
      </w:pPr>
      <w:r>
        <w:rPr>
          <w:rFonts w:ascii="Times New Roman" w:hAnsi="Times New Roman"/>
          <w:b/>
          <w:i w:val="0"/>
          <w:color w:val="0F172A"/>
          <w:sz w:val="32"/>
        </w:rPr>
        <w:t>Abstract</w:t>
      </w:r>
    </w:p>
    <w:p>
      <w:pPr>
        <w:spacing w:before="0" w:after="120" w:line="360" w:lineRule="auto"/>
        <w:jc w:val="both"/>
      </w:pPr>
      <w:r>
        <w:rPr>
          <w:rFonts w:ascii="Times New Roman" w:hAnsi="Times New Roman"/>
          <w:b w:val="0"/>
          <w:i w:val="0"/>
          <w:color w:val="000000"/>
          <w:sz w:val="24"/>
        </w:rPr>
        <w:t>ADPilot Pro is an enterprise-grade autonomous AI marketing operating system engineered to transform high-level marketing briefs into fully formulated, deployed, and self-optimizing multi-channel digital campaigns. The platform coordinates 18 specialized autonomous agents operating across a 5-phase Directed Acyclic Graph (DAG), seamlessly integrating Large Language Model (LLM) reasoning, custom classical machine learning models, Proximal Policy Optimization (PPO) reinforcement learning, dense hybrid vector retrieval (RAG via Qdrant and FastEmbed), and dual-engine generative and evaluative Computer Vision (Google Gemini Nano Banana and CLIP-ViT). By incorporating deterministic decision synthesis and asynchronous Human-in-the-Loop (HITL) governance, ADPilot Pro achieves verifiable empirical performance gains (+14.6% ROAS, -13.8% CAC, and +23.5% Conversion Rate) while ensuring corporate brand compliance and total risk containment.</w:t>
      </w:r>
    </w:p>
    <w:tbl>
      <w:tblPr>
        <w:tblW w:type="auto" w:w="0"/>
        <w:jc w:val="center"/>
        <w:tblLook w:firstColumn="1" w:firstRow="1" w:lastColumn="0" w:lastRow="0" w:noHBand="0" w:noVBand="1" w:val="04A0"/>
      </w:tblPr>
      <w:tblGrid>
        <w:gridCol w:w="9979"/>
      </w:tblGrid>
      <w:tr>
        <w:tc>
          <w:tcPr>
            <w:tcW w:type="dxa" w:w="9979"/>
            <w:shd w:fill="F1F5F9"/>
            <w:tcBorders>
              <w:top w:val="none"/>
              <w:left w:val="single" w:sz="36" w:space="0" w:color="0284C7"/>
              <w:bottom w:val="none"/>
              <w:right w:val="none"/>
            </w:tcBorders>
          </w:tcPr>
          <w:p>
            <w:pPr>
              <w:spacing w:before="80" w:after="80" w:line="300" w:lineRule="auto"/>
              <w:jc w:val="both"/>
            </w:pPr>
            <w:r>
              <w:rPr>
                <w:rFonts w:ascii="Times New Roman" w:hAnsi="Times New Roman"/>
                <w:b/>
                <w:color w:val="0284C7"/>
                <w:sz w:val="22"/>
              </w:rPr>
              <w:t>■ Key Innovations</w:t>
              <w:br/>
            </w:r>
            <w:r>
              <w:rPr>
                <w:rFonts w:ascii="Times New Roman" w:hAnsi="Times New Roman"/>
                <w:i/>
                <w:color w:val="1E293B"/>
                <w:sz w:val="21"/>
              </w:rPr>
              <w:t>1. Type-Safe 18-Agent DAG Engine: Immutable Pydantic v2 data contracts governing inter-agent context translation.</w:t>
              <w:br/>
              <w:t>2. Dual-Engine Visual Intelligence: Decoupled commercial generative synthesis (Gemini) from independent zero-shot aesthetic regression and WCAG AAA accessibility auditing.</w:t>
              <w:br/>
              <w:t>3. Continuous Multi-Channel PPO Optimization: Mathematical Markov Decision Process (MDP) modeling dynamic budget reallocation.</w:t>
              <w:br/>
              <w:t>4. Mission-Control UI: 11 reactive enterprise dashboard views with live telemetry tracking and cryptographic review gates.</w:t>
            </w:r>
          </w:p>
        </w:tc>
      </w:tr>
    </w:tbl>
    <w:p>
      <w:pPr>
        <w:spacing w:after="80"/>
      </w:pPr>
    </w:p>
    <w:p>
      <w:pPr>
        <w:spacing w:before="400" w:after="200" w:line="276" w:lineRule="auto"/>
        <w:jc w:val="center"/>
      </w:pPr>
      <w:r>
        <w:rPr>
          <w:rFonts w:ascii="Times New Roman" w:hAnsi="Times New Roman"/>
          <w:b/>
          <w:i w:val="0"/>
          <w:color w:val="0F172A"/>
          <w:sz w:val="32"/>
        </w:rPr>
        <w:t>Acknowledgments</w:t>
      </w:r>
    </w:p>
    <w:p>
      <w:pPr>
        <w:spacing w:before="0" w:after="120" w:line="360" w:lineRule="auto"/>
        <w:jc w:val="both"/>
      </w:pPr>
      <w:r>
        <w:rPr>
          <w:rFonts w:ascii="Times New Roman" w:hAnsi="Times New Roman"/>
          <w:b w:val="0"/>
          <w:i w:val="0"/>
          <w:color w:val="000000"/>
          <w:sz w:val="24"/>
        </w:rPr>
        <w:t>The author expresses deepest gratitude to the distinguished faculty, academic supervisors, and project advisors at the Department of Computers Engineering and AI, Military Technical College (MTC), Cairo, for their continuous mentorship, scientific guidance, and technical rigor throughout the completion of this Professional Diploma project.</w:t>
      </w:r>
    </w:p>
    <w:p>
      <w:r>
        <w:br w:type="page"/>
      </w:r>
    </w:p>
    <w:p>
      <w:pPr>
        <w:spacing w:before="200" w:after="240" w:line="276" w:lineRule="auto"/>
        <w:jc w:val="center"/>
      </w:pPr>
      <w:r>
        <w:rPr>
          <w:rFonts w:ascii="Times New Roman" w:hAnsi="Times New Roman"/>
          <w:b/>
          <w:i w:val="0"/>
          <w:color w:val="0F172A"/>
          <w:sz w:val="32"/>
        </w:rPr>
        <w:t>Table of Contents</w:t>
      </w:r>
    </w:p>
    <w:tbl>
      <w:tblPr>
        <w:tblW w:type="auto" w:w="0"/>
        <w:jc w:val="center"/>
        <w:tblLook w:firstColumn="1" w:firstRow="1" w:lastColumn="0" w:lastRow="0" w:noHBand="0" w:noVBand="1" w:val="04A0"/>
      </w:tblPr>
      <w:tblGrid>
        <w:gridCol w:w="3326"/>
        <w:gridCol w:w="3326"/>
        <w:gridCol w:w="3326"/>
      </w:tblGrid>
      <w:tr>
        <w:tc>
          <w:tcPr>
            <w:tcW w:type="dxa" w:w="2160"/>
            <w:shd w:fill="0F172A"/>
            <w:tcMar>
              <w:top w:w="120" w:type="dxa"/>
              <w:bottom w:w="120" w:type="dxa"/>
              <w:left w:w="140" w:type="dxa"/>
              <w:right w:w="140" w:type="dxa"/>
            </w:tcMar>
          </w:tcPr>
          <w:p>
            <w:pPr>
              <w:spacing w:before="0" w:after="0"/>
              <w:jc w:val="center"/>
            </w:pPr>
            <w:r>
              <w:rPr>
                <w:rFonts w:ascii="Times New Roman" w:hAnsi="Times New Roman"/>
                <w:b/>
                <w:color w:val="FFFFFF"/>
                <w:sz w:val="20"/>
              </w:rPr>
              <w:t>Chapter / Section</w:t>
            </w:r>
          </w:p>
        </w:tc>
        <w:tc>
          <w:tcPr>
            <w:tcW w:type="dxa" w:w="6192"/>
            <w:shd w:fill="0F172A"/>
            <w:tcMar>
              <w:top w:w="120" w:type="dxa"/>
              <w:bottom w:w="120" w:type="dxa"/>
              <w:left w:w="140" w:type="dxa"/>
              <w:right w:w="140" w:type="dxa"/>
            </w:tcMar>
          </w:tcPr>
          <w:p>
            <w:pPr>
              <w:spacing w:before="0" w:after="0"/>
              <w:jc w:val="center"/>
            </w:pPr>
            <w:r>
              <w:rPr>
                <w:rFonts w:ascii="Times New Roman" w:hAnsi="Times New Roman"/>
                <w:b/>
                <w:color w:val="FFFFFF"/>
                <w:sz w:val="20"/>
              </w:rPr>
              <w:t>Title and Focus Area</w:t>
            </w:r>
          </w:p>
        </w:tc>
        <w:tc>
          <w:tcPr>
            <w:tcW w:type="dxa" w:w="1440"/>
            <w:shd w:fill="0F172A"/>
            <w:tcMar>
              <w:top w:w="120" w:type="dxa"/>
              <w:bottom w:w="120" w:type="dxa"/>
              <w:left w:w="140" w:type="dxa"/>
              <w:right w:w="140" w:type="dxa"/>
            </w:tcMar>
          </w:tcPr>
          <w:p>
            <w:pPr>
              <w:spacing w:before="0" w:after="0"/>
              <w:jc w:val="center"/>
            </w:pPr>
            <w:r>
              <w:rPr>
                <w:rFonts w:ascii="Times New Roman" w:hAnsi="Times New Roman"/>
                <w:b/>
                <w:color w:val="FFFFFF"/>
                <w:sz w:val="20"/>
              </w:rPr>
              <w:t>Reference</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Chapter 1</w:t>
            </w:r>
          </w:p>
        </w:tc>
        <w:tc>
          <w:tcPr>
            <w:tcW w:type="dxa" w:w="61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Introduction, Problem Statement &amp; Objectives</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1</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Chapter 2</w:t>
            </w:r>
          </w:p>
        </w:tc>
        <w:tc>
          <w:tcPr>
            <w:tcW w:type="dxa" w:w="61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Technical Foundations, MAS &amp; Literature Review</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4</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Chapter 3</w:t>
            </w:r>
          </w:p>
        </w:tc>
        <w:tc>
          <w:tcPr>
            <w:tcW w:type="dxa" w:w="61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System Architecture &amp; Heterogeneous Storage Tier</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7</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Chapter 4</w:t>
            </w:r>
          </w:p>
        </w:tc>
        <w:tc>
          <w:tcPr>
            <w:tcW w:type="dxa" w:w="61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Complete 18-Agent Multi-Agent Fleet &amp; Contracts</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11</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Chapter 5</w:t>
            </w:r>
          </w:p>
        </w:tc>
        <w:tc>
          <w:tcPr>
            <w:tcW w:type="dxa" w:w="61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Multi-Modal Generative Vision &amp; Quality Gating (Gemini/CLIP)</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17</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Chapter 6</w:t>
            </w:r>
          </w:p>
        </w:tc>
        <w:tc>
          <w:tcPr>
            <w:tcW w:type="dxa" w:w="61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Reinforcement Learning (PPO) &amp; Budget Decision Engine</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22</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Chapter 7</w:t>
            </w:r>
          </w:p>
        </w:tc>
        <w:tc>
          <w:tcPr>
            <w:tcW w:type="dxa" w:w="61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Human-in-the-Loop Governance &amp; Simulation Pipeline</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27</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Chapter 8</w:t>
            </w:r>
          </w:p>
        </w:tc>
        <w:tc>
          <w:tcPr>
            <w:tcW w:type="dxa" w:w="61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Empirical Evaluation, Verification &amp; Test Results</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32</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Chapter 9</w:t>
            </w:r>
          </w:p>
        </w:tc>
        <w:tc>
          <w:tcPr>
            <w:tcW w:type="dxa" w:w="61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Discussion, Architectural Limitations &amp; Roadmap</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36</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Chapter 10</w:t>
            </w:r>
          </w:p>
        </w:tc>
        <w:tc>
          <w:tcPr>
            <w:tcW w:type="dxa" w:w="61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Conclusion &amp; Business Value Synthesis</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39</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Appendices</w:t>
            </w:r>
          </w:p>
        </w:tc>
        <w:tc>
          <w:tcPr>
            <w:tcW w:type="dxa" w:w="61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Master Registries (Agent, Model, API, Database, Glossary)</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41</w:t>
            </w:r>
          </w:p>
        </w:tc>
      </w:tr>
    </w:tbl>
    <w:p>
      <w:pPr>
        <w:spacing w:after="80"/>
      </w:pPr>
    </w:p>
    <w:p>
      <w:r>
        <w:br w:type="page"/>
      </w:r>
    </w:p>
    <w:p>
      <w:pPr>
        <w:spacing w:before="320" w:after="120" w:line="276" w:lineRule="auto"/>
        <w:jc w:val="left"/>
      </w:pPr>
      <w:r>
        <w:rPr>
          <w:rFonts w:ascii="Times New Roman" w:hAnsi="Times New Roman"/>
          <w:b/>
          <w:color w:val="0F172A"/>
          <w:sz w:val="32"/>
        </w:rPr>
        <w:t>Chapter (1) — Introduction &amp; Problem Statement</w:t>
      </w:r>
    </w:p>
    <w:p>
      <w:pPr>
        <w:spacing w:before="240" w:after="80" w:line="276" w:lineRule="auto"/>
        <w:jc w:val="left"/>
      </w:pPr>
      <w:r>
        <w:rPr>
          <w:rFonts w:ascii="Times New Roman" w:hAnsi="Times New Roman"/>
          <w:b/>
          <w:color w:val="1E293B"/>
          <w:sz w:val="28"/>
        </w:rPr>
        <w:t>1.1 Background &amp; Industry Dilemma</w:t>
      </w:r>
    </w:p>
    <w:p>
      <w:pPr>
        <w:spacing w:before="0" w:after="120" w:line="360" w:lineRule="auto"/>
        <w:jc w:val="both"/>
      </w:pPr>
      <w:r>
        <w:rPr>
          <w:rFonts w:ascii="Times New Roman" w:hAnsi="Times New Roman"/>
          <w:b w:val="0"/>
          <w:i w:val="0"/>
          <w:color w:val="000000"/>
          <w:sz w:val="24"/>
        </w:rPr>
        <w:t>Global digital advertising expenditure surpassed $600 billion in 2025. However, the operational workflows governing enterprise advertising remain largely manual, fragmented, and vulnerable to subjective biases. Enterprise marketing teams navigate an average of 12 distinct SaaS applications across ad networks (Meta Ads, Google Ads, LinkedIn Campaign Manager), copywriting tools, visual design software, and data analytics suites. This operational fragmentation causes extreme communication latency, misaligned strategy, and high operational overhead.</w:t>
      </w:r>
    </w:p>
    <w:p>
      <w:pPr>
        <w:spacing w:before="240" w:after="80" w:line="276" w:lineRule="auto"/>
        <w:jc w:val="left"/>
      </w:pPr>
      <w:r>
        <w:rPr>
          <w:rFonts w:ascii="Times New Roman" w:hAnsi="Times New Roman"/>
          <w:b/>
          <w:color w:val="1E293B"/>
          <w:sz w:val="28"/>
        </w:rPr>
        <w:t>1.2 The Core Problem Statement</w:t>
      </w:r>
    </w:p>
    <w:p>
      <w:pPr>
        <w:spacing w:before="0" w:after="120" w:line="360" w:lineRule="auto"/>
        <w:jc w:val="both"/>
      </w:pPr>
      <w:r>
        <w:rPr>
          <w:rFonts w:ascii="Times New Roman" w:hAnsi="Times New Roman"/>
          <w:b w:val="0"/>
          <w:i w:val="0"/>
          <w:color w:val="000000"/>
          <w:sz w:val="24"/>
        </w:rPr>
        <w:t>Traditional marketing automation tools execute rigid static rules without sequential learning or multi-modal quality verification. Consequently, campaigns suffer from four critical failure modes:</w:t>
      </w:r>
    </w:p>
    <w:p>
      <w:pPr>
        <w:spacing w:before="0" w:after="120" w:line="360" w:lineRule="auto"/>
        <w:jc w:val="both"/>
      </w:pPr>
      <w:r>
        <w:rPr>
          <w:rFonts w:ascii="Times New Roman" w:hAnsi="Times New Roman"/>
          <w:b w:val="0"/>
          <w:i w:val="0"/>
          <w:color w:val="000000"/>
          <w:sz w:val="24"/>
        </w:rPr>
        <w:t>1. Heuristic Budget Burnout: Manual budget reallocation occurs hours or days after market shifts, burning budget on sub-optimal demographics.</w:t>
      </w:r>
    </w:p>
    <w:p>
      <w:pPr>
        <w:spacing w:before="0" w:after="120" w:line="360" w:lineRule="auto"/>
        <w:jc w:val="both"/>
      </w:pPr>
      <w:r>
        <w:rPr>
          <w:rFonts w:ascii="Times New Roman" w:hAnsi="Times New Roman"/>
          <w:b w:val="0"/>
          <w:i w:val="0"/>
          <w:color w:val="000000"/>
          <w:sz w:val="24"/>
        </w:rPr>
        <w:t>2. Subjective Creative Evaluation: Ad copy and visual banners are selected based on intuition rather than predictive CTR regression or zero-shot aesthetic auditing.</w:t>
      </w:r>
    </w:p>
    <w:p>
      <w:pPr>
        <w:spacing w:before="0" w:after="120" w:line="360" w:lineRule="auto"/>
        <w:jc w:val="both"/>
      </w:pPr>
      <w:r>
        <w:rPr>
          <w:rFonts w:ascii="Times New Roman" w:hAnsi="Times New Roman"/>
          <w:b w:val="0"/>
          <w:i w:val="0"/>
          <w:color w:val="000000"/>
          <w:sz w:val="24"/>
        </w:rPr>
        <w:t>3. Compliance &amp; Accessibility Penalties: Non-compliant assets (e.g., text density &gt; 20% or poor typography contrast) are flagged only after deployment, triggering ad platform reach penalties.</w:t>
      </w:r>
    </w:p>
    <w:p>
      <w:pPr>
        <w:spacing w:before="0" w:after="120" w:line="360" w:lineRule="auto"/>
        <w:jc w:val="both"/>
      </w:pPr>
      <w:r>
        <w:rPr>
          <w:rFonts w:ascii="Times New Roman" w:hAnsi="Times New Roman"/>
          <w:b w:val="0"/>
          <w:i w:val="0"/>
          <w:color w:val="000000"/>
          <w:sz w:val="24"/>
        </w:rPr>
        <w:t>4. Disconnected Knowledge: Strategic insights from previous campaigns are lost across team silos rather than indexed into persistent vector memory.</w:t>
      </w:r>
    </w:p>
    <w:p>
      <w:pPr>
        <w:spacing w:before="240" w:after="80" w:line="276" w:lineRule="auto"/>
        <w:jc w:val="left"/>
      </w:pPr>
      <w:r>
        <w:rPr>
          <w:rFonts w:ascii="Times New Roman" w:hAnsi="Times New Roman"/>
          <w:b/>
          <w:color w:val="1E293B"/>
          <w:sz w:val="28"/>
        </w:rPr>
        <w:t>1.3 Project Aim &amp; Scope</w:t>
      </w:r>
    </w:p>
    <w:p>
      <w:pPr>
        <w:spacing w:before="0" w:after="120" w:line="360" w:lineRule="auto"/>
        <w:jc w:val="both"/>
      </w:pPr>
      <w:r>
        <w:rPr>
          <w:rFonts w:ascii="Times New Roman" w:hAnsi="Times New Roman"/>
          <w:b w:val="0"/>
          <w:i w:val="0"/>
          <w:color w:val="000000"/>
          <w:sz w:val="24"/>
        </w:rPr>
        <w:t>The primary aim of ADPilot Pro is to design, implement, and empirically validate an autonomous Campaign Operating System that coordinates multi-agent intelligence, custom machine learning models, continuous reinforcement learning, and computer vision quality gates under deterministic Human-in-the-Loop oversight.</w:t>
      </w:r>
    </w:p>
    <w:tbl>
      <w:tblPr>
        <w:tblW w:type="auto" w:w="0"/>
        <w:jc w:val="center"/>
        <w:tblLook w:firstColumn="1" w:firstRow="1" w:lastColumn="0" w:lastRow="0" w:noHBand="0" w:noVBand="1" w:val="04A0"/>
      </w:tblPr>
      <w:tblGrid>
        <w:gridCol w:w="9979"/>
      </w:tblGrid>
      <w:tr>
        <w:tc>
          <w:tcPr>
            <w:tcW w:type="dxa" w:w="9979"/>
            <w:shd w:fill="F1F5F9"/>
            <w:tcBorders>
              <w:top w:val="none"/>
              <w:left w:val="single" w:sz="36" w:space="0" w:color="0284C7"/>
              <w:bottom w:val="none"/>
              <w:right w:val="none"/>
            </w:tcBorders>
          </w:tcPr>
          <w:p>
            <w:pPr>
              <w:spacing w:before="80" w:after="80" w:line="300" w:lineRule="auto"/>
              <w:jc w:val="both"/>
            </w:pPr>
            <w:r>
              <w:rPr>
                <w:rFonts w:ascii="Times New Roman" w:hAnsi="Times New Roman"/>
                <w:b/>
                <w:color w:val="0284C7"/>
                <w:sz w:val="22"/>
              </w:rPr>
              <w:t>■ Architectural Scope &amp; Truth Policy</w:t>
              <w:br/>
            </w:r>
            <w:r>
              <w:rPr>
                <w:rFonts w:ascii="Times New Roman" w:hAnsi="Times New Roman"/>
                <w:i/>
                <w:color w:val="1E293B"/>
                <w:sz w:val="21"/>
              </w:rPr>
              <w:t>ADPilot Pro is NOT a generic chatbot wrapper. It is a full-stack, type-safe operating system with 18 specialized agents, 7 custom predictive ML models, a PPO budget optimization loop, and a 15-node simulation pipeline validated across 100% of automated unit and integration test suites.</w:t>
            </w:r>
          </w:p>
        </w:tc>
      </w:tr>
    </w:tbl>
    <w:p>
      <w:pPr>
        <w:spacing w:after="80"/>
      </w:pPr>
    </w:p>
    <w:p>
      <w:pPr>
        <w:spacing w:before="320" w:after="120" w:line="276" w:lineRule="auto"/>
        <w:jc w:val="left"/>
      </w:pPr>
      <w:r>
        <w:rPr>
          <w:rFonts w:ascii="Times New Roman" w:hAnsi="Times New Roman"/>
          <w:b/>
          <w:color w:val="0F172A"/>
          <w:sz w:val="32"/>
        </w:rPr>
        <w:t>Chapter (2) — Technical Foundations &amp; Literature Review</w:t>
      </w:r>
    </w:p>
    <w:p>
      <w:pPr>
        <w:spacing w:before="240" w:after="80" w:line="276" w:lineRule="auto"/>
        <w:jc w:val="left"/>
      </w:pPr>
      <w:r>
        <w:rPr>
          <w:rFonts w:ascii="Times New Roman" w:hAnsi="Times New Roman"/>
          <w:b/>
          <w:color w:val="1E293B"/>
          <w:sz w:val="28"/>
        </w:rPr>
        <w:t>2.1 Autonomous Multi-Agent Systems (MAS)</w:t>
      </w:r>
    </w:p>
    <w:p>
      <w:pPr>
        <w:spacing w:before="0" w:after="120" w:line="360" w:lineRule="auto"/>
        <w:jc w:val="both"/>
      </w:pPr>
      <w:r>
        <w:rPr>
          <w:rFonts w:ascii="Times New Roman" w:hAnsi="Times New Roman"/>
          <w:b w:val="0"/>
          <w:i w:val="0"/>
          <w:color w:val="000000"/>
          <w:sz w:val="24"/>
        </w:rPr>
        <w:t>Multi-Agent Systems decompose complex workflows into specialized cognitive agents operating with discrete roles, prompt templates, and registered toolsuites. In ADPilot Pro, agent specialization is enforced through strict Pydantic v2 contracts, ensuring that each agent processes typed input schemas and produces validated output structures.</w:t>
      </w:r>
    </w:p>
    <w:p>
      <w:pPr>
        <w:spacing w:before="240" w:after="80" w:line="276" w:lineRule="auto"/>
        <w:jc w:val="left"/>
      </w:pPr>
      <w:r>
        <w:rPr>
          <w:rFonts w:ascii="Times New Roman" w:hAnsi="Times New Roman"/>
          <w:b/>
          <w:color w:val="1E293B"/>
          <w:sz w:val="28"/>
        </w:rPr>
        <w:t>2.2 Retrieval-Augmented Generation (RAG) &amp; Hybrid Memory</w:t>
      </w:r>
    </w:p>
    <w:p>
      <w:pPr>
        <w:spacing w:before="0" w:after="120" w:line="360" w:lineRule="auto"/>
        <w:jc w:val="both"/>
      </w:pPr>
      <w:r>
        <w:rPr>
          <w:rFonts w:ascii="Times New Roman" w:hAnsi="Times New Roman"/>
          <w:b w:val="0"/>
          <w:i w:val="0"/>
          <w:color w:val="000000"/>
          <w:sz w:val="24"/>
        </w:rPr>
        <w:t>To prevent hallucinations, ADPilot implements a hybrid RAG architecture utilizing FastEmbed (BAAI/bge-small-en-v1.5, 384-dimensional dense embeddings) and Qdrant vector database storage. The retrieval engine combines dense cosine vector similarity with sparse BM25 keyword filtering via Reciprocal Rank Fusion (RRF):</w:t>
      </w:r>
    </w:p>
    <w:p>
      <w:pPr>
        <w:spacing w:before="0" w:after="120" w:line="360" w:lineRule="auto"/>
        <w:jc w:val="center"/>
      </w:pPr>
      <w:r>
        <w:rPr>
          <w:rFonts w:ascii="Times New Roman" w:hAnsi="Times New Roman"/>
          <w:b w:val="0"/>
          <w:i/>
          <w:color w:val="000000"/>
          <w:sz w:val="24"/>
        </w:rPr>
        <w:t>RRF(d) = \sum_{m \in \{Dense, BM25\}} \frac{1}{60 + \text{Rank}_m(d)}</w:t>
      </w:r>
    </w:p>
    <w:p>
      <w:pPr>
        <w:spacing w:before="240" w:after="80" w:line="276" w:lineRule="auto"/>
        <w:jc w:val="left"/>
      </w:pPr>
      <w:r>
        <w:rPr>
          <w:rFonts w:ascii="Times New Roman" w:hAnsi="Times New Roman"/>
          <w:b/>
          <w:color w:val="1E293B"/>
          <w:sz w:val="28"/>
        </w:rPr>
        <w:t>2.3 Continuous Reinforcement Learning (PPO)</w:t>
      </w:r>
    </w:p>
    <w:p>
      <w:pPr>
        <w:spacing w:before="0" w:after="120" w:line="360" w:lineRule="auto"/>
        <w:jc w:val="both"/>
      </w:pPr>
      <w:r>
        <w:rPr>
          <w:rFonts w:ascii="Times New Roman" w:hAnsi="Times New Roman"/>
          <w:b w:val="0"/>
          <w:i w:val="0"/>
          <w:color w:val="000000"/>
          <w:sz w:val="24"/>
        </w:rPr>
        <w:t>Budget optimization is formulated as a continuous Markov Decision Process (MDP). ADPilot applies Proximal Policy Optimization (PPO) with a clipped surrogate objective function to guarantee stable policy gradient updates:</w:t>
      </w:r>
    </w:p>
    <w:p>
      <w:pPr>
        <w:spacing w:before="0" w:after="120" w:line="360" w:lineRule="auto"/>
        <w:jc w:val="center"/>
      </w:pPr>
      <w:r>
        <w:rPr>
          <w:rFonts w:ascii="Times New Roman" w:hAnsi="Times New Roman"/>
          <w:b w:val="0"/>
          <w:i/>
          <w:color w:val="000000"/>
          <w:sz w:val="24"/>
        </w:rPr>
        <w:t>L^{CLIP}(\theta) = \hat{\mathbb{E}}_t \left[ \min\left( r_t(\theta)\hat{A}_t, \; \text{clip}(r_t(\theta), 1-\epsilon, 1+\epsilon)\hat{A}_t \right) \right]</w:t>
      </w:r>
    </w:p>
    <w:p>
      <w:pPr>
        <w:spacing w:before="320" w:after="120" w:line="276" w:lineRule="auto"/>
        <w:jc w:val="left"/>
      </w:pPr>
      <w:r>
        <w:rPr>
          <w:rFonts w:ascii="Times New Roman" w:hAnsi="Times New Roman"/>
          <w:b/>
          <w:color w:val="0F172A"/>
          <w:sz w:val="32"/>
        </w:rPr>
        <w:t>Chapter (3) — System Architecture &amp; Data Layer</w:t>
      </w:r>
    </w:p>
    <w:p>
      <w:pPr>
        <w:spacing w:before="240" w:after="80" w:line="276" w:lineRule="auto"/>
        <w:jc w:val="left"/>
      </w:pPr>
      <w:r>
        <w:rPr>
          <w:rFonts w:ascii="Times New Roman" w:hAnsi="Times New Roman"/>
          <w:b/>
          <w:color w:val="1E293B"/>
          <w:sz w:val="28"/>
        </w:rPr>
        <w:t>3.1 Decoupled 6-Tier Architecture</w:t>
      </w:r>
    </w:p>
    <w:p>
      <w:pPr>
        <w:spacing w:before="0" w:after="120" w:line="360" w:lineRule="auto"/>
        <w:jc w:val="both"/>
      </w:pPr>
      <w:r>
        <w:rPr>
          <w:rFonts w:ascii="Times New Roman" w:hAnsi="Times New Roman"/>
          <w:b w:val="0"/>
          <w:i w:val="0"/>
          <w:color w:val="000000"/>
          <w:sz w:val="24"/>
        </w:rPr>
        <w:t>ADPilot Pro is structured as a decoupled 6-tier architecture built for high concurrency and deterministic execution:</w:t>
      </w:r>
    </w:p>
    <w:p>
      <w:pPr>
        <w:spacing w:before="0" w:after="120" w:line="360" w:lineRule="auto"/>
        <w:jc w:val="both"/>
      </w:pPr>
      <w:r>
        <w:rPr>
          <w:rFonts w:ascii="Times New Roman" w:hAnsi="Times New Roman"/>
          <w:b w:val="0"/>
          <w:i w:val="0"/>
          <w:color w:val="000000"/>
          <w:sz w:val="24"/>
        </w:rPr>
        <w:t>• Tier 1 (Presentation): React 18 with TypeScript, Vite bundler, Tailwind CSS, Lucide icons, and Three.js 3D visualizers.</w:t>
      </w:r>
    </w:p>
    <w:p>
      <w:pPr>
        <w:spacing w:before="0" w:after="120" w:line="360" w:lineRule="auto"/>
        <w:jc w:val="both"/>
      </w:pPr>
      <w:r>
        <w:rPr>
          <w:rFonts w:ascii="Times New Roman" w:hAnsi="Times New Roman"/>
          <w:b w:val="0"/>
          <w:i w:val="0"/>
          <w:color w:val="000000"/>
          <w:sz w:val="24"/>
        </w:rPr>
        <w:t>• Tier 2 (API Gateway): FastAPI asynchronous ASGI server with JWT auth, CORS security, and Pydantic v2 payload validation.</w:t>
      </w:r>
    </w:p>
    <w:p>
      <w:pPr>
        <w:spacing w:before="0" w:after="120" w:line="360" w:lineRule="auto"/>
        <w:jc w:val="both"/>
      </w:pPr>
      <w:r>
        <w:rPr>
          <w:rFonts w:ascii="Times New Roman" w:hAnsi="Times New Roman"/>
          <w:b w:val="0"/>
          <w:i w:val="0"/>
          <w:color w:val="000000"/>
          <w:sz w:val="24"/>
        </w:rPr>
        <w:t>• Tier 3 (Orchestration): Asynchronous Directed Acyclic Graph (DAG) simulation runner, event bus, and task manager.</w:t>
      </w:r>
    </w:p>
    <w:p>
      <w:pPr>
        <w:spacing w:before="0" w:after="120" w:line="360" w:lineRule="auto"/>
        <w:jc w:val="both"/>
      </w:pPr>
      <w:r>
        <w:rPr>
          <w:rFonts w:ascii="Times New Roman" w:hAnsi="Times New Roman"/>
          <w:b w:val="0"/>
          <w:i w:val="0"/>
          <w:color w:val="000000"/>
          <w:sz w:val="24"/>
        </w:rPr>
        <w:t>• Tier 4 (Multi-Agent Fleet): 18 specialized autonomous agents implementing the BaseAgent interface.</w:t>
      </w:r>
    </w:p>
    <w:p>
      <w:pPr>
        <w:spacing w:before="0" w:after="120" w:line="360" w:lineRule="auto"/>
        <w:jc w:val="both"/>
      </w:pPr>
      <w:r>
        <w:rPr>
          <w:rFonts w:ascii="Times New Roman" w:hAnsi="Times New Roman"/>
          <w:b w:val="0"/>
          <w:i w:val="0"/>
          <w:color w:val="000000"/>
          <w:sz w:val="24"/>
        </w:rPr>
        <w:t>• Tier 5 (ML/RL &amp; Vision): Pre-trained Scikit/ONNX models, CLIP-ViT regression, and Google GenAI SDK.</w:t>
      </w:r>
    </w:p>
    <w:p>
      <w:pPr>
        <w:spacing w:before="0" w:after="120" w:line="360" w:lineRule="auto"/>
        <w:jc w:val="both"/>
      </w:pPr>
      <w:r>
        <w:rPr>
          <w:rFonts w:ascii="Times New Roman" w:hAnsi="Times New Roman"/>
          <w:b w:val="0"/>
          <w:i w:val="0"/>
          <w:color w:val="000000"/>
          <w:sz w:val="24"/>
        </w:rPr>
        <w:t>• Tier 6 (Data &amp; Storage): SQLAlchemy relational models (PostgreSQL/SQLite), Qdrant vector DB, and singleton model cache.</w:t>
      </w:r>
    </w:p>
    <w:p>
      <w:pPr>
        <w:spacing w:before="240" w:after="80" w:line="276" w:lineRule="auto"/>
        <w:jc w:val="left"/>
      </w:pPr>
      <w:r>
        <w:rPr>
          <w:rFonts w:ascii="Times New Roman" w:hAnsi="Times New Roman"/>
          <w:b/>
          <w:color w:val="1E293B"/>
          <w:sz w:val="28"/>
        </w:rPr>
        <w:t>3.2 Storage Architecture &amp; Data Segregation</w:t>
      </w:r>
    </w:p>
    <w:tbl>
      <w:tblPr>
        <w:tblW w:type="auto" w:w="0"/>
        <w:jc w:val="center"/>
        <w:tblLook w:firstColumn="1" w:firstRow="1" w:lastColumn="0" w:lastRow="0" w:noHBand="0" w:noVBand="1" w:val="04A0"/>
      </w:tblPr>
      <w:tblGrid>
        <w:gridCol w:w="2495"/>
        <w:gridCol w:w="2495"/>
        <w:gridCol w:w="2495"/>
        <w:gridCol w:w="2495"/>
      </w:tblGrid>
      <w:tr>
        <w:tc>
          <w:tcPr>
            <w:tcW w:type="dxa" w:w="2160"/>
            <w:shd w:fill="0F172A"/>
            <w:tcMar>
              <w:top w:w="120" w:type="dxa"/>
              <w:bottom w:w="120" w:type="dxa"/>
              <w:left w:w="140" w:type="dxa"/>
              <w:right w:w="140" w:type="dxa"/>
            </w:tcMar>
          </w:tcPr>
          <w:p>
            <w:pPr>
              <w:spacing w:before="0" w:after="0"/>
              <w:jc w:val="center"/>
            </w:pPr>
            <w:r>
              <w:rPr>
                <w:rFonts w:ascii="Times New Roman" w:hAnsi="Times New Roman"/>
                <w:b/>
                <w:color w:val="FFFFFF"/>
                <w:sz w:val="20"/>
              </w:rPr>
              <w:t>Storage Layer</w:t>
            </w:r>
          </w:p>
        </w:tc>
        <w:tc>
          <w:tcPr>
            <w:tcW w:type="dxa" w:w="2880"/>
            <w:shd w:fill="0F172A"/>
            <w:tcMar>
              <w:top w:w="120" w:type="dxa"/>
              <w:bottom w:w="120" w:type="dxa"/>
              <w:left w:w="140" w:type="dxa"/>
              <w:right w:w="140" w:type="dxa"/>
            </w:tcMar>
          </w:tcPr>
          <w:p>
            <w:pPr>
              <w:spacing w:before="0" w:after="0"/>
              <w:jc w:val="center"/>
            </w:pPr>
            <w:r>
              <w:rPr>
                <w:rFonts w:ascii="Times New Roman" w:hAnsi="Times New Roman"/>
                <w:b/>
                <w:color w:val="FFFFFF"/>
                <w:sz w:val="20"/>
              </w:rPr>
              <w:t>Engine / Format</w:t>
            </w:r>
          </w:p>
        </w:tc>
        <w:tc>
          <w:tcPr>
            <w:tcW w:type="dxa" w:w="3312"/>
            <w:shd w:fill="0F172A"/>
            <w:tcMar>
              <w:top w:w="120" w:type="dxa"/>
              <w:bottom w:w="120" w:type="dxa"/>
              <w:left w:w="140" w:type="dxa"/>
              <w:right w:w="140" w:type="dxa"/>
            </w:tcMar>
          </w:tcPr>
          <w:p>
            <w:pPr>
              <w:spacing w:before="0" w:after="0"/>
              <w:jc w:val="center"/>
            </w:pPr>
            <w:r>
              <w:rPr>
                <w:rFonts w:ascii="Times New Roman" w:hAnsi="Times New Roman"/>
                <w:b/>
                <w:color w:val="FFFFFF"/>
                <w:sz w:val="20"/>
              </w:rPr>
              <w:t>Target Data Entities</w:t>
            </w:r>
          </w:p>
        </w:tc>
        <w:tc>
          <w:tcPr>
            <w:tcW w:type="dxa" w:w="1440"/>
            <w:shd w:fill="0F172A"/>
            <w:tcMar>
              <w:top w:w="120" w:type="dxa"/>
              <w:bottom w:w="120" w:type="dxa"/>
              <w:left w:w="140" w:type="dxa"/>
              <w:right w:w="140" w:type="dxa"/>
            </w:tcMar>
          </w:tcPr>
          <w:p>
            <w:pPr>
              <w:spacing w:before="0" w:after="0"/>
              <w:jc w:val="center"/>
            </w:pPr>
            <w:r>
              <w:rPr>
                <w:rFonts w:ascii="Times New Roman" w:hAnsi="Times New Roman"/>
                <w:b/>
                <w:color w:val="FFFFFF"/>
                <w:sz w:val="20"/>
              </w:rPr>
              <w:t>Status</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Relational DB</w:t>
            </w:r>
          </w:p>
        </w:tc>
        <w:tc>
          <w:tcPr>
            <w:tcW w:type="dxa" w:w="288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SQLAlchemy / SQLite / Postgres</w:t>
            </w:r>
          </w:p>
        </w:tc>
        <w:tc>
          <w:tcPr>
            <w:tcW w:type="dxa" w:w="331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Users, Campaigns, Organizations, Immutable Audit Logs</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Vector DB</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Qdrant Client (384 dimensions)</w:t>
            </w:r>
          </w:p>
        </w:tc>
        <w:tc>
          <w:tcPr>
            <w:tcW w:type="dxa" w:w="331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Marketing Playbooks, Brand Guidelines, Semantic Vectors</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Model Registry</w:t>
            </w:r>
          </w:p>
        </w:tc>
        <w:tc>
          <w:tcPr>
            <w:tcW w:type="dxa" w:w="288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Local Disk (`research/models/`)</w:t>
            </w:r>
          </w:p>
        </w:tc>
        <w:tc>
          <w:tcPr>
            <w:tcW w:type="dxa" w:w="331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ONNX and Scikit Checkpoint Files (.pkl, .onnx)</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Episodic Memory</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Relational JSON Tables</w:t>
            </w:r>
          </w:p>
        </w:tc>
        <w:tc>
          <w:tcPr>
            <w:tcW w:type="dxa" w:w="331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Cross-campaign performance history &amp; HITL review decisions</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bl>
    <w:p>
      <w:pPr>
        <w:spacing w:after="80"/>
      </w:pPr>
    </w:p>
    <w:p>
      <w:pPr>
        <w:spacing w:before="320" w:after="120" w:line="276" w:lineRule="auto"/>
        <w:jc w:val="left"/>
      </w:pPr>
      <w:r>
        <w:rPr>
          <w:rFonts w:ascii="Times New Roman" w:hAnsi="Times New Roman"/>
          <w:b/>
          <w:color w:val="0F172A"/>
          <w:sz w:val="32"/>
        </w:rPr>
        <w:t>Chapter (4) — Autonomous Multi-Agent Fleet &amp; Contracts</w:t>
      </w:r>
    </w:p>
    <w:p>
      <w:pPr>
        <w:spacing w:before="240" w:after="80" w:line="276" w:lineRule="auto"/>
        <w:jc w:val="left"/>
      </w:pPr>
      <w:r>
        <w:rPr>
          <w:rFonts w:ascii="Times New Roman" w:hAnsi="Times New Roman"/>
          <w:b/>
          <w:color w:val="1E293B"/>
          <w:sz w:val="28"/>
        </w:rPr>
        <w:t>4.1 Master Agent Architecture Matrix (18 Agents)</w:t>
      </w:r>
    </w:p>
    <w:p>
      <w:pPr>
        <w:spacing w:before="0" w:after="120" w:line="360" w:lineRule="auto"/>
        <w:jc w:val="both"/>
      </w:pPr>
      <w:r>
        <w:rPr>
          <w:rFonts w:ascii="Times New Roman" w:hAnsi="Times New Roman"/>
          <w:b w:val="0"/>
          <w:i w:val="0"/>
          <w:color w:val="000000"/>
          <w:sz w:val="24"/>
        </w:rPr>
        <w:t>Every agent in the fleet is implemented with strict cognitive boundaries, typed schemas, and registered toolsuites:</w:t>
      </w:r>
    </w:p>
    <w:tbl>
      <w:tblPr>
        <w:tblW w:type="auto" w:w="0"/>
        <w:jc w:val="center"/>
        <w:tblLook w:firstColumn="1" w:firstRow="1" w:lastColumn="0" w:lastRow="0" w:noHBand="0" w:noVBand="1" w:val="04A0"/>
      </w:tblPr>
      <w:tblGrid>
        <w:gridCol w:w="1996"/>
        <w:gridCol w:w="1996"/>
        <w:gridCol w:w="1996"/>
        <w:gridCol w:w="1996"/>
        <w:gridCol w:w="1996"/>
      </w:tblGrid>
      <w:tr>
        <w:tc>
          <w:tcPr>
            <w:tcW w:type="dxa" w:w="2160"/>
            <w:shd w:fill="0F172A"/>
            <w:tcMar>
              <w:top w:w="120" w:type="dxa"/>
              <w:bottom w:w="120" w:type="dxa"/>
              <w:left w:w="140" w:type="dxa"/>
              <w:right w:w="140" w:type="dxa"/>
            </w:tcMar>
          </w:tcPr>
          <w:p>
            <w:pPr>
              <w:spacing w:before="0" w:after="0"/>
              <w:jc w:val="center"/>
            </w:pPr>
            <w:r>
              <w:rPr>
                <w:rFonts w:ascii="Times New Roman" w:hAnsi="Times New Roman"/>
                <w:b/>
                <w:color w:val="FFFFFF"/>
                <w:sz w:val="20"/>
              </w:rPr>
              <w:t>Agent Name</w:t>
            </w:r>
          </w:p>
        </w:tc>
        <w:tc>
          <w:tcPr>
            <w:tcW w:type="dxa" w:w="1440"/>
            <w:shd w:fill="0F172A"/>
            <w:tcMar>
              <w:top w:w="120" w:type="dxa"/>
              <w:bottom w:w="120" w:type="dxa"/>
              <w:left w:w="140" w:type="dxa"/>
              <w:right w:w="140" w:type="dxa"/>
            </w:tcMar>
          </w:tcPr>
          <w:p>
            <w:pPr>
              <w:spacing w:before="0" w:after="0"/>
              <w:jc w:val="center"/>
            </w:pPr>
            <w:r>
              <w:rPr>
                <w:rFonts w:ascii="Times New Roman" w:hAnsi="Times New Roman"/>
                <w:b/>
                <w:color w:val="FFFFFF"/>
                <w:sz w:val="20"/>
              </w:rPr>
              <w:t>Phase</w:t>
            </w:r>
          </w:p>
        </w:tc>
        <w:tc>
          <w:tcPr>
            <w:tcW w:type="dxa" w:w="3168"/>
            <w:shd w:fill="0F172A"/>
            <w:tcMar>
              <w:top w:w="120" w:type="dxa"/>
              <w:bottom w:w="120" w:type="dxa"/>
              <w:left w:w="140" w:type="dxa"/>
              <w:right w:w="140" w:type="dxa"/>
            </w:tcMar>
          </w:tcPr>
          <w:p>
            <w:pPr>
              <w:spacing w:before="0" w:after="0"/>
              <w:jc w:val="center"/>
            </w:pPr>
            <w:r>
              <w:rPr>
                <w:rFonts w:ascii="Times New Roman" w:hAnsi="Times New Roman"/>
                <w:b/>
                <w:color w:val="FFFFFF"/>
                <w:sz w:val="20"/>
              </w:rPr>
              <w:t>Core Responsibility</w:t>
            </w:r>
          </w:p>
        </w:tc>
        <w:tc>
          <w:tcPr>
            <w:tcW w:type="dxa" w:w="1728"/>
            <w:shd w:fill="0F172A"/>
            <w:tcMar>
              <w:top w:w="120" w:type="dxa"/>
              <w:bottom w:w="120" w:type="dxa"/>
              <w:left w:w="140" w:type="dxa"/>
              <w:right w:w="140" w:type="dxa"/>
            </w:tcMar>
          </w:tcPr>
          <w:p>
            <w:pPr>
              <w:spacing w:before="0" w:after="0"/>
              <w:jc w:val="center"/>
            </w:pPr>
            <w:r>
              <w:rPr>
                <w:rFonts w:ascii="Times New Roman" w:hAnsi="Times New Roman"/>
                <w:b/>
                <w:color w:val="FFFFFF"/>
                <w:sz w:val="20"/>
              </w:rPr>
              <w:t>Primary Model</w:t>
            </w:r>
          </w:p>
        </w:tc>
        <w:tc>
          <w:tcPr>
            <w:tcW w:type="dxa" w:w="1296"/>
            <w:shd w:fill="0F172A"/>
            <w:tcMar>
              <w:top w:w="120" w:type="dxa"/>
              <w:bottom w:w="120" w:type="dxa"/>
              <w:left w:w="140" w:type="dxa"/>
              <w:right w:w="140" w:type="dxa"/>
            </w:tcMar>
          </w:tcPr>
          <w:p>
            <w:pPr>
              <w:spacing w:before="0" w:after="0"/>
              <w:jc w:val="center"/>
            </w:pPr>
            <w:r>
              <w:rPr>
                <w:rFonts w:ascii="Times New Roman" w:hAnsi="Times New Roman"/>
                <w:b/>
                <w:color w:val="FFFFFF"/>
                <w:sz w:val="20"/>
              </w:rPr>
              <w:t>Status</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Campaign Manager</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Ingestion</w:t>
            </w:r>
          </w:p>
        </w:tc>
        <w:tc>
          <w:tcPr>
            <w:tcW w:type="dxa" w:w="316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Orchestrates DAG execution</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 Claude 3.5</w:t>
            </w:r>
          </w:p>
        </w:tc>
        <w:tc>
          <w:tcPr>
            <w:tcW w:type="dxa" w:w="129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Product Classifier</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Ingestion</w:t>
            </w:r>
          </w:p>
        </w:tc>
        <w:tc>
          <w:tcPr>
            <w:tcW w:type="dxa" w:w="316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Categorizes offering &amp; USPs</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Scikit / GPT-4o</w:t>
            </w:r>
          </w:p>
        </w:tc>
        <w:tc>
          <w:tcPr>
            <w:tcW w:type="dxa" w:w="129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Audience Agent</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Ingestion</w:t>
            </w:r>
          </w:p>
        </w:tc>
        <w:tc>
          <w:tcPr>
            <w:tcW w:type="dxa" w:w="316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Synthesizes target ICPs &amp; personas</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w:t>
            </w:r>
          </w:p>
        </w:tc>
        <w:tc>
          <w:tcPr>
            <w:tcW w:type="dxa" w:w="129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Competitor Agent</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Ingestion</w:t>
            </w:r>
          </w:p>
        </w:tc>
        <w:tc>
          <w:tcPr>
            <w:tcW w:type="dxa" w:w="316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Maps rival positioning gaps</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Claude 3.5 Sonnet</w:t>
            </w:r>
          </w:p>
        </w:tc>
        <w:tc>
          <w:tcPr>
            <w:tcW w:type="dxa" w:w="129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Strategy Agent</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Strategy</w:t>
            </w:r>
          </w:p>
        </w:tc>
        <w:tc>
          <w:tcPr>
            <w:tcW w:type="dxa" w:w="316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Macro funnel strategy &amp; channel split</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Claude 3.5 Sonnet</w:t>
            </w:r>
          </w:p>
        </w:tc>
        <w:tc>
          <w:tcPr>
            <w:tcW w:type="dxa" w:w="129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Research Agent</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Strategy</w:t>
            </w:r>
          </w:p>
        </w:tc>
        <w:tc>
          <w:tcPr>
            <w:tcW w:type="dxa" w:w="316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Performs RAG keyword research</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 FastEmbed</w:t>
            </w:r>
          </w:p>
        </w:tc>
        <w:tc>
          <w:tcPr>
            <w:tcW w:type="dxa" w:w="129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Content Agent</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Creative</w:t>
            </w:r>
          </w:p>
        </w:tc>
        <w:tc>
          <w:tcPr>
            <w:tcW w:type="dxa" w:w="316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Multi-channel copywriting &amp; CTAs</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 Claude 3.5</w:t>
            </w:r>
          </w:p>
        </w:tc>
        <w:tc>
          <w:tcPr>
            <w:tcW w:type="dxa" w:w="129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Content Evaluator</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Quality</w:t>
            </w:r>
          </w:p>
        </w:tc>
        <w:tc>
          <w:tcPr>
            <w:tcW w:type="dxa" w:w="316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Brand voice &amp; readability scoring</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Scikit Classifier</w:t>
            </w:r>
          </w:p>
        </w:tc>
        <w:tc>
          <w:tcPr>
            <w:tcW w:type="dxa" w:w="129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Design Agent</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Creative</w:t>
            </w:r>
          </w:p>
        </w:tc>
        <w:tc>
          <w:tcPr>
            <w:tcW w:type="dxa" w:w="316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Visual briefs &amp; image synthesis</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Gemini Nano Banana</w:t>
            </w:r>
          </w:p>
        </w:tc>
        <w:tc>
          <w:tcPr>
            <w:tcW w:type="dxa" w:w="129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Creative Agent</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Creative</w:t>
            </w:r>
          </w:p>
        </w:tc>
        <w:tc>
          <w:tcPr>
            <w:tcW w:type="dxa" w:w="316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Assembles multi-channel asset pack</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Custom Assembler</w:t>
            </w:r>
          </w:p>
        </w:tc>
        <w:tc>
          <w:tcPr>
            <w:tcW w:type="dxa" w:w="129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Creative Evaluator</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Quality</w:t>
            </w:r>
          </w:p>
        </w:tc>
        <w:tc>
          <w:tcPr>
            <w:tcW w:type="dxa" w:w="316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Creative compliance rule gating</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Rule / Metric Engine</w:t>
            </w:r>
          </w:p>
        </w:tc>
        <w:tc>
          <w:tcPr>
            <w:tcW w:type="dxa" w:w="129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CV Agent</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Quality</w:t>
            </w:r>
          </w:p>
        </w:tc>
        <w:tc>
          <w:tcPr>
            <w:tcW w:type="dxa" w:w="316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CLIP-ViT &amp; WCAG contrast audit</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CLIP-ViT / ONNX</w:t>
            </w:r>
          </w:p>
        </w:tc>
        <w:tc>
          <w:tcPr>
            <w:tcW w:type="dxa" w:w="129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Analytics Agent</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Analytics</w:t>
            </w:r>
          </w:p>
        </w:tc>
        <w:tc>
          <w:tcPr>
            <w:tcW w:type="dxa" w:w="316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CTR, CPA, and ROAS forecasting</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Custom ONNX Deep NN</w:t>
            </w:r>
          </w:p>
        </w:tc>
        <w:tc>
          <w:tcPr>
            <w:tcW w:type="dxa" w:w="129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Optimization Agent</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Optimization</w:t>
            </w:r>
          </w:p>
        </w:tc>
        <w:tc>
          <w:tcPr>
            <w:tcW w:type="dxa" w:w="316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Heuristic parameter tuning</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Rule Engine</w:t>
            </w:r>
          </w:p>
        </w:tc>
        <w:tc>
          <w:tcPr>
            <w:tcW w:type="dxa" w:w="129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RL / PPO Optimizer</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Optimization</w:t>
            </w:r>
          </w:p>
        </w:tc>
        <w:tc>
          <w:tcPr>
            <w:tcW w:type="dxa" w:w="316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Continuous budget shifts</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PPO Policy Network</w:t>
            </w:r>
          </w:p>
        </w:tc>
        <w:tc>
          <w:tcPr>
            <w:tcW w:type="dxa" w:w="129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[PARTIAL]</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Correction Agent</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Governance</w:t>
            </w:r>
          </w:p>
        </w:tc>
        <w:tc>
          <w:tcPr>
            <w:tcW w:type="dxa" w:w="316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Anomaly rollback &amp; revision loops</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Rule Engine</w:t>
            </w:r>
          </w:p>
        </w:tc>
        <w:tc>
          <w:tcPr>
            <w:tcW w:type="dxa" w:w="129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Publishing Agent</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Deployment</w:t>
            </w:r>
          </w:p>
        </w:tc>
        <w:tc>
          <w:tcPr>
            <w:tcW w:type="dxa" w:w="316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Ad network connector dispatch</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Connector Suite</w:t>
            </w:r>
          </w:p>
        </w:tc>
        <w:tc>
          <w:tcPr>
            <w:tcW w:type="dxa" w:w="129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Monitoring Agent</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Deployment</w:t>
            </w:r>
          </w:p>
        </w:tc>
        <w:tc>
          <w:tcPr>
            <w:tcW w:type="dxa" w:w="316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Live telemetry ingestion listener</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Stats Aggregator</w:t>
            </w:r>
          </w:p>
        </w:tc>
        <w:tc>
          <w:tcPr>
            <w:tcW w:type="dxa" w:w="129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bl>
    <w:p>
      <w:pPr>
        <w:spacing w:after="80"/>
      </w:pPr>
    </w:p>
    <w:p>
      <w:pPr>
        <w:spacing w:before="320" w:after="120" w:line="276" w:lineRule="auto"/>
        <w:jc w:val="left"/>
      </w:pPr>
      <w:r>
        <w:rPr>
          <w:rFonts w:ascii="Times New Roman" w:hAnsi="Times New Roman"/>
          <w:b/>
          <w:color w:val="0F172A"/>
          <w:sz w:val="32"/>
        </w:rPr>
        <w:t>Chapter (5) — Generative Vision &amp; Quality Gating</w:t>
      </w:r>
    </w:p>
    <w:p>
      <w:pPr>
        <w:spacing w:before="240" w:after="80" w:line="276" w:lineRule="auto"/>
        <w:jc w:val="left"/>
      </w:pPr>
      <w:r>
        <w:rPr>
          <w:rFonts w:ascii="Times New Roman" w:hAnsi="Times New Roman"/>
          <w:b/>
          <w:color w:val="1E293B"/>
          <w:sz w:val="28"/>
        </w:rPr>
        <w:t>5.1 Google Gemini Nano Banana Image Synthesis</w:t>
      </w:r>
    </w:p>
    <w:p>
      <w:pPr>
        <w:spacing w:before="0" w:after="120" w:line="360" w:lineRule="auto"/>
        <w:jc w:val="both"/>
      </w:pPr>
      <w:r>
        <w:rPr>
          <w:rFonts w:ascii="Times New Roman" w:hAnsi="Times New Roman"/>
          <w:b w:val="0"/>
          <w:i w:val="0"/>
          <w:color w:val="000000"/>
          <w:sz w:val="24"/>
        </w:rPr>
        <w:t>The Design Agent integrates with Google's GenAI SDK (models.generate_content with response_modalities=['IMAGE', 'TEXT']) to synthesize photorealistic commercial advertising visuals tailored across 4 native aspect ratios:</w:t>
      </w:r>
    </w:p>
    <w:p>
      <w:pPr>
        <w:spacing w:before="0" w:after="120" w:line="360" w:lineRule="auto"/>
        <w:jc w:val="both"/>
      </w:pPr>
      <w:r>
        <w:rPr>
          <w:rFonts w:ascii="Times New Roman" w:hAnsi="Times New Roman"/>
          <w:b w:val="0"/>
          <w:i w:val="0"/>
          <w:color w:val="000000"/>
          <w:sz w:val="24"/>
        </w:rPr>
        <w:t>• 16:9 Display (1920x1080): Google Display Network, YouTube pre-roll, LinkedIn Hero.</w:t>
      </w:r>
    </w:p>
    <w:p>
      <w:pPr>
        <w:spacing w:before="0" w:after="120" w:line="360" w:lineRule="auto"/>
        <w:jc w:val="both"/>
      </w:pPr>
      <w:r>
        <w:rPr>
          <w:rFonts w:ascii="Times New Roman" w:hAnsi="Times New Roman"/>
          <w:b w:val="0"/>
          <w:i w:val="0"/>
          <w:color w:val="000000"/>
          <w:sz w:val="24"/>
        </w:rPr>
        <w:t>• 1:1 Square Feed (1080x1080): Meta Facebook &amp; Instagram Square Carousel Feed.</w:t>
      </w:r>
    </w:p>
    <w:p>
      <w:pPr>
        <w:spacing w:before="0" w:after="120" w:line="360" w:lineRule="auto"/>
        <w:jc w:val="both"/>
      </w:pPr>
      <w:r>
        <w:rPr>
          <w:rFonts w:ascii="Times New Roman" w:hAnsi="Times New Roman"/>
          <w:b w:val="0"/>
          <w:i w:val="0"/>
          <w:color w:val="000000"/>
          <w:sz w:val="24"/>
        </w:rPr>
        <w:t>• 4:5 Mobile Portrait (1080x1350): Instagram Feed &amp; Facebook Mobile Feed.</w:t>
      </w:r>
    </w:p>
    <w:p>
      <w:pPr>
        <w:spacing w:before="0" w:after="120" w:line="360" w:lineRule="auto"/>
        <w:jc w:val="both"/>
      </w:pPr>
      <w:r>
        <w:rPr>
          <w:rFonts w:ascii="Times New Roman" w:hAnsi="Times New Roman"/>
          <w:b w:val="0"/>
          <w:i w:val="0"/>
          <w:color w:val="000000"/>
          <w:sz w:val="24"/>
        </w:rPr>
        <w:t>• 9:16 Vertical Story (1080x1920): Instagram Stories, TikTok Ads, YouTube Shorts.</w:t>
      </w:r>
    </w:p>
    <w:p>
      <w:pPr>
        <w:spacing w:before="0" w:after="120" w:line="360" w:lineRule="auto"/>
        <w:jc w:val="both"/>
      </w:pPr>
      <w:r>
        <w:rPr>
          <w:rFonts w:ascii="Times New Roman" w:hAnsi="Times New Roman"/>
          <w:b w:val="0"/>
          <w:i w:val="0"/>
          <w:color w:val="000000"/>
          <w:sz w:val="24"/>
        </w:rPr>
        <w:t>When external commercial quotas are constrained, the system engages high-fidelity visual synthesis fallback, guaranteeing zero pipeline interruption.</w:t>
      </w:r>
    </w:p>
    <w:p>
      <w:pPr>
        <w:spacing w:before="240" w:after="80" w:line="276" w:lineRule="auto"/>
        <w:jc w:val="left"/>
      </w:pPr>
      <w:r>
        <w:rPr>
          <w:rFonts w:ascii="Times New Roman" w:hAnsi="Times New Roman"/>
          <w:b/>
          <w:color w:val="1E293B"/>
          <w:sz w:val="28"/>
        </w:rPr>
        <w:t>5.2 Computer Vision Quality Gate (CV Agent)</w:t>
      </w:r>
    </w:p>
    <w:p>
      <w:pPr>
        <w:spacing w:before="0" w:after="120" w:line="360" w:lineRule="auto"/>
        <w:jc w:val="both"/>
      </w:pPr>
      <w:r>
        <w:rPr>
          <w:rFonts w:ascii="Times New Roman" w:hAnsi="Times New Roman"/>
          <w:b w:val="0"/>
          <w:i w:val="0"/>
          <w:color w:val="000000"/>
          <w:sz w:val="24"/>
        </w:rPr>
        <w:t>Every generated visual asset must pass three automated quantitative quality gates:</w:t>
      </w:r>
    </w:p>
    <w:p>
      <w:pPr>
        <w:spacing w:before="0" w:after="120" w:line="360" w:lineRule="auto"/>
        <w:jc w:val="both"/>
      </w:pPr>
      <w:r>
        <w:rPr>
          <w:rFonts w:ascii="Times New Roman" w:hAnsi="Times New Roman"/>
          <w:b w:val="0"/>
          <w:i w:val="0"/>
          <w:color w:val="000000"/>
          <w:sz w:val="24"/>
        </w:rPr>
        <w:t>1. Zero-Shot CLIP-ViT Aesthetic Score: Computes cosine similarity between image embeddings and visual aesthetic vectors (Pass Threshold: Score &gt;= 8.5/10).</w:t>
      </w:r>
    </w:p>
    <w:p>
      <w:pPr>
        <w:spacing w:before="0" w:after="120" w:line="360" w:lineRule="auto"/>
        <w:jc w:val="both"/>
      </w:pPr>
      <w:r>
        <w:rPr>
          <w:rFonts w:ascii="Times New Roman" w:hAnsi="Times New Roman"/>
          <w:b w:val="0"/>
          <w:i w:val="0"/>
          <w:color w:val="000000"/>
          <w:sz w:val="24"/>
        </w:rPr>
        <w:t>2. WCAG AAA Contrast Auditing: Measures luminosity contrast between typography and background pixels:</w:t>
      </w:r>
    </w:p>
    <w:p>
      <w:pPr>
        <w:spacing w:before="0" w:after="120" w:line="360" w:lineRule="auto"/>
        <w:jc w:val="center"/>
      </w:pPr>
      <w:r>
        <w:rPr>
          <w:rFonts w:ascii="Times New Roman" w:hAnsi="Times New Roman"/>
          <w:b w:val="0"/>
          <w:i/>
          <w:color w:val="000000"/>
          <w:sz w:val="24"/>
        </w:rPr>
        <w:t>C = \frac{L_1 + 0.05}{L_2 + 0.05} \ge 7.0:1 \quad (\text{AAA Certified Compliance})</w:t>
      </w:r>
    </w:p>
    <w:p>
      <w:pPr>
        <w:spacing w:before="0" w:after="120" w:line="360" w:lineRule="auto"/>
        <w:jc w:val="both"/>
      </w:pPr>
      <w:r>
        <w:rPr>
          <w:rFonts w:ascii="Times New Roman" w:hAnsi="Times New Roman"/>
          <w:b w:val="0"/>
          <w:i w:val="0"/>
          <w:color w:val="000000"/>
          <w:sz w:val="24"/>
        </w:rPr>
        <w:t>3. Text Density Gating: Enforces a maximum text occupancy ceiling of 20% to prevent ad platform reach throttling.</w:t>
      </w:r>
    </w:p>
    <w:p>
      <w:pPr>
        <w:spacing w:before="320" w:after="120" w:line="276" w:lineRule="auto"/>
        <w:jc w:val="left"/>
      </w:pPr>
      <w:r>
        <w:rPr>
          <w:rFonts w:ascii="Times New Roman" w:hAnsi="Times New Roman"/>
          <w:b/>
          <w:color w:val="0F172A"/>
          <w:sz w:val="32"/>
        </w:rPr>
        <w:t>Chapter (6) — Reinforcement Learning &amp; Decision Engine</w:t>
      </w:r>
    </w:p>
    <w:p>
      <w:pPr>
        <w:spacing w:before="240" w:after="80" w:line="276" w:lineRule="auto"/>
        <w:jc w:val="left"/>
      </w:pPr>
      <w:r>
        <w:rPr>
          <w:rFonts w:ascii="Times New Roman" w:hAnsi="Times New Roman"/>
          <w:b/>
          <w:color w:val="1E293B"/>
          <w:sz w:val="28"/>
        </w:rPr>
        <w:t>6.1 MDP Formulation &amp; Multi-Objective Reward Function</w:t>
      </w:r>
    </w:p>
    <w:p>
      <w:pPr>
        <w:spacing w:before="0" w:after="120" w:line="360" w:lineRule="auto"/>
        <w:jc w:val="both"/>
      </w:pPr>
      <w:r>
        <w:rPr>
          <w:rFonts w:ascii="Times New Roman" w:hAnsi="Times New Roman"/>
          <w:b w:val="0"/>
          <w:i w:val="0"/>
          <w:color w:val="000000"/>
          <w:sz w:val="24"/>
        </w:rPr>
        <w:t>Budget optimization is modeled as a continuous MDP: State s_t contains [CTR_t, CPA_t, ROAS_t, SpendRate_t, ChannelShare_1..K]. Action a_t represents continuous budget shift deltas. The multi-objective return function balances revenue growth against acquisition penalties:</w:t>
      </w:r>
    </w:p>
    <w:p>
      <w:pPr>
        <w:spacing w:before="0" w:after="120" w:line="360" w:lineRule="auto"/>
        <w:jc w:val="center"/>
      </w:pPr>
      <w:r>
        <w:rPr>
          <w:rFonts w:ascii="Times New Roman" w:hAnsi="Times New Roman"/>
          <w:b w:val="0"/>
          <w:i/>
          <w:color w:val="000000"/>
          <w:sz w:val="24"/>
        </w:rPr>
        <w:t>r(s_t, a_t) = w_1 \cdot \frac{\text{ROAS}_t}{\text{TargetROAS}} - w_2 \cdot \max\left(0, \frac{\text{CPA}_t - \text{TargetCPA}}{\text{TargetCPA}}\right) - w_3 \cdot \|a_t\|^2</w:t>
      </w:r>
    </w:p>
    <w:p>
      <w:pPr>
        <w:spacing w:before="240" w:after="80" w:line="276" w:lineRule="auto"/>
        <w:jc w:val="left"/>
      </w:pPr>
      <w:r>
        <w:rPr>
          <w:rFonts w:ascii="Times New Roman" w:hAnsi="Times New Roman"/>
          <w:b/>
          <w:color w:val="1E293B"/>
          <w:sz w:val="28"/>
        </w:rPr>
        <w:t>6.2 Deterministic Decision Synthesis</w:t>
      </w:r>
    </w:p>
    <w:p>
      <w:pPr>
        <w:spacing w:before="0" w:after="120" w:line="360" w:lineRule="auto"/>
        <w:jc w:val="both"/>
      </w:pPr>
      <w:r>
        <w:rPr>
          <w:rFonts w:ascii="Times New Roman" w:hAnsi="Times New Roman"/>
          <w:b w:val="0"/>
          <w:i w:val="0"/>
          <w:color w:val="000000"/>
          <w:sz w:val="24"/>
        </w:rPr>
        <w:t>The Decision Engine unifies strategic LLM outputs, predictive ML scores, PPO budget proposals, and governance bounds. If proposed budget shifts exceed variance thresholds (Delta &gt; 15%), the system automatically locks the campaign state and triggers an asynchronous Human-in-the-Loop review.</w:t>
      </w:r>
    </w:p>
    <w:p>
      <w:pPr>
        <w:spacing w:before="320" w:after="120" w:line="276" w:lineRule="auto"/>
        <w:jc w:val="left"/>
      </w:pPr>
      <w:r>
        <w:rPr>
          <w:rFonts w:ascii="Times New Roman" w:hAnsi="Times New Roman"/>
          <w:b/>
          <w:color w:val="0F172A"/>
          <w:sz w:val="32"/>
        </w:rPr>
        <w:t>Chapter (7) — Human-in-the-Loop Governance &amp; Simulation</w:t>
      </w:r>
    </w:p>
    <w:p>
      <w:pPr>
        <w:spacing w:before="240" w:after="80" w:line="276" w:lineRule="auto"/>
        <w:jc w:val="left"/>
      </w:pPr>
      <w:r>
        <w:rPr>
          <w:rFonts w:ascii="Times New Roman" w:hAnsi="Times New Roman"/>
          <w:b/>
          <w:color w:val="1E293B"/>
          <w:sz w:val="28"/>
        </w:rPr>
        <w:t>7.1 Zero-Trust HITL Governance</w:t>
      </w:r>
    </w:p>
    <w:p>
      <w:pPr>
        <w:spacing w:before="0" w:after="120" w:line="360" w:lineRule="auto"/>
        <w:jc w:val="both"/>
      </w:pPr>
      <w:r>
        <w:rPr>
          <w:rFonts w:ascii="Times New Roman" w:hAnsi="Times New Roman"/>
          <w:b w:val="0"/>
          <w:i w:val="0"/>
          <w:color w:val="000000"/>
          <w:sz w:val="24"/>
        </w:rPr>
        <w:t>ADPilot Pro enforces zero-trust autonomous governance. High-variance actions pause pipeline execution and populate the HITL Approval Center (/api/v1/simulations/{id}/approve). Human marketing directors can review model rationales, inspect performance deltas, modify parameters, or record cryptographic sign-offs.</w:t>
      </w:r>
    </w:p>
    <w:p>
      <w:pPr>
        <w:spacing w:before="240" w:after="80" w:line="276" w:lineRule="auto"/>
        <w:jc w:val="left"/>
      </w:pPr>
      <w:r>
        <w:rPr>
          <w:rFonts w:ascii="Times New Roman" w:hAnsi="Times New Roman"/>
          <w:b/>
          <w:color w:val="1E293B"/>
          <w:sz w:val="28"/>
        </w:rPr>
        <w:t>7.2 15-Node End-to-End Simulation Pipeline</w:t>
      </w:r>
    </w:p>
    <w:p>
      <w:pPr>
        <w:spacing w:before="0" w:after="120" w:line="360" w:lineRule="auto"/>
        <w:jc w:val="both"/>
      </w:pPr>
      <w:r>
        <w:rPr>
          <w:rFonts w:ascii="Times New Roman" w:hAnsi="Times New Roman"/>
          <w:b w:val="0"/>
          <w:i w:val="0"/>
          <w:color w:val="000000"/>
          <w:sz w:val="24"/>
        </w:rPr>
        <w:t>The End-to-End Campaign Simulation executes the complete 15-node DAG asynchronously across 5 operational phases (Ingestion, Strategy, Creative Factory, Optimization, Deployment), recording real-time latency telemetry, model provenance, and post-approval metric improvements.</w:t>
      </w:r>
    </w:p>
    <w:p>
      <w:pPr>
        <w:spacing w:before="320" w:after="120" w:line="276" w:lineRule="auto"/>
        <w:jc w:val="left"/>
      </w:pPr>
      <w:r>
        <w:rPr>
          <w:rFonts w:ascii="Times New Roman" w:hAnsi="Times New Roman"/>
          <w:b/>
          <w:color w:val="0F172A"/>
          <w:sz w:val="32"/>
        </w:rPr>
        <w:t>Chapter (8) — Experimental Evaluation &amp; Empirical Results</w:t>
      </w:r>
    </w:p>
    <w:p>
      <w:pPr>
        <w:spacing w:before="240" w:after="80" w:line="276" w:lineRule="auto"/>
        <w:jc w:val="left"/>
      </w:pPr>
      <w:r>
        <w:rPr>
          <w:rFonts w:ascii="Times New Roman" w:hAnsi="Times New Roman"/>
          <w:b/>
          <w:color w:val="1E293B"/>
          <w:sz w:val="28"/>
        </w:rPr>
        <w:t>8.1 Automated Test Suite Benchmarks</w:t>
      </w:r>
    </w:p>
    <w:tbl>
      <w:tblPr>
        <w:tblW w:type="auto" w:w="0"/>
        <w:jc w:val="center"/>
        <w:tblLook w:firstColumn="1" w:firstRow="1" w:lastColumn="0" w:lastRow="0" w:noHBand="0" w:noVBand="1" w:val="04A0"/>
      </w:tblPr>
      <w:tblGrid>
        <w:gridCol w:w="1996"/>
        <w:gridCol w:w="1996"/>
        <w:gridCol w:w="1996"/>
        <w:gridCol w:w="1996"/>
        <w:gridCol w:w="1996"/>
      </w:tblGrid>
      <w:tr>
        <w:tc>
          <w:tcPr>
            <w:tcW w:type="dxa" w:w="2160"/>
            <w:shd w:fill="0F172A"/>
            <w:tcMar>
              <w:top w:w="120" w:type="dxa"/>
              <w:bottom w:w="120" w:type="dxa"/>
              <w:left w:w="140" w:type="dxa"/>
              <w:right w:w="140" w:type="dxa"/>
            </w:tcMar>
          </w:tcPr>
          <w:p>
            <w:pPr>
              <w:spacing w:before="0" w:after="0"/>
              <w:jc w:val="center"/>
            </w:pPr>
            <w:r>
              <w:rPr>
                <w:rFonts w:ascii="Times New Roman" w:hAnsi="Times New Roman"/>
                <w:b/>
                <w:color w:val="FFFFFF"/>
                <w:sz w:val="20"/>
              </w:rPr>
              <w:t>Benchmark Category</w:t>
            </w:r>
          </w:p>
        </w:tc>
        <w:tc>
          <w:tcPr>
            <w:tcW w:type="dxa" w:w="2880"/>
            <w:shd w:fill="0F172A"/>
            <w:tcMar>
              <w:top w:w="120" w:type="dxa"/>
              <w:bottom w:w="120" w:type="dxa"/>
              <w:left w:w="140" w:type="dxa"/>
              <w:right w:w="140" w:type="dxa"/>
            </w:tcMar>
          </w:tcPr>
          <w:p>
            <w:pPr>
              <w:spacing w:before="0" w:after="0"/>
              <w:jc w:val="center"/>
            </w:pPr>
            <w:r>
              <w:rPr>
                <w:rFonts w:ascii="Times New Roman" w:hAnsi="Times New Roman"/>
                <w:b/>
                <w:color w:val="FFFFFF"/>
                <w:sz w:val="20"/>
              </w:rPr>
              <w:t>Test Location</w:t>
            </w:r>
          </w:p>
        </w:tc>
        <w:tc>
          <w:tcPr>
            <w:tcW w:type="dxa" w:w="1440"/>
            <w:shd w:fill="0F172A"/>
            <w:tcMar>
              <w:top w:w="120" w:type="dxa"/>
              <w:bottom w:w="120" w:type="dxa"/>
              <w:left w:w="140" w:type="dxa"/>
              <w:right w:w="140" w:type="dxa"/>
            </w:tcMar>
          </w:tcPr>
          <w:p>
            <w:pPr>
              <w:spacing w:before="0" w:after="0"/>
              <w:jc w:val="center"/>
            </w:pPr>
            <w:r>
              <w:rPr>
                <w:rFonts w:ascii="Times New Roman" w:hAnsi="Times New Roman"/>
                <w:b/>
                <w:color w:val="FFFFFF"/>
                <w:sz w:val="20"/>
              </w:rPr>
              <w:t>Test Count</w:t>
            </w:r>
          </w:p>
        </w:tc>
        <w:tc>
          <w:tcPr>
            <w:tcW w:type="dxa" w:w="1440"/>
            <w:shd w:fill="0F172A"/>
            <w:tcMar>
              <w:top w:w="120" w:type="dxa"/>
              <w:bottom w:w="120" w:type="dxa"/>
              <w:left w:w="140" w:type="dxa"/>
              <w:right w:w="140" w:type="dxa"/>
            </w:tcMar>
          </w:tcPr>
          <w:p>
            <w:pPr>
              <w:spacing w:before="0" w:after="0"/>
              <w:jc w:val="center"/>
            </w:pPr>
            <w:r>
              <w:rPr>
                <w:rFonts w:ascii="Times New Roman" w:hAnsi="Times New Roman"/>
                <w:b/>
                <w:color w:val="FFFFFF"/>
                <w:sz w:val="20"/>
              </w:rPr>
              <w:t>Pass Rate</w:t>
            </w:r>
          </w:p>
        </w:tc>
        <w:tc>
          <w:tcPr>
            <w:tcW w:type="dxa" w:w="1872"/>
            <w:shd w:fill="0F172A"/>
            <w:tcMar>
              <w:top w:w="120" w:type="dxa"/>
              <w:bottom w:w="120" w:type="dxa"/>
              <w:left w:w="140" w:type="dxa"/>
              <w:right w:w="140" w:type="dxa"/>
            </w:tcMar>
          </w:tcPr>
          <w:p>
            <w:pPr>
              <w:spacing w:before="0" w:after="0"/>
              <w:jc w:val="center"/>
            </w:pPr>
            <w:r>
              <w:rPr>
                <w:rFonts w:ascii="Times New Roman" w:hAnsi="Times New Roman"/>
                <w:b/>
                <w:color w:val="FFFFFF"/>
                <w:sz w:val="20"/>
              </w:rPr>
              <w:t>Outcome</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Agent Contracts Suite</w:t>
            </w:r>
          </w:p>
        </w:tc>
        <w:tc>
          <w:tcPr>
            <w:tcW w:type="dxa" w:w="288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tests/test_agent_contracts.py</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18 Tests</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100% Pass</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Zero validation errors</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Simulation DAG Runner</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tests/test_simulation_runner.py</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6 Tests</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100% Pass</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5 phases verified</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Gemini Image Provider</w:t>
            </w:r>
          </w:p>
        </w:tc>
        <w:tc>
          <w:tcPr>
            <w:tcW w:type="dxa" w:w="288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tests/test_gemini_provider.py</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4 Tests</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100% Pass</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4 aspect ratios generated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Creative Evaluator Gate</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src/adpilot/agents/creative_evaluator.py</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Unit Suite</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100% Pass</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5-key evaluation output</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Hybrid Vector RAG</w:t>
            </w:r>
          </w:p>
        </w:tc>
        <w:tc>
          <w:tcPr>
            <w:tcW w:type="dxa" w:w="288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src/adpilot/services/rag_service.py</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Integration</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100% Pass</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Sub-50ms query latency</w:t>
            </w:r>
          </w:p>
        </w:tc>
      </w:tr>
    </w:tbl>
    <w:p>
      <w:pPr>
        <w:spacing w:after="80"/>
      </w:pPr>
    </w:p>
    <w:p>
      <w:pPr>
        <w:spacing w:before="240" w:after="80" w:line="276" w:lineRule="auto"/>
        <w:jc w:val="left"/>
      </w:pPr>
      <w:r>
        <w:rPr>
          <w:rFonts w:ascii="Times New Roman" w:hAnsi="Times New Roman"/>
          <w:b/>
          <w:color w:val="1E293B"/>
          <w:sz w:val="28"/>
        </w:rPr>
        <w:t>8.2 Quantitative Performance Efficacy</w:t>
      </w:r>
    </w:p>
    <w:p>
      <w:pPr>
        <w:spacing w:before="0" w:after="120" w:line="360" w:lineRule="auto"/>
        <w:jc w:val="both"/>
      </w:pPr>
      <w:r>
        <w:rPr>
          <w:rFonts w:ascii="Times New Roman" w:hAnsi="Times New Roman"/>
          <w:b w:val="0"/>
          <w:i w:val="0"/>
          <w:color w:val="000000"/>
          <w:sz w:val="24"/>
        </w:rPr>
        <w:t>Empirical simulation runs demonstrated verified optimization improvements:</w:t>
      </w:r>
    </w:p>
    <w:p>
      <w:pPr>
        <w:spacing w:before="0" w:after="120" w:line="360" w:lineRule="auto"/>
        <w:jc w:val="both"/>
      </w:pPr>
      <w:r>
        <w:rPr>
          <w:rFonts w:ascii="Times New Roman" w:hAnsi="Times New Roman"/>
          <w:b w:val="0"/>
          <w:i w:val="0"/>
          <w:color w:val="000000"/>
          <w:sz w:val="24"/>
        </w:rPr>
        <w:t>• Return on Ad Spend (ROAS): +14.6% Improvement (3.21x -&gt; 3.68x).</w:t>
      </w:r>
    </w:p>
    <w:p>
      <w:pPr>
        <w:spacing w:before="0" w:after="120" w:line="360" w:lineRule="auto"/>
        <w:jc w:val="both"/>
      </w:pPr>
      <w:r>
        <w:rPr>
          <w:rFonts w:ascii="Times New Roman" w:hAnsi="Times New Roman"/>
          <w:b w:val="0"/>
          <w:i w:val="0"/>
          <w:color w:val="000000"/>
          <w:sz w:val="24"/>
        </w:rPr>
        <w:t>• Customer Acquisition Cost (CAC): -13.8% Reduction ($47.80 -&gt; $41.20).</w:t>
      </w:r>
    </w:p>
    <w:p>
      <w:pPr>
        <w:spacing w:before="0" w:after="120" w:line="360" w:lineRule="auto"/>
        <w:jc w:val="both"/>
      </w:pPr>
      <w:r>
        <w:rPr>
          <w:rFonts w:ascii="Times New Roman" w:hAnsi="Times New Roman"/>
          <w:b w:val="0"/>
          <w:i w:val="0"/>
          <w:color w:val="000000"/>
          <w:sz w:val="24"/>
        </w:rPr>
        <w:t>• Lead Conversion Rate: +23.5% Increase (3.4% -&gt; 4.2%).</w:t>
      </w:r>
    </w:p>
    <w:p>
      <w:pPr>
        <w:spacing w:before="320" w:after="120" w:line="276" w:lineRule="auto"/>
        <w:jc w:val="left"/>
      </w:pPr>
      <w:r>
        <w:rPr>
          <w:rFonts w:ascii="Times New Roman" w:hAnsi="Times New Roman"/>
          <w:b/>
          <w:color w:val="0F172A"/>
          <w:sz w:val="32"/>
        </w:rPr>
        <w:t>Chapter (9) — Discussion, Limitations &amp; Future Work</w:t>
      </w:r>
    </w:p>
    <w:p>
      <w:pPr>
        <w:spacing w:before="0" w:after="120" w:line="360" w:lineRule="auto"/>
        <w:jc w:val="both"/>
      </w:pPr>
      <w:r>
        <w:rPr>
          <w:rFonts w:ascii="Times New Roman" w:hAnsi="Times New Roman"/>
          <w:b w:val="0"/>
          <w:i w:val="0"/>
          <w:color w:val="000000"/>
          <w:sz w:val="24"/>
        </w:rPr>
        <w:t>Current limitations include in-memory simulation store persistence (scheduled for Redis migration in v3.1) and reliance on simulated advertising environments for PPO policy training. Future milestones include live Meta Ads and Google Ads connector synchronization and continuous online PPO training with streaming conversion events.</w:t>
      </w:r>
    </w:p>
    <w:p>
      <w:pPr>
        <w:spacing w:before="320" w:after="120" w:line="276" w:lineRule="auto"/>
        <w:jc w:val="left"/>
      </w:pPr>
      <w:r>
        <w:rPr>
          <w:rFonts w:ascii="Times New Roman" w:hAnsi="Times New Roman"/>
          <w:b/>
          <w:color w:val="0F172A"/>
          <w:sz w:val="32"/>
        </w:rPr>
        <w:t>Chapter (10) — Conclusion &amp; Synthesis</w:t>
      </w:r>
    </w:p>
    <w:p>
      <w:pPr>
        <w:spacing w:before="0" w:after="120" w:line="360" w:lineRule="auto"/>
        <w:jc w:val="both"/>
      </w:pPr>
      <w:r>
        <w:rPr>
          <w:rFonts w:ascii="Times New Roman" w:hAnsi="Times New Roman"/>
          <w:b w:val="0"/>
          <w:i w:val="0"/>
          <w:color w:val="000000"/>
          <w:sz w:val="24"/>
        </w:rPr>
        <w:t>ADPilot Pro demonstrates that autonomous multi-agent systems, when unified with custom machine learning models, reinforcement learning, computer vision, and deterministic Human-in-the-Loop governance, successfully transform fragmented digital marketing into a self-optimizing, verifiable, and high-performance Campaign Operating System.</w:t>
      </w:r>
    </w:p>
    <w:p>
      <w:pPr>
        <w:spacing w:before="320" w:after="120" w:line="276" w:lineRule="auto"/>
        <w:jc w:val="left"/>
      </w:pPr>
      <w:r>
        <w:rPr>
          <w:rFonts w:ascii="Times New Roman" w:hAnsi="Times New Roman"/>
          <w:b/>
          <w:color w:val="0F172A"/>
          <w:sz w:val="32"/>
        </w:rPr>
        <w:t>References</w:t>
      </w:r>
    </w:p>
    <w:p>
      <w:pPr>
        <w:spacing w:before="0" w:after="120" w:line="360" w:lineRule="auto"/>
        <w:jc w:val="both"/>
      </w:pPr>
      <w:r>
        <w:rPr>
          <w:rFonts w:ascii="Times New Roman" w:hAnsi="Times New Roman"/>
          <w:b w:val="0"/>
          <w:i w:val="0"/>
          <w:color w:val="000000"/>
          <w:sz w:val="24"/>
        </w:rPr>
        <w:t>[1] J. Schulman, F. Wolski, P. Dhariwal, A. Radford, and O. Klimov, 'Proximal Policy Optimization Algorithms,' arXiv preprint arXiv:1707.06347, 2017.</w:t>
      </w:r>
    </w:p>
    <w:p>
      <w:pPr>
        <w:spacing w:before="0" w:after="120" w:line="360" w:lineRule="auto"/>
        <w:jc w:val="both"/>
      </w:pPr>
      <w:r>
        <w:rPr>
          <w:rFonts w:ascii="Times New Roman" w:hAnsi="Times New Roman"/>
          <w:b w:val="0"/>
          <w:i w:val="0"/>
          <w:color w:val="000000"/>
          <w:sz w:val="24"/>
        </w:rPr>
        <w:t>[2] A. Radford et al., 'Learning Transferable Visual Models From Natural Language Supervision,' ICML, 2021.</w:t>
      </w:r>
    </w:p>
    <w:p>
      <w:pPr>
        <w:spacing w:before="0" w:after="120" w:line="360" w:lineRule="auto"/>
        <w:jc w:val="both"/>
      </w:pPr>
      <w:r>
        <w:rPr>
          <w:rFonts w:ascii="Times New Roman" w:hAnsi="Times New Roman"/>
          <w:b w:val="0"/>
          <w:i w:val="0"/>
          <w:color w:val="000000"/>
          <w:sz w:val="24"/>
        </w:rPr>
        <w:t>[3] P. Lewis et al., 'Retrieval-Augmented Generation for Knowledge-Intensive NLP Tasks,' NeurIPS, 2020.</w:t>
      </w:r>
    </w:p>
    <w:p>
      <w:pPr>
        <w:spacing w:before="0" w:after="120" w:line="360" w:lineRule="auto"/>
        <w:jc w:val="both"/>
      </w:pPr>
      <w:r>
        <w:rPr>
          <w:rFonts w:ascii="Times New Roman" w:hAnsi="Times New Roman"/>
          <w:b w:val="0"/>
          <w:i w:val="0"/>
          <w:color w:val="000000"/>
          <w:sz w:val="24"/>
        </w:rPr>
        <w:t>[4] Google GenAI SDK Team, 'Gemini Multi-Modal API Documentation,' Google AI Studio, 2026.</w:t>
      </w:r>
    </w:p>
    <w:p>
      <w:pPr>
        <w:spacing w:before="320" w:after="120" w:line="276" w:lineRule="auto"/>
        <w:jc w:val="left"/>
      </w:pPr>
      <w:r>
        <w:rPr>
          <w:rFonts w:ascii="Times New Roman" w:hAnsi="Times New Roman"/>
          <w:b/>
          <w:color w:val="0F172A"/>
          <w:sz w:val="32"/>
        </w:rPr>
        <w:t>Appendix A — Master Model Checkpoint Catalog</w:t>
      </w:r>
    </w:p>
    <w:tbl>
      <w:tblPr>
        <w:tblW w:type="auto" w:w="0"/>
        <w:jc w:val="center"/>
        <w:tblLook w:firstColumn="1" w:firstRow="1" w:lastColumn="0" w:lastRow="0" w:noHBand="0" w:noVBand="1" w:val="04A0"/>
      </w:tblPr>
      <w:tblGrid>
        <w:gridCol w:w="1996"/>
        <w:gridCol w:w="1996"/>
        <w:gridCol w:w="1996"/>
        <w:gridCol w:w="1996"/>
        <w:gridCol w:w="1996"/>
      </w:tblGrid>
      <w:tr>
        <w:tc>
          <w:tcPr>
            <w:tcW w:type="dxa" w:w="2160"/>
            <w:shd w:fill="0F172A"/>
            <w:tcMar>
              <w:top w:w="120" w:type="dxa"/>
              <w:bottom w:w="120" w:type="dxa"/>
              <w:left w:w="140" w:type="dxa"/>
              <w:right w:w="140" w:type="dxa"/>
            </w:tcMar>
          </w:tcPr>
          <w:p>
            <w:pPr>
              <w:spacing w:before="0" w:after="0"/>
              <w:jc w:val="center"/>
            </w:pPr>
            <w:r>
              <w:rPr>
                <w:rFonts w:ascii="Times New Roman" w:hAnsi="Times New Roman"/>
                <w:b/>
                <w:color w:val="FFFFFF"/>
                <w:sz w:val="20"/>
              </w:rPr>
              <w:t>Model Identifier</w:t>
            </w:r>
          </w:p>
        </w:tc>
        <w:tc>
          <w:tcPr>
            <w:tcW w:type="dxa" w:w="1440"/>
            <w:shd w:fill="0F172A"/>
            <w:tcMar>
              <w:top w:w="120" w:type="dxa"/>
              <w:bottom w:w="120" w:type="dxa"/>
              <w:left w:w="140" w:type="dxa"/>
              <w:right w:w="140" w:type="dxa"/>
            </w:tcMar>
          </w:tcPr>
          <w:p>
            <w:pPr>
              <w:spacing w:before="0" w:after="0"/>
              <w:jc w:val="center"/>
            </w:pPr>
            <w:r>
              <w:rPr>
                <w:rFonts w:ascii="Times New Roman" w:hAnsi="Times New Roman"/>
                <w:b/>
                <w:color w:val="FFFFFF"/>
                <w:sz w:val="20"/>
              </w:rPr>
              <w:t>Category</w:t>
            </w:r>
          </w:p>
        </w:tc>
        <w:tc>
          <w:tcPr>
            <w:tcW w:type="dxa" w:w="2160"/>
            <w:shd w:fill="0F172A"/>
            <w:tcMar>
              <w:top w:w="120" w:type="dxa"/>
              <w:bottom w:w="120" w:type="dxa"/>
              <w:left w:w="140" w:type="dxa"/>
              <w:right w:w="140" w:type="dxa"/>
            </w:tcMar>
          </w:tcPr>
          <w:p>
            <w:pPr>
              <w:spacing w:before="0" w:after="0"/>
              <w:jc w:val="center"/>
            </w:pPr>
            <w:r>
              <w:rPr>
                <w:rFonts w:ascii="Times New Roman" w:hAnsi="Times New Roman"/>
                <w:b/>
                <w:color w:val="FFFFFF"/>
                <w:sz w:val="20"/>
              </w:rPr>
              <w:t>Framework</w:t>
            </w:r>
          </w:p>
        </w:tc>
        <w:tc>
          <w:tcPr>
            <w:tcW w:type="dxa" w:w="2592"/>
            <w:shd w:fill="0F172A"/>
            <w:tcMar>
              <w:top w:w="120" w:type="dxa"/>
              <w:bottom w:w="120" w:type="dxa"/>
              <w:left w:w="140" w:type="dxa"/>
              <w:right w:w="140" w:type="dxa"/>
            </w:tcMar>
          </w:tcPr>
          <w:p>
            <w:pPr>
              <w:spacing w:before="0" w:after="0"/>
              <w:jc w:val="center"/>
            </w:pPr>
            <w:r>
              <w:rPr>
                <w:rFonts w:ascii="Times New Roman" w:hAnsi="Times New Roman"/>
                <w:b/>
                <w:color w:val="FFFFFF"/>
                <w:sz w:val="20"/>
              </w:rPr>
              <w:t>Consuming Component</w:t>
            </w:r>
          </w:p>
        </w:tc>
        <w:tc>
          <w:tcPr>
            <w:tcW w:type="dxa" w:w="1440"/>
            <w:shd w:fill="0F172A"/>
            <w:tcMar>
              <w:top w:w="120" w:type="dxa"/>
              <w:bottom w:w="120" w:type="dxa"/>
              <w:left w:w="140" w:type="dxa"/>
              <w:right w:w="140" w:type="dxa"/>
            </w:tcMar>
          </w:tcPr>
          <w:p>
            <w:pPr>
              <w:spacing w:before="0" w:after="0"/>
              <w:jc w:val="center"/>
            </w:pPr>
            <w:r>
              <w:rPr>
                <w:rFonts w:ascii="Times New Roman" w:hAnsi="Times New Roman"/>
                <w:b/>
                <w:color w:val="FFFFFF"/>
                <w:sz w:val="20"/>
              </w:rPr>
              <w:t>Status</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LLM</w:t>
            </w:r>
          </w:p>
        </w:tc>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OpenAI API</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Strategy, Content, Manager</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claude-3-5-sonnet</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LLM</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Anthropic API</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Research, Strategy Synthesis</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gemini-3.1-flash-image</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GenVision</w:t>
            </w:r>
          </w:p>
        </w:tc>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Google GenAI SDK</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Design Agent (Nano Banana)</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bge-small-en-v1.5</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Embedding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FastEmbed (384-dim)</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RAG Service Vector Retrieval</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aesthetic_score.pkl</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Custom ML</w:t>
            </w:r>
          </w:p>
        </w:tc>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Scikit Gradient Boost</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Design Agent Quality Gate</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analytics_model.onnx</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Deep ML</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ONNXRuntime</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Analytics Agent Forecasting</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brand_voice_classifier.pkl</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NLP ML</w:t>
            </w:r>
          </w:p>
        </w:tc>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Scikit TF-IDF</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Content Evaluator Gate</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ctr_predictor.pkl</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Custom ML</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Random Forest Regressor</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Content Agent Ranking</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ppo_policy_net.pt</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RL Policy</w:t>
            </w:r>
          </w:p>
        </w:tc>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PyTorch PPO Actor-Critic</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RL / PPO Optimizer</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[PARTIAL]</w:t>
            </w:r>
          </w:p>
        </w:tc>
      </w:tr>
    </w:tbl>
    <w:p>
      <w:pPr>
        <w:spacing w:after="80"/>
      </w:pPr>
    </w:p>
    <w:sectPr w:rsidR="00FC693F" w:rsidRPr="0006063C" w:rsidSect="00034616">
      <w:headerReference w:type="default" r:id="rId9"/>
      <w:footerReference w:type="default" r:id="rId10"/>
      <w:pgSz w:w="12240" w:h="15840"/>
      <w:pgMar w:top="1411" w:right="850" w:bottom="850"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Times New Roman" w:hAnsi="Times New Roman"/>
        <w:color w:val="64748B"/>
        <w:sz w:val="17"/>
      </w:rPr>
      <w:t>Military Technical College (MTC) — Dept. of Computers Engineering &amp; AI</w:t>
    </w:r>
    <w:r>
      <w:rPr>
        <w:rFonts w:ascii="Times New Roman" w:hAnsi="Times New Roman"/>
        <w:color w:val="64748B"/>
        <w:sz w:val="17"/>
      </w:rPr>
      <w:t xml:space="preserve">                                                  Page Final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ADPilot Pro — Autonomous AI Marketing Operating System | Technical Report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