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i w:val="0"/>
          <w:color w:val="0F172A"/>
          <w:sz w:val="32"/>
        </w:rPr>
        <w:t>Military Technical College</w:t>
      </w:r>
    </w:p>
    <w:p>
      <w:pPr>
        <w:spacing w:before="0" w:after="360" w:line="276" w:lineRule="auto"/>
        <w:jc w:val="center"/>
      </w:pPr>
      <w:r>
        <w:rPr>
          <w:rFonts w:ascii="Times New Roman" w:hAnsi="Times New Roman"/>
          <w:b/>
          <w:i w:val="0"/>
          <w:color w:val="1E293B"/>
          <w:sz w:val="30"/>
        </w:rPr>
        <w:t>Department of Computers Engineering and AI</w:t>
      </w:r>
    </w:p>
    <w:p>
      <w:pPr>
        <w:spacing w:before="160" w:after="40"/>
        <w:jc w:val="center"/>
      </w:pPr>
    </w:p>
    <w:p>
      <w:pPr>
        <w:jc w:val="center"/>
      </w:pPr>
      <w:r>
        <w:drawing>
          <wp:inline xmlns:a="http://schemas.openxmlformats.org/drawingml/2006/main" xmlns:pic="http://schemas.openxmlformats.org/drawingml/2006/picture">
            <wp:extent cx="5303520" cy="2960104"/>
            <wp:docPr id="1" name="Picture 1"/>
            <wp:cNvGraphicFramePr>
              <a:graphicFrameLocks noChangeAspect="1"/>
            </wp:cNvGraphicFramePr>
            <a:graphic>
              <a:graphicData uri="http://schemas.openxmlformats.org/drawingml/2006/picture">
                <pic:pic>
                  <pic:nvPicPr>
                    <pic:cNvPr id="0" name="hero_banner.png"/>
                    <pic:cNvPicPr/>
                  </pic:nvPicPr>
                  <pic:blipFill>
                    <a:blip r:embed="rId11"/>
                    <a:stretch>
                      <a:fillRect/>
                    </a:stretch>
                  </pic:blipFill>
                  <pic:spPr>
                    <a:xfrm>
                      <a:off x="0" y="0"/>
                      <a:ext cx="5303520" cy="2960104"/>
                    </a:xfrm>
                    <a:prstGeom prst="rect"/>
                  </pic:spPr>
                </pic:pic>
              </a:graphicData>
            </a:graphic>
          </wp:inline>
        </w:drawing>
      </w:r>
    </w:p>
    <w:p>
      <w:pPr>
        <w:spacing w:before="40" w:after="160"/>
        <w:jc w:val="center"/>
      </w:pPr>
      <w:r>
        <w:rPr>
          <w:rFonts w:ascii="Times New Roman" w:hAnsi="Times New Roman"/>
          <w:i/>
          <w:color w:val="475569"/>
          <w:sz w:val="20"/>
        </w:rPr>
        <w:t>Figure 0.1: ADPilot Pro Enterprise Autonomous Marketing Operating System Architecture</w:t>
      </w:r>
    </w:p>
    <w:p>
      <w:pPr>
        <w:spacing w:before="200" w:after="120" w:line="288" w:lineRule="auto"/>
        <w:jc w:val="center"/>
      </w:pPr>
      <w:r>
        <w:rPr>
          <w:rFonts w:ascii="Times New Roman" w:hAnsi="Times New Roman"/>
          <w:b/>
          <w:i w:val="0"/>
          <w:color w:val="0F172A"/>
          <w:sz w:val="34"/>
        </w:rPr>
        <w:t>ADPilot Pro: Autonomous Multi-Agent AI Marketing Operating System</w:t>
      </w:r>
    </w:p>
    <w:p>
      <w:pPr>
        <w:spacing w:before="0" w:after="480" w:line="288" w:lineRule="auto"/>
        <w:jc w:val="center"/>
      </w:pPr>
      <w:r>
        <w:rPr>
          <w:rFonts w:ascii="Times New Roman" w:hAnsi="Times New Roman"/>
          <w:b w:val="0"/>
          <w:i/>
          <w:color w:val="475569"/>
          <w:sz w:val="22"/>
        </w:rPr>
        <w:t>A Comprehensive Enterprise Technical Report on Autonomous Multi-Agent Orchestration, Reinforcement Learning (PPO), Dual-Stream Hybrid RAG, Multi-Modal Computer Vision Gating, and Cryptographic Governance</w:t>
      </w:r>
    </w:p>
    <w:tbl>
      <w:tblPr>
        <w:tblW w:type="auto" w:w="0"/>
        <w:jc w:val="center"/>
        <w:tblLook w:firstColumn="1" w:firstRow="1" w:lastColumn="0" w:lastRow="0" w:noHBand="0" w:noVBand="1" w:val="04A0"/>
      </w:tblPr>
      <w:tblGrid>
        <w:gridCol w:w="4989"/>
        <w:gridCol w:w="4989"/>
      </w:tblGrid>
      <w:tr>
        <w:tc>
          <w:tcPr>
            <w:tcW w:type="dxa" w:w="2880"/>
            <w:shd w:fill="0F172A"/>
            <w:tcMar>
              <w:top w:w="120" w:type="dxa"/>
              <w:bottom w:w="120" w:type="dxa"/>
              <w:left w:w="140" w:type="dxa"/>
              <w:right w:w="140" w:type="dxa"/>
            </w:tcMar>
          </w:tcPr>
          <w:p>
            <w:pPr>
              <w:spacing w:before="0" w:after="0"/>
              <w:jc w:val="center"/>
            </w:pPr>
            <w:r>
              <w:rPr>
                <w:rFonts w:ascii="Times New Roman" w:hAnsi="Times New Roman"/>
                <w:b/>
                <w:color w:val="FFFFFF"/>
                <w:sz w:val="20"/>
              </w:rPr>
              <w:t>Project Specification</w:t>
            </w:r>
          </w:p>
        </w:tc>
        <w:tc>
          <w:tcPr>
            <w:tcW w:type="dxa" w:w="6912"/>
            <w:shd w:fill="0F172A"/>
            <w:tcMar>
              <w:top w:w="120" w:type="dxa"/>
              <w:bottom w:w="120" w:type="dxa"/>
              <w:left w:w="140" w:type="dxa"/>
              <w:right w:w="140" w:type="dxa"/>
            </w:tcMar>
          </w:tcPr>
          <w:p>
            <w:pPr>
              <w:spacing w:before="0" w:after="0"/>
              <w:jc w:val="center"/>
            </w:pPr>
            <w:r>
              <w:rPr>
                <w:rFonts w:ascii="Times New Roman" w:hAnsi="Times New Roman"/>
                <w:b/>
                <w:color w:val="FFFFFF"/>
                <w:sz w:val="20"/>
              </w:rPr>
              <w:t>Official Defense Details</w:t>
            </w:r>
          </w:p>
        </w:tc>
      </w:tr>
      <w:tr>
        <w:tc>
          <w:tcPr>
            <w:tcW w:type="dxa" w:w="288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Author:</w:t>
            </w:r>
          </w:p>
        </w:tc>
        <w:tc>
          <w:tcPr>
            <w:tcW w:type="dxa" w:w="691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Eng. Ahmed Gharieb</w:t>
            </w:r>
          </w:p>
        </w:tc>
      </w:tr>
      <w:tr>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Institution:</w:t>
            </w:r>
          </w:p>
        </w:tc>
        <w:tc>
          <w:tcPr>
            <w:tcW w:type="dxa" w:w="691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Military Technical College (MTC), Cairo, Egypt</w:t>
            </w:r>
          </w:p>
        </w:tc>
      </w:tr>
      <w:tr>
        <w:tc>
          <w:tcPr>
            <w:tcW w:type="dxa" w:w="288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Department:</w:t>
            </w:r>
          </w:p>
        </w:tc>
        <w:tc>
          <w:tcPr>
            <w:tcW w:type="dxa" w:w="691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Department of Computers Engineering and AI</w:t>
            </w:r>
          </w:p>
        </w:tc>
      </w:tr>
      <w:tr>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Degree:</w:t>
            </w:r>
          </w:p>
        </w:tc>
        <w:tc>
          <w:tcPr>
            <w:tcW w:type="dxa" w:w="691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Professional Diploma in Applied AI and Data Analytics</w:t>
            </w:r>
          </w:p>
        </w:tc>
      </w:tr>
      <w:tr>
        <w:tc>
          <w:tcPr>
            <w:tcW w:type="dxa" w:w="288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Supervision Committee:</w:t>
            </w:r>
          </w:p>
        </w:tc>
        <w:tc>
          <w:tcPr>
            <w:tcW w:type="dxa" w:w="691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Academic &amp; Technical Defense Committee</w:t>
            </w:r>
          </w:p>
        </w:tc>
      </w:tr>
      <w:tr>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Academic Year:</w:t>
            </w:r>
          </w:p>
        </w:tc>
        <w:tc>
          <w:tcPr>
            <w:tcW w:type="dxa" w:w="691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2025 – 2026 (Cairo 2026)</w:t>
            </w:r>
          </w:p>
        </w:tc>
      </w:tr>
      <w:tr>
        <w:tc>
          <w:tcPr>
            <w:tcW w:type="dxa" w:w="288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Classification:</w:t>
            </w:r>
          </w:p>
        </w:tc>
        <w:tc>
          <w:tcPr>
            <w:tcW w:type="dxa" w:w="691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Production-Grade Autonomous AI Enterprise Architecture</w:t>
            </w:r>
          </w:p>
        </w:tc>
      </w:tr>
    </w:tbl>
    <w:p>
      <w:pPr>
        <w:spacing w:after="80"/>
      </w:pPr>
    </w:p>
    <w:p>
      <w:r>
        <w:br w:type="page"/>
      </w:r>
    </w:p>
    <w:p>
      <w:pPr>
        <w:spacing w:before="200" w:after="240" w:line="276" w:lineRule="auto"/>
        <w:jc w:val="center"/>
      </w:pPr>
      <w:r>
        <w:rPr>
          <w:rFonts w:ascii="Times New Roman" w:hAnsi="Times New Roman"/>
          <w:b/>
          <w:i w:val="0"/>
          <w:color w:val="0F172A"/>
          <w:sz w:val="32"/>
        </w:rPr>
        <w:t>Abstract</w:t>
      </w:r>
    </w:p>
    <w:p>
      <w:pPr>
        <w:spacing w:before="0" w:after="120" w:line="360" w:lineRule="auto"/>
        <w:jc w:val="both"/>
      </w:pPr>
      <w:r>
        <w:rPr>
          <w:rFonts w:ascii="Times New Roman" w:hAnsi="Times New Roman"/>
          <w:b w:val="0"/>
          <w:i w:val="0"/>
          <w:color w:val="000000"/>
          <w:sz w:val="24"/>
        </w:rPr>
        <w:t>ADPilot Pro is an enterprise-grade autonomous AI marketing operating system engineered to eliminate operational fragmentation, latency, and heuristic decision-making in digital growth marketing. Given a single structured campaign brief, ADPilot autonomously coordinates 18 specialized AI agents across an immutable 18-stage Directed Acyclic Graph (DAG) to research competitors, segment audiences, draft multi-format ad copy, generate photorealistic visual creatives, audit visual aesthetics against WCAG AAA standards, predict financial ROAS, rebalance multi-channel budgets, and dispatch launch-ready media packages in under 45 seconds.</w:t>
      </w:r>
    </w:p>
    <w:p>
      <w:pPr>
        <w:spacing w:before="0" w:after="120" w:line="360" w:lineRule="auto"/>
        <w:jc w:val="both"/>
      </w:pPr>
      <w:r>
        <w:rPr>
          <w:rFonts w:ascii="Times New Roman" w:hAnsi="Times New Roman"/>
          <w:b w:val="0"/>
          <w:i w:val="0"/>
          <w:color w:val="000000"/>
          <w:sz w:val="24"/>
        </w:rPr>
        <w:t>The system unifies Foundation Large Language Models (GPT-4o, Claude 3.5 Sonnet), custom pre-trained machine learning regressors (Ridge, XGBoost, SVM), continuous reinforcement learning via Proximal Policy Optimization (PPO), hybrid dense-sparse vector retrieval (FastEmbed BGE and BM25 Okapi in Qdrant), dual-engine generative and evaluative Computer Vision (Google Gemini Nano Banana and CLIP-ViT), and cryptographic Human-in-the-Loop (HITL) governance with HMAC-SHA256 signed audit receipts. Across extensive multi-vertical empirical benchmarks (B2B SaaS, D2C Physical, Luxury Real Estate, Professional Services), ADPilot Pro achieved verified performance improvements of +14.6% in Return on Ad Spend (ROAS), -13.8% in Customer Acquisition Cost (CAC), and +23.5% in lead conversion efficiency with 100% contract compliance across all automated test suites.</w:t>
      </w:r>
    </w:p>
    <w:tbl>
      <w:tblPr>
        <w:tblW w:type="auto" w:w="0"/>
        <w:jc w:val="center"/>
        <w:tblLook w:firstColumn="1" w:firstRow="1" w:lastColumn="0" w:lastRow="0" w:noHBand="0" w:noVBand="1" w:val="04A0"/>
      </w:tblPr>
      <w:tblGrid>
        <w:gridCol w:w="9979"/>
      </w:tblGrid>
      <w:tr>
        <w:tc>
          <w:tcPr>
            <w:tcW w:type="dxa" w:w="9979"/>
            <w:shd w:fill="F1F5F9"/>
            <w:tcBorders>
              <w:top w:val="none"/>
              <w:left w:val="single" w:sz="36" w:space="0" w:color="0284C7"/>
              <w:bottom w:val="none"/>
              <w:right w:val="none"/>
            </w:tcBorders>
          </w:tcPr>
          <w:p>
            <w:pPr>
              <w:spacing w:before="80" w:after="80" w:line="300" w:lineRule="auto"/>
              <w:jc w:val="both"/>
            </w:pPr>
            <w:r>
              <w:rPr>
                <w:rFonts w:ascii="Times New Roman" w:hAnsi="Times New Roman"/>
                <w:b/>
                <w:color w:val="0284C7"/>
                <w:sz w:val="22"/>
              </w:rPr>
              <w:t>■ Core Architectural Capabilities</w:t>
              <w:br/>
            </w:r>
            <w:r>
              <w:rPr>
                <w:rFonts w:ascii="Times New Roman" w:hAnsi="Times New Roman"/>
                <w:i/>
                <w:color w:val="1E293B"/>
                <w:sz w:val="21"/>
              </w:rPr>
              <w:t>• 18-Stage Sequential DAG: Deterministic execution governed by immutable Pydantic v2 data contracts.</w:t>
              <w:br/>
              <w:t>• PyTorch PPO Reinforcement Learning: Continuous multi-channel Dirichlet budget optimization maximizing blended ROAS under constraint penalties.</w:t>
              <w:br/>
              <w:t>• Dual-Stream Hybrid RAG: Dense FastEmbed BGE vectors (384-dim) + Sparse BM25 Okapi lexical search merged via Reciprocal Rank Fusion (RRF).</w:t>
              <w:br/>
              <w:t>• Zero-Shot CLIP-ViT Quality Gating: ONNX-accelerated aesthetic regression, WCAG AAA (7.0:1) contrast verification, and Earth Mover's Distance brand alignment.</w:t>
              <w:br/>
              <w:t>• Cryptographic Human-in-the-Loop Gate: High-risk financial decisions secured by HMAC-SHA256 signed audit receipts.</w:t>
            </w:r>
          </w:p>
        </w:tc>
      </w:tr>
    </w:tbl>
    <w:p>
      <w:pPr>
        <w:spacing w:after="80"/>
      </w:pPr>
    </w:p>
    <w:p>
      <w:pPr>
        <w:spacing w:before="400" w:after="200" w:line="276" w:lineRule="auto"/>
        <w:jc w:val="center"/>
      </w:pPr>
      <w:r>
        <w:rPr>
          <w:rFonts w:ascii="Times New Roman" w:hAnsi="Times New Roman"/>
          <w:b/>
          <w:i w:val="0"/>
          <w:color w:val="0F172A"/>
          <w:sz w:val="32"/>
        </w:rPr>
        <w:t>Acknowledgments</w:t>
      </w:r>
    </w:p>
    <w:p>
      <w:pPr>
        <w:spacing w:before="0" w:after="120" w:line="360" w:lineRule="auto"/>
        <w:jc w:val="both"/>
      </w:pPr>
      <w:r>
        <w:rPr>
          <w:rFonts w:ascii="Times New Roman" w:hAnsi="Times New Roman"/>
          <w:b w:val="0"/>
          <w:i w:val="0"/>
          <w:color w:val="000000"/>
          <w:sz w:val="24"/>
        </w:rPr>
        <w:t>The author gratefully acknowledges the faculty, supervisors, and technical advisors at the Department of Computers Engineering and AI, Military Technical College (MTC), Cairo, for their invaluable guidance, academic rigor, and mentorship during the Professional Diploma in Applied AI and Data Analytics (2026).</w:t>
      </w:r>
    </w:p>
    <w:p>
      <w:r>
        <w:br w:type="page"/>
      </w:r>
    </w:p>
    <w:p>
      <w:pPr>
        <w:spacing w:before="200" w:after="240" w:line="276" w:lineRule="auto"/>
        <w:jc w:val="center"/>
      </w:pPr>
      <w:r>
        <w:rPr>
          <w:rFonts w:ascii="Times New Roman" w:hAnsi="Times New Roman"/>
          <w:b/>
          <w:i w:val="0"/>
          <w:color w:val="0F172A"/>
          <w:sz w:val="32"/>
        </w:rPr>
        <w:t>Table of Contents</w:t>
      </w:r>
    </w:p>
    <w:tbl>
      <w:tblPr>
        <w:tblW w:type="auto" w:w="0"/>
        <w:jc w:val="center"/>
        <w:tblLook w:firstColumn="1" w:firstRow="1" w:lastColumn="0" w:lastRow="0" w:noHBand="0" w:noVBand="1" w:val="04A0"/>
      </w:tblPr>
      <w:tblGrid>
        <w:gridCol w:w="3326"/>
        <w:gridCol w:w="3326"/>
        <w:gridCol w:w="3326"/>
      </w:tblGrid>
      <w:tr>
        <w:tc>
          <w:tcPr>
            <w:tcW w:type="dxa" w:w="2160"/>
            <w:shd w:fill="0F172A"/>
            <w:tcMar>
              <w:top w:w="120" w:type="dxa"/>
              <w:bottom w:w="120" w:type="dxa"/>
              <w:left w:w="140" w:type="dxa"/>
              <w:right w:w="140" w:type="dxa"/>
            </w:tcMar>
          </w:tcPr>
          <w:p>
            <w:pPr>
              <w:spacing w:before="0" w:after="0"/>
              <w:jc w:val="center"/>
            </w:pPr>
            <w:r>
              <w:rPr>
                <w:rFonts w:ascii="Times New Roman" w:hAnsi="Times New Roman"/>
                <w:b/>
                <w:color w:val="FFFFFF"/>
                <w:sz w:val="20"/>
              </w:rPr>
              <w:t>Chapter / Section</w:t>
            </w:r>
          </w:p>
        </w:tc>
        <w:tc>
          <w:tcPr>
            <w:tcW w:type="dxa" w:w="6192"/>
            <w:shd w:fill="0F172A"/>
            <w:tcMar>
              <w:top w:w="120" w:type="dxa"/>
              <w:bottom w:w="120" w:type="dxa"/>
              <w:left w:w="140" w:type="dxa"/>
              <w:right w:w="140" w:type="dxa"/>
            </w:tcMar>
          </w:tcPr>
          <w:p>
            <w:pPr>
              <w:spacing w:before="0" w:after="0"/>
              <w:jc w:val="center"/>
            </w:pPr>
            <w:r>
              <w:rPr>
                <w:rFonts w:ascii="Times New Roman" w:hAnsi="Times New Roman"/>
                <w:b/>
                <w:color w:val="FFFFFF"/>
                <w:sz w:val="20"/>
              </w:rPr>
              <w:t>Title and Focus Area</w:t>
            </w:r>
          </w:p>
        </w:tc>
        <w:tc>
          <w:tcPr>
            <w:tcW w:type="dxa" w:w="1440"/>
            <w:shd w:fill="0F172A"/>
            <w:tcMar>
              <w:top w:w="120" w:type="dxa"/>
              <w:bottom w:w="120" w:type="dxa"/>
              <w:left w:w="140" w:type="dxa"/>
              <w:right w:w="140" w:type="dxa"/>
            </w:tcMar>
          </w:tcPr>
          <w:p>
            <w:pPr>
              <w:spacing w:before="0" w:after="0"/>
              <w:jc w:val="center"/>
            </w:pPr>
            <w:r>
              <w:rPr>
                <w:rFonts w:ascii="Times New Roman" w:hAnsi="Times New Roman"/>
                <w:b/>
                <w:color w:val="FFFFFF"/>
                <w:sz w:val="20"/>
              </w:rPr>
              <w:t>Reference</w:t>
            </w:r>
          </w:p>
        </w:tc>
      </w:tr>
      <w:tr>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Chapter 1</w:t>
            </w:r>
          </w:p>
        </w:tc>
        <w:tc>
          <w:tcPr>
            <w:tcW w:type="dxa" w:w="61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Introduction, Industry Context &amp; Problem Statement</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Page 1</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Chapter 2</w:t>
            </w:r>
          </w:p>
        </w:tc>
        <w:tc>
          <w:tcPr>
            <w:tcW w:type="dxa" w:w="61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Technical Foundations, MAS Literature &amp; Architectural Principles</w:t>
            </w:r>
          </w:p>
        </w:tc>
        <w:tc>
          <w:tcPr>
            <w:tcW w:type="dxa" w:w="144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Page 4</w:t>
            </w:r>
          </w:p>
        </w:tc>
      </w:tr>
      <w:tr>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Chapter 3</w:t>
            </w:r>
          </w:p>
        </w:tc>
        <w:tc>
          <w:tcPr>
            <w:tcW w:type="dxa" w:w="61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System Architecture, Decoupled Tiers &amp; Heterogeneous Storage</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Page 8</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Chapter 4</w:t>
            </w:r>
          </w:p>
        </w:tc>
        <w:tc>
          <w:tcPr>
            <w:tcW w:type="dxa" w:w="61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The 18-Stage Master Pipeline &amp; Multi-Agent Fleet Matrix</w:t>
            </w:r>
          </w:p>
        </w:tc>
        <w:tc>
          <w:tcPr>
            <w:tcW w:type="dxa" w:w="144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Page 12</w:t>
            </w:r>
          </w:p>
        </w:tc>
      </w:tr>
      <w:tr>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Chapter 5</w:t>
            </w:r>
          </w:p>
        </w:tc>
        <w:tc>
          <w:tcPr>
            <w:tcW w:type="dxa" w:w="61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Multi-Modal Generative Vision &amp; Quality Gating (Gemini/CLIP)</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Page 18</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Chapter 6</w:t>
            </w:r>
          </w:p>
        </w:tc>
        <w:tc>
          <w:tcPr>
            <w:tcW w:type="dxa" w:w="61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Reinforcement Learning (PPO) &amp; Continuous Budget Optimization</w:t>
            </w:r>
          </w:p>
        </w:tc>
        <w:tc>
          <w:tcPr>
            <w:tcW w:type="dxa" w:w="144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Page 24</w:t>
            </w:r>
          </w:p>
        </w:tc>
      </w:tr>
      <w:tr>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Chapter 7</w:t>
            </w:r>
          </w:p>
        </w:tc>
        <w:tc>
          <w:tcPr>
            <w:tcW w:type="dxa" w:w="61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Hybrid RAG &amp; 4-Tier Persistent Memory Engine</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Page 30</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Chapter 8</w:t>
            </w:r>
          </w:p>
        </w:tc>
        <w:tc>
          <w:tcPr>
            <w:tcW w:type="dxa" w:w="61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Cryptographic Human-in-the-Loop Governance &amp; Decision Engine</w:t>
            </w:r>
          </w:p>
        </w:tc>
        <w:tc>
          <w:tcPr>
            <w:tcW w:type="dxa" w:w="144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Page 35</w:t>
            </w:r>
          </w:p>
        </w:tc>
      </w:tr>
      <w:tr>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Chapter 9</w:t>
            </w:r>
          </w:p>
        </w:tc>
        <w:tc>
          <w:tcPr>
            <w:tcW w:type="dxa" w:w="61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Full-Stack Enterprise Operating System Dashboard (12 Modules)</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Page 39</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Chapter 10</w:t>
            </w:r>
          </w:p>
        </w:tc>
        <w:tc>
          <w:tcPr>
            <w:tcW w:type="dxa" w:w="61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Empirical Evaluation, Test Suites &amp; Multi-Vertical Benchmarks</w:t>
            </w:r>
          </w:p>
        </w:tc>
        <w:tc>
          <w:tcPr>
            <w:tcW w:type="dxa" w:w="144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Page 44</w:t>
            </w:r>
          </w:p>
        </w:tc>
      </w:tr>
      <w:tr>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Chapter 11</w:t>
            </w:r>
          </w:p>
        </w:tc>
        <w:tc>
          <w:tcPr>
            <w:tcW w:type="dxa" w:w="61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Discussion, Architectural Limitations &amp; Engineering Roadmap</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Page 48</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Chapter 12</w:t>
            </w:r>
          </w:p>
        </w:tc>
        <w:tc>
          <w:tcPr>
            <w:tcW w:type="dxa" w:w="61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Conclusion &amp; Business Value Synthesis</w:t>
            </w:r>
          </w:p>
        </w:tc>
        <w:tc>
          <w:tcPr>
            <w:tcW w:type="dxa" w:w="144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Page 51</w:t>
            </w:r>
          </w:p>
        </w:tc>
      </w:tr>
      <w:tr>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Appendices</w:t>
            </w:r>
          </w:p>
        </w:tc>
        <w:tc>
          <w:tcPr>
            <w:tcW w:type="dxa" w:w="61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Master Registries (Agent, Model, API, Database, Glossary)</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Page 53</w:t>
            </w:r>
          </w:p>
        </w:tc>
      </w:tr>
    </w:tbl>
    <w:p>
      <w:pPr>
        <w:spacing w:after="80"/>
      </w:pPr>
    </w:p>
    <w:p>
      <w:r>
        <w:br w:type="page"/>
      </w:r>
    </w:p>
    <w:p>
      <w:pPr>
        <w:spacing w:before="320" w:after="120" w:line="276" w:lineRule="auto"/>
        <w:jc w:val="left"/>
      </w:pPr>
      <w:r>
        <w:rPr>
          <w:rFonts w:ascii="Times New Roman" w:hAnsi="Times New Roman"/>
          <w:b/>
          <w:color w:val="0F172A"/>
          <w:sz w:val="32"/>
        </w:rPr>
        <w:t>Chapter (1) — Introduction &amp; Problem Statement</w:t>
      </w:r>
    </w:p>
    <w:p>
      <w:pPr>
        <w:spacing w:before="240" w:after="80" w:line="276" w:lineRule="auto"/>
        <w:jc w:val="left"/>
      </w:pPr>
      <w:r>
        <w:rPr>
          <w:rFonts w:ascii="Times New Roman" w:hAnsi="Times New Roman"/>
          <w:b/>
          <w:color w:val="1E293B"/>
          <w:sz w:val="28"/>
        </w:rPr>
        <w:t>1.1 Background &amp; Industry Dilemma</w:t>
      </w:r>
    </w:p>
    <w:p>
      <w:pPr>
        <w:spacing w:before="0" w:after="120" w:line="360" w:lineRule="auto"/>
        <w:jc w:val="both"/>
      </w:pPr>
      <w:r>
        <w:rPr>
          <w:rFonts w:ascii="Times New Roman" w:hAnsi="Times New Roman"/>
          <w:b w:val="0"/>
          <w:i w:val="0"/>
          <w:color w:val="000000"/>
          <w:sz w:val="24"/>
        </w:rPr>
        <w:t>Enterprise digital marketing operations represent an annual expenditure exceeding $600 billion globally. However, marketing execution remains crippled by operational fragmentation, manual latency, and ungrounded heuristic decision-making. Marketing teams juggle over a dozen disconnected SaaS tools across ad networks (Meta Ads, Google Ads, LinkedIn Campaign Manager), copywriting assistants, design software, and analytics dashboards. This manual workflow leads to slow response times, subjective creative selection, and significant advertising budget burnout.</w:t>
      </w:r>
    </w:p>
    <w:p>
      <w:pPr>
        <w:spacing w:before="240" w:after="80" w:line="276" w:lineRule="auto"/>
        <w:jc w:val="left"/>
      </w:pPr>
      <w:r>
        <w:rPr>
          <w:rFonts w:ascii="Times New Roman" w:hAnsi="Times New Roman"/>
          <w:b/>
          <w:color w:val="1E293B"/>
          <w:sz w:val="28"/>
        </w:rPr>
        <w:t>1.2 The Core Problem Statement</w:t>
      </w:r>
    </w:p>
    <w:p>
      <w:pPr>
        <w:spacing w:before="0" w:after="120" w:line="360" w:lineRule="auto"/>
        <w:jc w:val="both"/>
      </w:pPr>
      <w:r>
        <w:rPr>
          <w:rFonts w:ascii="Times New Roman" w:hAnsi="Times New Roman"/>
          <w:b w:val="0"/>
          <w:i w:val="0"/>
          <w:color w:val="000000"/>
          <w:sz w:val="24"/>
        </w:rPr>
        <w:t>Traditional marketing automation tools execute rigid static rules without sequential learning or multi-modal quality verification. Consequently, campaigns suffer from four critical failure modes:</w:t>
      </w:r>
    </w:p>
    <w:p>
      <w:pPr>
        <w:spacing w:before="0" w:after="120" w:line="360" w:lineRule="auto"/>
        <w:jc w:val="both"/>
      </w:pPr>
      <w:r>
        <w:rPr>
          <w:rFonts w:ascii="Times New Roman" w:hAnsi="Times New Roman"/>
          <w:b w:val="0"/>
          <w:i w:val="0"/>
          <w:color w:val="000000"/>
          <w:sz w:val="24"/>
        </w:rPr>
        <w:t>1. Heuristic Budget Burnout: Manual budget reallocation occurs hours or days after market shifts, burning budget on sub-optimal demographics.</w:t>
      </w:r>
    </w:p>
    <w:p>
      <w:pPr>
        <w:spacing w:before="0" w:after="120" w:line="360" w:lineRule="auto"/>
        <w:jc w:val="both"/>
      </w:pPr>
      <w:r>
        <w:rPr>
          <w:rFonts w:ascii="Times New Roman" w:hAnsi="Times New Roman"/>
          <w:b w:val="0"/>
          <w:i w:val="0"/>
          <w:color w:val="000000"/>
          <w:sz w:val="24"/>
        </w:rPr>
        <w:t>2. Subjective Creative Evaluation: Ad copy and visual banners are selected based on intuition rather than predictive CTR regression or zero-shot aesthetic auditing.</w:t>
      </w:r>
    </w:p>
    <w:p>
      <w:pPr>
        <w:spacing w:before="0" w:after="120" w:line="360" w:lineRule="auto"/>
        <w:jc w:val="both"/>
      </w:pPr>
      <w:r>
        <w:rPr>
          <w:rFonts w:ascii="Times New Roman" w:hAnsi="Times New Roman"/>
          <w:b w:val="0"/>
          <w:i w:val="0"/>
          <w:color w:val="000000"/>
          <w:sz w:val="24"/>
        </w:rPr>
        <w:t>3. Compliance &amp; Accessibility Penalties: Non-compliant assets (e.g., text density &gt; 20% or poor typography contrast) are flagged only after deployment, triggering ad platform reach throttling.</w:t>
      </w:r>
    </w:p>
    <w:p>
      <w:pPr>
        <w:spacing w:before="0" w:after="120" w:line="360" w:lineRule="auto"/>
        <w:jc w:val="both"/>
      </w:pPr>
      <w:r>
        <w:rPr>
          <w:rFonts w:ascii="Times New Roman" w:hAnsi="Times New Roman"/>
          <w:b w:val="0"/>
          <w:i w:val="0"/>
          <w:color w:val="000000"/>
          <w:sz w:val="24"/>
        </w:rPr>
        <w:t>4. Disconnected Knowledge: Strategic insights from previous campaigns are lost across team silos rather than indexed into persistent vector memory.</w:t>
      </w:r>
    </w:p>
    <w:p>
      <w:pPr>
        <w:spacing w:before="240" w:after="80" w:line="276" w:lineRule="auto"/>
        <w:jc w:val="left"/>
      </w:pPr>
      <w:r>
        <w:rPr>
          <w:rFonts w:ascii="Times New Roman" w:hAnsi="Times New Roman"/>
          <w:b/>
          <w:color w:val="1E293B"/>
          <w:sz w:val="28"/>
        </w:rPr>
        <w:t>1.3 Formal Mathematical Definition of the Campaign Contract</w:t>
      </w:r>
    </w:p>
    <w:p>
      <w:pPr>
        <w:spacing w:before="0" w:after="120" w:line="360" w:lineRule="auto"/>
        <w:jc w:val="both"/>
      </w:pPr>
      <w:r>
        <w:rPr>
          <w:rFonts w:ascii="Times New Roman" w:hAnsi="Times New Roman"/>
          <w:b w:val="0"/>
          <w:i w:val="0"/>
          <w:color w:val="000000"/>
          <w:sz w:val="24"/>
        </w:rPr>
        <w:t>In ADPilot Pro, a marketing campaign is formally formulated as a tuple:</w:t>
      </w:r>
    </w:p>
    <w:p>
      <w:pPr>
        <w:spacing w:before="0" w:after="120" w:line="360" w:lineRule="auto"/>
        <w:jc w:val="center"/>
      </w:pPr>
      <w:r>
        <w:rPr>
          <w:rFonts w:ascii="Times New Roman" w:hAnsi="Times New Roman"/>
          <w:b w:val="0"/>
          <w:i/>
          <w:color w:val="000000"/>
          <w:sz w:val="24"/>
        </w:rPr>
        <w:t>C = &lt; B, T, A, K, G, Omega &gt;</w:t>
      </w:r>
    </w:p>
    <w:p>
      <w:pPr>
        <w:spacing w:before="0" w:after="120" w:line="360" w:lineRule="auto"/>
        <w:jc w:val="both"/>
      </w:pPr>
      <w:r>
        <w:rPr>
          <w:rFonts w:ascii="Times New Roman" w:hAnsi="Times New Roman"/>
          <w:b w:val="0"/>
          <w:i w:val="0"/>
          <w:color w:val="000000"/>
          <w:sz w:val="24"/>
        </w:rPr>
        <w:t>Where B represents Business &amp; Brand Identity, T represents Timeline &amp; Duration constraints, A represents Target Audience Demographics &amp; Psychographics, K represents Semantic Knowledge Base &amp; Vector Documents, G represents Quantitative Target KPIs (Target ROAS, Target CAC, Minimum CTR), and Omega represents Hard Governance Boundaries &amp; Spend Constraints.</w:t>
      </w:r>
    </w:p>
    <w:p>
      <w:pPr>
        <w:spacing w:before="320" w:after="120" w:line="276" w:lineRule="auto"/>
        <w:jc w:val="left"/>
      </w:pPr>
      <w:r>
        <w:rPr>
          <w:rFonts w:ascii="Times New Roman" w:hAnsi="Times New Roman"/>
          <w:b/>
          <w:color w:val="0F172A"/>
          <w:sz w:val="32"/>
        </w:rPr>
        <w:t>Chapter (2) — Technical Foundations &amp; Literature Review</w:t>
      </w:r>
    </w:p>
    <w:p>
      <w:pPr>
        <w:spacing w:before="240" w:after="80" w:line="276" w:lineRule="auto"/>
        <w:jc w:val="left"/>
      </w:pPr>
      <w:r>
        <w:rPr>
          <w:rFonts w:ascii="Times New Roman" w:hAnsi="Times New Roman"/>
          <w:b/>
          <w:color w:val="1E293B"/>
          <w:sz w:val="28"/>
        </w:rPr>
        <w:t>2.1 Autonomous Multi-Agent Systems (MAS)</w:t>
      </w:r>
    </w:p>
    <w:p>
      <w:pPr>
        <w:spacing w:before="0" w:after="120" w:line="360" w:lineRule="auto"/>
        <w:jc w:val="both"/>
      </w:pPr>
      <w:r>
        <w:rPr>
          <w:rFonts w:ascii="Times New Roman" w:hAnsi="Times New Roman"/>
          <w:b w:val="0"/>
          <w:i w:val="0"/>
          <w:color w:val="000000"/>
          <w:sz w:val="24"/>
        </w:rPr>
        <w:t>Multi-Agent Systems decompose complex workflows into specialized cognitive agents operating with discrete roles, prompt templates, and registered toolsuites. In ADPilot Pro, agent specialization is enforced through strict Pydantic v2 contracts, ensuring that each agent processes typed input schemas and produces validated output structures.</w:t>
      </w:r>
    </w:p>
    <w:p>
      <w:pPr>
        <w:spacing w:before="240" w:after="80" w:line="276" w:lineRule="auto"/>
        <w:jc w:val="left"/>
      </w:pPr>
      <w:r>
        <w:rPr>
          <w:rFonts w:ascii="Times New Roman" w:hAnsi="Times New Roman"/>
          <w:b/>
          <w:color w:val="1E293B"/>
          <w:sz w:val="28"/>
        </w:rPr>
        <w:t>2.2 Continuous Reinforcement Learning (PPO)</w:t>
      </w:r>
    </w:p>
    <w:p>
      <w:pPr>
        <w:spacing w:before="0" w:after="120" w:line="360" w:lineRule="auto"/>
        <w:jc w:val="both"/>
      </w:pPr>
      <w:r>
        <w:rPr>
          <w:rFonts w:ascii="Times New Roman" w:hAnsi="Times New Roman"/>
          <w:b w:val="0"/>
          <w:i w:val="0"/>
          <w:color w:val="000000"/>
          <w:sz w:val="24"/>
        </w:rPr>
        <w:t>Budget optimization is formulated as a continuous Markov Decision Process (MDP). ADPilot applies Proximal Policy Optimization (PPO) with a clipped surrogate objective function to guarantee stable policy gradient updates:</w:t>
      </w:r>
    </w:p>
    <w:p>
      <w:pPr>
        <w:spacing w:before="0" w:after="120" w:line="360" w:lineRule="auto"/>
        <w:jc w:val="center"/>
      </w:pPr>
      <w:r>
        <w:rPr>
          <w:rFonts w:ascii="Times New Roman" w:hAnsi="Times New Roman"/>
          <w:b w:val="0"/>
          <w:i/>
          <w:color w:val="000000"/>
          <w:sz w:val="24"/>
        </w:rPr>
        <w:t>L^{CLIP}(theta) = E_t [ min( r_t(theta) A_t, clip(r_t(theta), 1-epsilon, 1+epsilon) A_t ) ] - c_1 L_t^{VF}(theta) + c_2 S[pi_theta](s_t)</w:t>
      </w:r>
    </w:p>
    <w:p>
      <w:pPr>
        <w:spacing w:before="240" w:after="80" w:line="276" w:lineRule="auto"/>
        <w:jc w:val="left"/>
      </w:pPr>
      <w:r>
        <w:rPr>
          <w:rFonts w:ascii="Times New Roman" w:hAnsi="Times New Roman"/>
          <w:b/>
          <w:color w:val="1E293B"/>
          <w:sz w:val="28"/>
        </w:rPr>
        <w:t>2.3 Retrieval-Augmented Generation (RAG) &amp; Hybrid Memory</w:t>
      </w:r>
    </w:p>
    <w:p>
      <w:pPr>
        <w:spacing w:before="0" w:after="120" w:line="360" w:lineRule="auto"/>
        <w:jc w:val="both"/>
      </w:pPr>
      <w:r>
        <w:rPr>
          <w:rFonts w:ascii="Times New Roman" w:hAnsi="Times New Roman"/>
          <w:b w:val="0"/>
          <w:i w:val="0"/>
          <w:color w:val="000000"/>
          <w:sz w:val="24"/>
        </w:rPr>
        <w:t>To prevent hallucinations, ADPilot implements a hybrid RAG architecture utilizing FastEmbed (BAAI/bge-small-en-v1.5, 384-dimensional dense embeddings) and Qdrant vector database storage. The retrieval engine combines dense cosine vector similarity with sparse BM25 keyword filtering via Reciprocal Rank Fusion (RRF):</w:t>
      </w:r>
    </w:p>
    <w:p>
      <w:pPr>
        <w:spacing w:before="0" w:after="120" w:line="360" w:lineRule="auto"/>
        <w:jc w:val="center"/>
      </w:pPr>
      <w:r>
        <w:rPr>
          <w:rFonts w:ascii="Times New Roman" w:hAnsi="Times New Roman"/>
          <w:b w:val="0"/>
          <w:i/>
          <w:color w:val="000000"/>
          <w:sz w:val="24"/>
        </w:rPr>
        <w:t>RRF(d) = sum_{m in {Dense, BM25}} 1 / (60 + Rank_m(d))</w:t>
      </w:r>
    </w:p>
    <w:p>
      <w:pPr>
        <w:spacing w:before="320" w:after="120" w:line="276" w:lineRule="auto"/>
        <w:jc w:val="left"/>
      </w:pPr>
      <w:r>
        <w:rPr>
          <w:rFonts w:ascii="Times New Roman" w:hAnsi="Times New Roman"/>
          <w:b/>
          <w:color w:val="0F172A"/>
          <w:sz w:val="32"/>
        </w:rPr>
        <w:t>Chapter (3) — System Architecture &amp; Data Layer</w:t>
      </w:r>
    </w:p>
    <w:p>
      <w:pPr>
        <w:spacing w:before="240" w:after="80" w:line="276" w:lineRule="auto"/>
        <w:jc w:val="left"/>
      </w:pPr>
      <w:r>
        <w:rPr>
          <w:rFonts w:ascii="Times New Roman" w:hAnsi="Times New Roman"/>
          <w:b/>
          <w:color w:val="1E293B"/>
          <w:sz w:val="28"/>
        </w:rPr>
        <w:t>3.1 Decoupled 6-Tier Architecture</w:t>
      </w:r>
    </w:p>
    <w:p>
      <w:pPr>
        <w:spacing w:before="0" w:after="120" w:line="360" w:lineRule="auto"/>
        <w:jc w:val="both"/>
      </w:pPr>
      <w:r>
        <w:rPr>
          <w:rFonts w:ascii="Times New Roman" w:hAnsi="Times New Roman"/>
          <w:b w:val="0"/>
          <w:i w:val="0"/>
          <w:color w:val="000000"/>
          <w:sz w:val="24"/>
        </w:rPr>
        <w:t>ADPilot Pro is structured as a decoupled 6-tier architecture built for high concurrency and deterministic execution:</w:t>
      </w:r>
    </w:p>
    <w:p>
      <w:pPr>
        <w:spacing w:before="0" w:after="120" w:line="360" w:lineRule="auto"/>
        <w:jc w:val="both"/>
      </w:pPr>
      <w:r>
        <w:rPr>
          <w:rFonts w:ascii="Times New Roman" w:hAnsi="Times New Roman"/>
          <w:b w:val="0"/>
          <w:i w:val="0"/>
          <w:color w:val="000000"/>
          <w:sz w:val="24"/>
        </w:rPr>
        <w:t>• Tier 1 (Presentation): React 18 with TypeScript, Vite bundler, Tailwind CSS, Lucide icons, and Three.js 3D visualizers.</w:t>
      </w:r>
    </w:p>
    <w:p>
      <w:pPr>
        <w:spacing w:before="0" w:after="120" w:line="360" w:lineRule="auto"/>
        <w:jc w:val="both"/>
      </w:pPr>
      <w:r>
        <w:rPr>
          <w:rFonts w:ascii="Times New Roman" w:hAnsi="Times New Roman"/>
          <w:b w:val="0"/>
          <w:i w:val="0"/>
          <w:color w:val="000000"/>
          <w:sz w:val="24"/>
        </w:rPr>
        <w:t>• Tier 2 (API Gateway): FastAPI asynchronous ASGI server with JWT auth, CORS security, and Pydantic v2 payload validation.</w:t>
      </w:r>
    </w:p>
    <w:p>
      <w:pPr>
        <w:spacing w:before="0" w:after="120" w:line="360" w:lineRule="auto"/>
        <w:jc w:val="both"/>
      </w:pPr>
      <w:r>
        <w:rPr>
          <w:rFonts w:ascii="Times New Roman" w:hAnsi="Times New Roman"/>
          <w:b w:val="0"/>
          <w:i w:val="0"/>
          <w:color w:val="000000"/>
          <w:sz w:val="24"/>
        </w:rPr>
        <w:t>• Tier 3 (Orchestration): Asynchronous Directed Acyclic Graph (DAG) simulation runner, event bus, and task manager.</w:t>
      </w:r>
    </w:p>
    <w:p>
      <w:pPr>
        <w:spacing w:before="0" w:after="120" w:line="360" w:lineRule="auto"/>
        <w:jc w:val="both"/>
      </w:pPr>
      <w:r>
        <w:rPr>
          <w:rFonts w:ascii="Times New Roman" w:hAnsi="Times New Roman"/>
          <w:b w:val="0"/>
          <w:i w:val="0"/>
          <w:color w:val="000000"/>
          <w:sz w:val="24"/>
        </w:rPr>
        <w:t>• Tier 4 (Multi-Agent Fleet): 18 specialized autonomous agents implementing the BaseAgent interface.</w:t>
      </w:r>
    </w:p>
    <w:p>
      <w:pPr>
        <w:spacing w:before="0" w:after="120" w:line="360" w:lineRule="auto"/>
        <w:jc w:val="both"/>
      </w:pPr>
      <w:r>
        <w:rPr>
          <w:rFonts w:ascii="Times New Roman" w:hAnsi="Times New Roman"/>
          <w:b w:val="0"/>
          <w:i w:val="0"/>
          <w:color w:val="000000"/>
          <w:sz w:val="24"/>
        </w:rPr>
        <w:t>• Tier 5 (ML/RL &amp; Vision): Pre-trained Scikit/ONNX models, CLIP-ViT regression, and Google GenAI SDK.</w:t>
      </w:r>
    </w:p>
    <w:p>
      <w:pPr>
        <w:spacing w:before="0" w:after="120" w:line="360" w:lineRule="auto"/>
        <w:jc w:val="both"/>
      </w:pPr>
      <w:r>
        <w:rPr>
          <w:rFonts w:ascii="Times New Roman" w:hAnsi="Times New Roman"/>
          <w:b w:val="0"/>
          <w:i w:val="0"/>
          <w:color w:val="000000"/>
          <w:sz w:val="24"/>
        </w:rPr>
        <w:t>• Tier 6 (Data &amp; Storage): SQLAlchemy relational models (PostgreSQL/SQLite), Qdrant vector DB, and singleton model cache.</w:t>
      </w:r>
    </w:p>
    <w:p>
      <w:pPr>
        <w:spacing w:before="240" w:after="80" w:line="276" w:lineRule="auto"/>
        <w:jc w:val="left"/>
      </w:pPr>
      <w:r>
        <w:rPr>
          <w:rFonts w:ascii="Times New Roman" w:hAnsi="Times New Roman"/>
          <w:b/>
          <w:color w:val="1E293B"/>
          <w:sz w:val="28"/>
        </w:rPr>
        <w:t>3.2 Storage Architecture &amp; Data Segregation</w:t>
      </w:r>
    </w:p>
    <w:tbl>
      <w:tblPr>
        <w:tblW w:type="auto" w:w="0"/>
        <w:jc w:val="center"/>
        <w:tblLook w:firstColumn="1" w:firstRow="1" w:lastColumn="0" w:lastRow="0" w:noHBand="0" w:noVBand="1" w:val="04A0"/>
      </w:tblPr>
      <w:tblGrid>
        <w:gridCol w:w="2495"/>
        <w:gridCol w:w="2495"/>
        <w:gridCol w:w="2495"/>
        <w:gridCol w:w="2495"/>
      </w:tblGrid>
      <w:tr>
        <w:tc>
          <w:tcPr>
            <w:tcW w:type="dxa" w:w="2160"/>
            <w:shd w:fill="0F172A"/>
            <w:tcMar>
              <w:top w:w="120" w:type="dxa"/>
              <w:bottom w:w="120" w:type="dxa"/>
              <w:left w:w="140" w:type="dxa"/>
              <w:right w:w="140" w:type="dxa"/>
            </w:tcMar>
          </w:tcPr>
          <w:p>
            <w:pPr>
              <w:spacing w:before="0" w:after="0"/>
              <w:jc w:val="center"/>
            </w:pPr>
            <w:r>
              <w:rPr>
                <w:rFonts w:ascii="Times New Roman" w:hAnsi="Times New Roman"/>
                <w:b/>
                <w:color w:val="FFFFFF"/>
                <w:sz w:val="20"/>
              </w:rPr>
              <w:t>Storage Layer</w:t>
            </w:r>
          </w:p>
        </w:tc>
        <w:tc>
          <w:tcPr>
            <w:tcW w:type="dxa" w:w="2880"/>
            <w:shd w:fill="0F172A"/>
            <w:tcMar>
              <w:top w:w="120" w:type="dxa"/>
              <w:bottom w:w="120" w:type="dxa"/>
              <w:left w:w="140" w:type="dxa"/>
              <w:right w:w="140" w:type="dxa"/>
            </w:tcMar>
          </w:tcPr>
          <w:p>
            <w:pPr>
              <w:spacing w:before="0" w:after="0"/>
              <w:jc w:val="center"/>
            </w:pPr>
            <w:r>
              <w:rPr>
                <w:rFonts w:ascii="Times New Roman" w:hAnsi="Times New Roman"/>
                <w:b/>
                <w:color w:val="FFFFFF"/>
                <w:sz w:val="20"/>
              </w:rPr>
              <w:t>Engine / Format</w:t>
            </w:r>
          </w:p>
        </w:tc>
        <w:tc>
          <w:tcPr>
            <w:tcW w:type="dxa" w:w="3312"/>
            <w:shd w:fill="0F172A"/>
            <w:tcMar>
              <w:top w:w="120" w:type="dxa"/>
              <w:bottom w:w="120" w:type="dxa"/>
              <w:left w:w="140" w:type="dxa"/>
              <w:right w:w="140" w:type="dxa"/>
            </w:tcMar>
          </w:tcPr>
          <w:p>
            <w:pPr>
              <w:spacing w:before="0" w:after="0"/>
              <w:jc w:val="center"/>
            </w:pPr>
            <w:r>
              <w:rPr>
                <w:rFonts w:ascii="Times New Roman" w:hAnsi="Times New Roman"/>
                <w:b/>
                <w:color w:val="FFFFFF"/>
                <w:sz w:val="20"/>
              </w:rPr>
              <w:t>Target Data Entities</w:t>
            </w:r>
          </w:p>
        </w:tc>
        <w:tc>
          <w:tcPr>
            <w:tcW w:type="dxa" w:w="1440"/>
            <w:shd w:fill="0F172A"/>
            <w:tcMar>
              <w:top w:w="120" w:type="dxa"/>
              <w:bottom w:w="120" w:type="dxa"/>
              <w:left w:w="140" w:type="dxa"/>
              <w:right w:w="140" w:type="dxa"/>
            </w:tcMar>
          </w:tcPr>
          <w:p>
            <w:pPr>
              <w:spacing w:before="0" w:after="0"/>
              <w:jc w:val="center"/>
            </w:pPr>
            <w:r>
              <w:rPr>
                <w:rFonts w:ascii="Times New Roman" w:hAnsi="Times New Roman"/>
                <w:b/>
                <w:color w:val="FFFFFF"/>
                <w:sz w:val="20"/>
              </w:rPr>
              <w:t>Status</w:t>
            </w:r>
          </w:p>
        </w:tc>
      </w:tr>
      <w:tr>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Relational DB</w:t>
            </w:r>
          </w:p>
        </w:tc>
        <w:tc>
          <w:tcPr>
            <w:tcW w:type="dxa" w:w="288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SQLAlchemy / SQLite / Postgres</w:t>
            </w:r>
          </w:p>
        </w:tc>
        <w:tc>
          <w:tcPr>
            <w:tcW w:type="dxa" w:w="331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Users, Campaigns, Organizations, Immutable Audit Logs</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[IMPLEMENTED]</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Vector DB</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Qdrant Client (384 dimensions)</w:t>
            </w:r>
          </w:p>
        </w:tc>
        <w:tc>
          <w:tcPr>
            <w:tcW w:type="dxa" w:w="331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Marketing Playbooks, Brand Guidelines, Semantic Vectors</w:t>
            </w:r>
          </w:p>
        </w:tc>
        <w:tc>
          <w:tcPr>
            <w:tcW w:type="dxa" w:w="144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[IMPLEMENTED]</w:t>
            </w:r>
          </w:p>
        </w:tc>
      </w:tr>
      <w:tr>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Model Registry</w:t>
            </w:r>
          </w:p>
        </w:tc>
        <w:tc>
          <w:tcPr>
            <w:tcW w:type="dxa" w:w="288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Local Disk (`research/models/`)</w:t>
            </w:r>
          </w:p>
        </w:tc>
        <w:tc>
          <w:tcPr>
            <w:tcW w:type="dxa" w:w="331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ONNX and Scikit Checkpoint Files (.pkl, .onnx)</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[IMPLEMENTED]</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Episodic Memory</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Relational JSON Tables</w:t>
            </w:r>
          </w:p>
        </w:tc>
        <w:tc>
          <w:tcPr>
            <w:tcW w:type="dxa" w:w="331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Cross-campaign performance history &amp; HITL review decisions</w:t>
            </w:r>
          </w:p>
        </w:tc>
        <w:tc>
          <w:tcPr>
            <w:tcW w:type="dxa" w:w="144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[IMPLEMENTED]</w:t>
            </w:r>
          </w:p>
        </w:tc>
      </w:tr>
    </w:tbl>
    <w:p>
      <w:pPr>
        <w:spacing w:after="80"/>
      </w:pPr>
    </w:p>
    <w:p>
      <w:pPr>
        <w:spacing w:before="320" w:after="120" w:line="276" w:lineRule="auto"/>
        <w:jc w:val="left"/>
      </w:pPr>
      <w:r>
        <w:rPr>
          <w:rFonts w:ascii="Times New Roman" w:hAnsi="Times New Roman"/>
          <w:b/>
          <w:color w:val="0F172A"/>
          <w:sz w:val="32"/>
        </w:rPr>
        <w:t>Chapter (4) — The 18-Stage Master Pipeline &amp; Multi-Agent Fleet</w:t>
      </w:r>
    </w:p>
    <w:p>
      <w:pPr>
        <w:spacing w:before="160" w:after="40"/>
        <w:jc w:val="center"/>
      </w:pPr>
    </w:p>
    <w:p>
      <w:pPr>
        <w:jc w:val="center"/>
      </w:pPr>
      <w:r>
        <w:drawing>
          <wp:inline xmlns:a="http://schemas.openxmlformats.org/drawingml/2006/main" xmlns:pic="http://schemas.openxmlformats.org/drawingml/2006/picture">
            <wp:extent cx="5303520" cy="2960104"/>
            <wp:docPr id="2" name="Picture 2"/>
            <wp:cNvGraphicFramePr>
              <a:graphicFrameLocks noChangeAspect="1"/>
            </wp:cNvGraphicFramePr>
            <a:graphic>
              <a:graphicData uri="http://schemas.openxmlformats.org/drawingml/2006/picture">
                <pic:pic>
                  <pic:nvPicPr>
                    <pic:cNvPr id="0" name="pipeline_architecture.png"/>
                    <pic:cNvPicPr/>
                  </pic:nvPicPr>
                  <pic:blipFill>
                    <a:blip r:embed="rId12"/>
                    <a:stretch>
                      <a:fillRect/>
                    </a:stretch>
                  </pic:blipFill>
                  <pic:spPr>
                    <a:xfrm>
                      <a:off x="0" y="0"/>
                      <a:ext cx="5303520" cy="2960104"/>
                    </a:xfrm>
                    <a:prstGeom prst="rect"/>
                  </pic:spPr>
                </pic:pic>
              </a:graphicData>
            </a:graphic>
          </wp:inline>
        </w:drawing>
      </w:r>
    </w:p>
    <w:p>
      <w:pPr>
        <w:spacing w:before="40" w:after="160"/>
        <w:jc w:val="center"/>
      </w:pPr>
      <w:r>
        <w:rPr>
          <w:rFonts w:ascii="Times New Roman" w:hAnsi="Times New Roman"/>
          <w:i/>
          <w:color w:val="475569"/>
          <w:sz w:val="20"/>
        </w:rPr>
        <w:t>Figure 4.1: ADPilot Pro 18-Stage Master Sequential Pipeline Architecture</w:t>
      </w:r>
    </w:p>
    <w:p>
      <w:pPr>
        <w:spacing w:before="0" w:after="120" w:line="360" w:lineRule="auto"/>
        <w:jc w:val="both"/>
      </w:pPr>
      <w:r>
        <w:rPr>
          <w:rFonts w:ascii="Times New Roman" w:hAnsi="Times New Roman"/>
          <w:b w:val="0"/>
          <w:i w:val="0"/>
          <w:color w:val="000000"/>
          <w:sz w:val="24"/>
        </w:rPr>
        <w:t>The Master Pipeline is immutable and sequentially deterministic. Every campaign execution traverses 18 distinct stages across 5 operational phases:</w:t>
      </w:r>
    </w:p>
    <w:tbl>
      <w:tblPr>
        <w:tblW w:type="auto" w:w="0"/>
        <w:jc w:val="center"/>
        <w:tblLook w:firstColumn="1" w:firstRow="1" w:lastColumn="0" w:lastRow="0" w:noHBand="0" w:noVBand="1" w:val="04A0"/>
      </w:tblPr>
      <w:tblGrid>
        <w:gridCol w:w="1663"/>
        <w:gridCol w:w="1663"/>
        <w:gridCol w:w="1663"/>
        <w:gridCol w:w="1663"/>
        <w:gridCol w:w="1663"/>
        <w:gridCol w:w="1663"/>
      </w:tblGrid>
      <w:tr>
        <w:tc>
          <w:tcPr>
            <w:tcW w:type="dxa" w:w="576"/>
            <w:shd w:fill="0F172A"/>
            <w:tcMar>
              <w:top w:w="120" w:type="dxa"/>
              <w:bottom w:w="120" w:type="dxa"/>
              <w:left w:w="140" w:type="dxa"/>
              <w:right w:w="140" w:type="dxa"/>
            </w:tcMar>
          </w:tcPr>
          <w:p>
            <w:pPr>
              <w:spacing w:before="0" w:after="0"/>
              <w:jc w:val="center"/>
            </w:pPr>
            <w:r>
              <w:rPr>
                <w:rFonts w:ascii="Times New Roman" w:hAnsi="Times New Roman"/>
                <w:b/>
                <w:color w:val="FFFFFF"/>
                <w:sz w:val="20"/>
              </w:rPr>
              <w:t>#</w:t>
            </w:r>
          </w:p>
        </w:tc>
        <w:tc>
          <w:tcPr>
            <w:tcW w:type="dxa" w:w="2016"/>
            <w:shd w:fill="0F172A"/>
            <w:tcMar>
              <w:top w:w="120" w:type="dxa"/>
              <w:bottom w:w="120" w:type="dxa"/>
              <w:left w:w="140" w:type="dxa"/>
              <w:right w:w="140" w:type="dxa"/>
            </w:tcMar>
          </w:tcPr>
          <w:p>
            <w:pPr>
              <w:spacing w:before="0" w:after="0"/>
              <w:jc w:val="center"/>
            </w:pPr>
            <w:r>
              <w:rPr>
                <w:rFonts w:ascii="Times New Roman" w:hAnsi="Times New Roman"/>
                <w:b/>
                <w:color w:val="FFFFFF"/>
                <w:sz w:val="20"/>
              </w:rPr>
              <w:t>Stage Name</w:t>
            </w:r>
          </w:p>
        </w:tc>
        <w:tc>
          <w:tcPr>
            <w:tcW w:type="dxa" w:w="1728"/>
            <w:shd w:fill="0F172A"/>
            <w:tcMar>
              <w:top w:w="120" w:type="dxa"/>
              <w:bottom w:w="120" w:type="dxa"/>
              <w:left w:w="140" w:type="dxa"/>
              <w:right w:w="140" w:type="dxa"/>
            </w:tcMar>
          </w:tcPr>
          <w:p>
            <w:pPr>
              <w:spacing w:before="0" w:after="0"/>
              <w:jc w:val="center"/>
            </w:pPr>
            <w:r>
              <w:rPr>
                <w:rFonts w:ascii="Times New Roman" w:hAnsi="Times New Roman"/>
                <w:b/>
                <w:color w:val="FFFFFF"/>
                <w:sz w:val="20"/>
              </w:rPr>
              <w:t>Assigned Agent</w:t>
            </w:r>
          </w:p>
        </w:tc>
        <w:tc>
          <w:tcPr>
            <w:tcW w:type="dxa" w:w="1728"/>
            <w:shd w:fill="0F172A"/>
            <w:tcMar>
              <w:top w:w="120" w:type="dxa"/>
              <w:bottom w:w="120" w:type="dxa"/>
              <w:left w:w="140" w:type="dxa"/>
              <w:right w:w="140" w:type="dxa"/>
            </w:tcMar>
          </w:tcPr>
          <w:p>
            <w:pPr>
              <w:spacing w:before="0" w:after="0"/>
              <w:jc w:val="center"/>
            </w:pPr>
            <w:r>
              <w:rPr>
                <w:rFonts w:ascii="Times New Roman" w:hAnsi="Times New Roman"/>
                <w:b/>
                <w:color w:val="FFFFFF"/>
                <w:sz w:val="20"/>
              </w:rPr>
              <w:t>Engine / Model</w:t>
            </w:r>
          </w:p>
        </w:tc>
        <w:tc>
          <w:tcPr>
            <w:tcW w:type="dxa" w:w="1872"/>
            <w:shd w:fill="0F172A"/>
            <w:tcMar>
              <w:top w:w="120" w:type="dxa"/>
              <w:bottom w:w="120" w:type="dxa"/>
              <w:left w:w="140" w:type="dxa"/>
              <w:right w:w="140" w:type="dxa"/>
            </w:tcMar>
          </w:tcPr>
          <w:p>
            <w:pPr>
              <w:spacing w:before="0" w:after="0"/>
              <w:jc w:val="center"/>
            </w:pPr>
            <w:r>
              <w:rPr>
                <w:rFonts w:ascii="Times New Roman" w:hAnsi="Times New Roman"/>
                <w:b/>
                <w:color w:val="FFFFFF"/>
                <w:sz w:val="20"/>
              </w:rPr>
              <w:t>Input Contract</w:t>
            </w:r>
          </w:p>
        </w:tc>
        <w:tc>
          <w:tcPr>
            <w:tcW w:type="dxa" w:w="1872"/>
            <w:shd w:fill="0F172A"/>
            <w:tcMar>
              <w:top w:w="120" w:type="dxa"/>
              <w:bottom w:w="120" w:type="dxa"/>
              <w:left w:w="140" w:type="dxa"/>
              <w:right w:w="140" w:type="dxa"/>
            </w:tcMar>
          </w:tcPr>
          <w:p>
            <w:pPr>
              <w:spacing w:before="0" w:after="0"/>
              <w:jc w:val="center"/>
            </w:pPr>
            <w:r>
              <w:rPr>
                <w:rFonts w:ascii="Times New Roman" w:hAnsi="Times New Roman"/>
                <w:b/>
                <w:color w:val="FFFFFF"/>
                <w:sz w:val="20"/>
              </w:rPr>
              <w:t>Output Contract</w:t>
            </w:r>
          </w:p>
        </w:tc>
      </w:tr>
      <w:tr>
        <w:tc>
          <w:tcPr>
            <w:tcW w:type="dxa" w:w="57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01</w:t>
            </w:r>
          </w:p>
        </w:tc>
        <w:tc>
          <w:tcPr>
            <w:tcW w:type="dxa" w:w="201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Brief Ingestion</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API Gateway</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FastAPI Router</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Raw JSON Brief</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CampaignInputSchema</w:t>
            </w:r>
          </w:p>
        </w:tc>
      </w:tr>
      <w:tr>
        <w:tc>
          <w:tcPr>
            <w:tcW w:type="dxa" w:w="57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02</w:t>
            </w:r>
          </w:p>
        </w:tc>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Context Building</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Context Builder</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Deterministic</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CampaignInputSchema</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CampaignContext</w:t>
            </w:r>
          </w:p>
        </w:tc>
      </w:tr>
      <w:tr>
        <w:tc>
          <w:tcPr>
            <w:tcW w:type="dxa" w:w="57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03</w:t>
            </w:r>
          </w:p>
        </w:tc>
        <w:tc>
          <w:tcPr>
            <w:tcW w:type="dxa" w:w="201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Vertical Classification</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Product Classifier</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GPT-4o Router</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CampaignContext</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ProductClassification</w:t>
            </w:r>
          </w:p>
        </w:tc>
      </w:tr>
      <w:tr>
        <w:tc>
          <w:tcPr>
            <w:tcW w:type="dxa" w:w="57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04</w:t>
            </w:r>
          </w:p>
        </w:tc>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Execution Planning</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Planner Agent</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GPT-4o Router</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ProductClassification</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ExecutionPlan</w:t>
            </w:r>
          </w:p>
        </w:tc>
      </w:tr>
      <w:tr>
        <w:tc>
          <w:tcPr>
            <w:tcW w:type="dxa" w:w="57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05</w:t>
            </w:r>
          </w:p>
        </w:tc>
        <w:tc>
          <w:tcPr>
            <w:tcW w:type="dxa" w:w="201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Strategy Formulation</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Strategy Agent</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GPT-4o Router</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ExecutionPlan</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StrategyAgentOutput</w:t>
            </w:r>
          </w:p>
        </w:tc>
      </w:tr>
      <w:tr>
        <w:tc>
          <w:tcPr>
            <w:tcW w:type="dxa" w:w="57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06</w:t>
            </w:r>
          </w:p>
        </w:tc>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Market Research</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Research Agent</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Claude 3.5 Sonnet</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StrategyAgentOutput</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ResearchAgentOutput</w:t>
            </w:r>
          </w:p>
        </w:tc>
      </w:tr>
      <w:tr>
        <w:tc>
          <w:tcPr>
            <w:tcW w:type="dxa" w:w="57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07</w:t>
            </w:r>
          </w:p>
        </w:tc>
        <w:tc>
          <w:tcPr>
            <w:tcW w:type="dxa" w:w="201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Competitor Intelligence</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Competitor Agent</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GPT-4o Router</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ResearchAgentOutput</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CompetitorOutput</w:t>
            </w:r>
          </w:p>
        </w:tc>
      </w:tr>
      <w:tr>
        <w:tc>
          <w:tcPr>
            <w:tcW w:type="dxa" w:w="57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08</w:t>
            </w:r>
          </w:p>
        </w:tc>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Content Copywriting</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Content Agent</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Claude 3.5 Sonnet</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CompetitorOutput</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ContentAgentOutput</w:t>
            </w:r>
          </w:p>
        </w:tc>
      </w:tr>
      <w:tr>
        <w:tc>
          <w:tcPr>
            <w:tcW w:type="dxa" w:w="57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09</w:t>
            </w:r>
          </w:p>
        </w:tc>
        <w:tc>
          <w:tcPr>
            <w:tcW w:type="dxa" w:w="201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Creative Studio</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Design Agent</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GPT-4o / Gemini</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ContentAgentOutput</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DesignAgentOutput</w:t>
            </w:r>
          </w:p>
        </w:tc>
      </w:tr>
      <w:tr>
        <w:tc>
          <w:tcPr>
            <w:tcW w:type="dxa" w:w="57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10</w:t>
            </w:r>
          </w:p>
        </w:tc>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Visual Quality Gate</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CV Agent</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CLIP-ViT (ONNX)</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DesignAgentOutput</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CVScoreOutput</w:t>
            </w:r>
          </w:p>
        </w:tc>
      </w:tr>
      <w:tr>
        <w:tc>
          <w:tcPr>
            <w:tcW w:type="dxa" w:w="57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11</w:t>
            </w:r>
          </w:p>
        </w:tc>
        <w:tc>
          <w:tcPr>
            <w:tcW w:type="dxa" w:w="201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Predictive Analytics</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Analytics Agent</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Ridge Regressor</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CVScoreOutput</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AnalyticsAgentOutput</w:t>
            </w:r>
          </w:p>
        </w:tc>
      </w:tr>
      <w:tr>
        <w:tc>
          <w:tcPr>
            <w:tcW w:type="dxa" w:w="57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12</w:t>
            </w:r>
          </w:p>
        </w:tc>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Budget Optimization</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RL Optimizer</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PyTorch PPO</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AnalyticsAgentOutput</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OptimizationOutput</w:t>
            </w:r>
          </w:p>
        </w:tc>
      </w:tr>
      <w:tr>
        <w:tc>
          <w:tcPr>
            <w:tcW w:type="dxa" w:w="57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13</w:t>
            </w:r>
          </w:p>
        </w:tc>
        <w:tc>
          <w:tcPr>
            <w:tcW w:type="dxa" w:w="201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Error Correction</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Correction Engine</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Deterministic Rules</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OptimizationOutput</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CorrectionOutput</w:t>
            </w:r>
          </w:p>
        </w:tc>
      </w:tr>
      <w:tr>
        <w:tc>
          <w:tcPr>
            <w:tcW w:type="dxa" w:w="57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14</w:t>
            </w:r>
          </w:p>
        </w:tc>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Human Approval</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HITL Gate</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Director / Auditor</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CorrectionOutput</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HITLDecisionRecord</w:t>
            </w:r>
          </w:p>
        </w:tc>
      </w:tr>
      <w:tr>
        <w:tc>
          <w:tcPr>
            <w:tcW w:type="dxa" w:w="57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15</w:t>
            </w:r>
          </w:p>
        </w:tc>
        <w:tc>
          <w:tcPr>
            <w:tcW w:type="dxa" w:w="201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Media Dispatch</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Publishing Agent</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REST Adapters</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HITLDecisionRecord</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PublishingResult</w:t>
            </w:r>
          </w:p>
        </w:tc>
      </w:tr>
      <w:tr>
        <w:tc>
          <w:tcPr>
            <w:tcW w:type="dxa" w:w="57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16</w:t>
            </w:r>
          </w:p>
        </w:tc>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Anomaly Telemetry</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Monitoring Agent</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Statistical Z-Score</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PublishingResult</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MonitoringEvent</w:t>
            </w:r>
          </w:p>
        </w:tc>
      </w:tr>
      <w:tr>
        <w:tc>
          <w:tcPr>
            <w:tcW w:type="dxa" w:w="57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17</w:t>
            </w:r>
          </w:p>
        </w:tc>
        <w:tc>
          <w:tcPr>
            <w:tcW w:type="dxa" w:w="201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Feedback Routing</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Feedback Engine</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Closed-Loop Event</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MonitoringEvent</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PolicyBufferUpdate</w:t>
            </w:r>
          </w:p>
        </w:tc>
      </w:tr>
      <w:tr>
        <w:tc>
          <w:tcPr>
            <w:tcW w:type="dxa" w:w="57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18</w:t>
            </w:r>
          </w:p>
        </w:tc>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Knowledge Store</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RAG / Memory Manager</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FastEmbed + Qdrant</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PolicyBufferUpdate</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MemorySnapshot</w:t>
            </w:r>
          </w:p>
        </w:tc>
      </w:tr>
    </w:tbl>
    <w:p>
      <w:pPr>
        <w:spacing w:after="80"/>
      </w:pPr>
    </w:p>
    <w:p>
      <w:pPr>
        <w:spacing w:before="320" w:after="120" w:line="276" w:lineRule="auto"/>
        <w:jc w:val="left"/>
      </w:pPr>
      <w:r>
        <w:rPr>
          <w:rFonts w:ascii="Times New Roman" w:hAnsi="Times New Roman"/>
          <w:b/>
          <w:color w:val="0F172A"/>
          <w:sz w:val="32"/>
        </w:rPr>
        <w:t>Chapter (5) — Generative Vision &amp; Quality Gating</w:t>
      </w:r>
    </w:p>
    <w:p>
      <w:pPr>
        <w:spacing w:before="240" w:after="80" w:line="276" w:lineRule="auto"/>
        <w:jc w:val="left"/>
      </w:pPr>
      <w:r>
        <w:rPr>
          <w:rFonts w:ascii="Times New Roman" w:hAnsi="Times New Roman"/>
          <w:b/>
          <w:color w:val="1E293B"/>
          <w:sz w:val="28"/>
        </w:rPr>
        <w:t>5.1 Google Gemini Nano Banana Image Synthesis</w:t>
      </w:r>
    </w:p>
    <w:p>
      <w:pPr>
        <w:spacing w:before="0" w:after="120" w:line="360" w:lineRule="auto"/>
        <w:jc w:val="both"/>
      </w:pPr>
      <w:r>
        <w:rPr>
          <w:rFonts w:ascii="Times New Roman" w:hAnsi="Times New Roman"/>
          <w:b w:val="0"/>
          <w:i w:val="0"/>
          <w:color w:val="000000"/>
          <w:sz w:val="24"/>
        </w:rPr>
        <w:t>The Design Agent integrates with Google's GenAI SDK (models.generate_content with response_modalities=['IMAGE', 'TEXT']) to synthesize photorealistic commercial advertising visuals tailored across 4 native aspect ratios:</w:t>
      </w:r>
    </w:p>
    <w:p>
      <w:pPr>
        <w:spacing w:before="0" w:after="120" w:line="360" w:lineRule="auto"/>
        <w:jc w:val="both"/>
      </w:pPr>
      <w:r>
        <w:rPr>
          <w:rFonts w:ascii="Times New Roman" w:hAnsi="Times New Roman"/>
          <w:b w:val="0"/>
          <w:i w:val="0"/>
          <w:color w:val="000000"/>
          <w:sz w:val="24"/>
        </w:rPr>
        <w:t>• 16:9 Display (1920x1080): Google Display Network, YouTube pre-roll, LinkedIn Hero.</w:t>
      </w:r>
    </w:p>
    <w:p>
      <w:pPr>
        <w:spacing w:before="0" w:after="120" w:line="360" w:lineRule="auto"/>
        <w:jc w:val="both"/>
      </w:pPr>
      <w:r>
        <w:rPr>
          <w:rFonts w:ascii="Times New Roman" w:hAnsi="Times New Roman"/>
          <w:b w:val="0"/>
          <w:i w:val="0"/>
          <w:color w:val="000000"/>
          <w:sz w:val="24"/>
        </w:rPr>
        <w:t>• 1:1 Square Feed (1080x1080): Meta Facebook &amp; Instagram Square Carousel Feed.</w:t>
      </w:r>
    </w:p>
    <w:p>
      <w:pPr>
        <w:spacing w:before="0" w:after="120" w:line="360" w:lineRule="auto"/>
        <w:jc w:val="both"/>
      </w:pPr>
      <w:r>
        <w:rPr>
          <w:rFonts w:ascii="Times New Roman" w:hAnsi="Times New Roman"/>
          <w:b w:val="0"/>
          <w:i w:val="0"/>
          <w:color w:val="000000"/>
          <w:sz w:val="24"/>
        </w:rPr>
        <w:t>• 4:5 Mobile Portrait (1080x1350): Instagram Feed &amp; Facebook Mobile Feed.</w:t>
      </w:r>
    </w:p>
    <w:p>
      <w:pPr>
        <w:spacing w:before="0" w:after="120" w:line="360" w:lineRule="auto"/>
        <w:jc w:val="both"/>
      </w:pPr>
      <w:r>
        <w:rPr>
          <w:rFonts w:ascii="Times New Roman" w:hAnsi="Times New Roman"/>
          <w:b w:val="0"/>
          <w:i w:val="0"/>
          <w:color w:val="000000"/>
          <w:sz w:val="24"/>
        </w:rPr>
        <w:t>• 9:16 Vertical Story (1080x1920): Instagram Stories, TikTok Ads, YouTube Shorts.</w:t>
      </w:r>
    </w:p>
    <w:p>
      <w:pPr>
        <w:spacing w:before="0" w:after="120" w:line="360" w:lineRule="auto"/>
        <w:jc w:val="both"/>
      </w:pPr>
      <w:r>
        <w:rPr>
          <w:rFonts w:ascii="Times New Roman" w:hAnsi="Times New Roman"/>
          <w:b w:val="0"/>
          <w:i w:val="0"/>
          <w:color w:val="000000"/>
          <w:sz w:val="24"/>
        </w:rPr>
        <w:t>When external commercial quotas are constrained, the system engages high-fidelity visual synthesis fallback, guaranteeing zero pipeline interruption.</w:t>
      </w:r>
    </w:p>
    <w:p>
      <w:pPr>
        <w:spacing w:before="240" w:after="80" w:line="276" w:lineRule="auto"/>
        <w:jc w:val="left"/>
      </w:pPr>
      <w:r>
        <w:rPr>
          <w:rFonts w:ascii="Times New Roman" w:hAnsi="Times New Roman"/>
          <w:b/>
          <w:color w:val="1E293B"/>
          <w:sz w:val="28"/>
        </w:rPr>
        <w:t>5.2 Computer Vision Quality Gate (CV Agent)</w:t>
      </w:r>
    </w:p>
    <w:p>
      <w:pPr>
        <w:spacing w:before="0" w:after="120" w:line="360" w:lineRule="auto"/>
        <w:jc w:val="both"/>
      </w:pPr>
      <w:r>
        <w:rPr>
          <w:rFonts w:ascii="Times New Roman" w:hAnsi="Times New Roman"/>
          <w:b w:val="0"/>
          <w:i w:val="0"/>
          <w:color w:val="000000"/>
          <w:sz w:val="24"/>
        </w:rPr>
        <w:t>Every generated visual asset must pass three automated quantitative quality gates:</w:t>
      </w:r>
    </w:p>
    <w:p>
      <w:pPr>
        <w:spacing w:before="0" w:after="120" w:line="360" w:lineRule="auto"/>
        <w:jc w:val="both"/>
      </w:pPr>
      <w:r>
        <w:rPr>
          <w:rFonts w:ascii="Times New Roman" w:hAnsi="Times New Roman"/>
          <w:b w:val="0"/>
          <w:i w:val="0"/>
          <w:color w:val="000000"/>
          <w:sz w:val="24"/>
        </w:rPr>
        <w:t>1. Zero-Shot CLIP-ViT Aesthetic Score: Computes cosine similarity between image embeddings and visual aesthetic vectors (Pass Threshold: Score &gt;= 8.5/10).</w:t>
      </w:r>
    </w:p>
    <w:p>
      <w:pPr>
        <w:spacing w:before="0" w:after="120" w:line="360" w:lineRule="auto"/>
        <w:jc w:val="both"/>
      </w:pPr>
      <w:r>
        <w:rPr>
          <w:rFonts w:ascii="Times New Roman" w:hAnsi="Times New Roman"/>
          <w:b w:val="0"/>
          <w:i w:val="0"/>
          <w:color w:val="000000"/>
          <w:sz w:val="24"/>
        </w:rPr>
        <w:t>2. WCAG AAA Contrast Auditing: Measures luminosity contrast between typography and background pixels:</w:t>
      </w:r>
    </w:p>
    <w:p>
      <w:pPr>
        <w:spacing w:before="0" w:after="120" w:line="360" w:lineRule="auto"/>
        <w:jc w:val="center"/>
      </w:pPr>
      <w:r>
        <w:rPr>
          <w:rFonts w:ascii="Times New Roman" w:hAnsi="Times New Roman"/>
          <w:b w:val="0"/>
          <w:i/>
          <w:color w:val="000000"/>
          <w:sz w:val="24"/>
        </w:rPr>
        <w:t>C = (L_1 + 0.05) / (L_2 + 0.05) &gt;= 7.0:1  (AAA Certified Compliance)</w:t>
      </w:r>
    </w:p>
    <w:p>
      <w:pPr>
        <w:spacing w:before="0" w:after="120" w:line="360" w:lineRule="auto"/>
        <w:jc w:val="both"/>
      </w:pPr>
      <w:r>
        <w:rPr>
          <w:rFonts w:ascii="Times New Roman" w:hAnsi="Times New Roman"/>
          <w:b w:val="0"/>
          <w:i w:val="0"/>
          <w:color w:val="000000"/>
          <w:sz w:val="24"/>
        </w:rPr>
        <w:t>3. Text Density Gating: Enforces a maximum text occupancy ceiling of 20% to prevent ad platform reach throttling.</w:t>
      </w:r>
    </w:p>
    <w:p>
      <w:pPr>
        <w:spacing w:before="320" w:after="120" w:line="276" w:lineRule="auto"/>
        <w:jc w:val="left"/>
      </w:pPr>
      <w:r>
        <w:rPr>
          <w:rFonts w:ascii="Times New Roman" w:hAnsi="Times New Roman"/>
          <w:b/>
          <w:color w:val="0F172A"/>
          <w:sz w:val="32"/>
        </w:rPr>
        <w:t>Chapter (6) — Reinforcement Learning &amp; Budget Decision Engine</w:t>
      </w:r>
    </w:p>
    <w:p>
      <w:pPr>
        <w:spacing w:before="160" w:after="40"/>
        <w:jc w:val="center"/>
      </w:pPr>
    </w:p>
    <w:p>
      <w:pPr>
        <w:jc w:val="center"/>
      </w:pPr>
      <w:r>
        <w:drawing>
          <wp:inline xmlns:a="http://schemas.openxmlformats.org/drawingml/2006/main" xmlns:pic="http://schemas.openxmlformats.org/drawingml/2006/picture">
            <wp:extent cx="5303520" cy="2960104"/>
            <wp:docPr id="3" name="Picture 3"/>
            <wp:cNvGraphicFramePr>
              <a:graphicFrameLocks noChangeAspect="1"/>
            </wp:cNvGraphicFramePr>
            <a:graphic>
              <a:graphicData uri="http://schemas.openxmlformats.org/drawingml/2006/picture">
                <pic:pic>
                  <pic:nvPicPr>
                    <pic:cNvPr id="0" name="rl_optimizer_loss.png"/>
                    <pic:cNvPicPr/>
                  </pic:nvPicPr>
                  <pic:blipFill>
                    <a:blip r:embed="rId13"/>
                    <a:stretch>
                      <a:fillRect/>
                    </a:stretch>
                  </pic:blipFill>
                  <pic:spPr>
                    <a:xfrm>
                      <a:off x="0" y="0"/>
                      <a:ext cx="5303520" cy="2960104"/>
                    </a:xfrm>
                    <a:prstGeom prst="rect"/>
                  </pic:spPr>
                </pic:pic>
              </a:graphicData>
            </a:graphic>
          </wp:inline>
        </w:drawing>
      </w:r>
    </w:p>
    <w:p>
      <w:pPr>
        <w:spacing w:before="40" w:after="160"/>
        <w:jc w:val="center"/>
      </w:pPr>
      <w:r>
        <w:rPr>
          <w:rFonts w:ascii="Times New Roman" w:hAnsi="Times New Roman"/>
          <w:i/>
          <w:color w:val="475569"/>
          <w:sz w:val="20"/>
        </w:rPr>
        <w:t>Figure 6.1: PPO Actor-Critic Policy Loss and Reward Convergence During Simulated Training</w:t>
      </w:r>
    </w:p>
    <w:p>
      <w:pPr>
        <w:spacing w:before="0" w:after="120" w:line="360" w:lineRule="auto"/>
        <w:jc w:val="both"/>
      </w:pPr>
      <w:r>
        <w:rPr>
          <w:rFonts w:ascii="Times New Roman" w:hAnsi="Times New Roman"/>
          <w:b w:val="0"/>
          <w:i w:val="0"/>
          <w:color w:val="000000"/>
          <w:sz w:val="24"/>
        </w:rPr>
        <w:t>ADPilot incorporates a custom Proximal Policy Optimization (PPO) Actor-Critic neural network that learns optimal multi-channel budget allocations under continuous market feedback.</w:t>
      </w:r>
    </w:p>
    <w:p>
      <w:pPr>
        <w:spacing w:before="240" w:after="80" w:line="276" w:lineRule="auto"/>
        <w:jc w:val="left"/>
      </w:pPr>
      <w:r>
        <w:rPr>
          <w:rFonts w:ascii="Times New Roman" w:hAnsi="Times New Roman"/>
          <w:b/>
          <w:color w:val="1E293B"/>
          <w:sz w:val="28"/>
        </w:rPr>
        <w:t>6.1 Mathematical Formulation</w:t>
      </w:r>
    </w:p>
    <w:p>
      <w:pPr>
        <w:spacing w:before="0" w:after="120" w:line="360" w:lineRule="auto"/>
        <w:jc w:val="both"/>
      </w:pPr>
      <w:r>
        <w:rPr>
          <w:rFonts w:ascii="Times New Roman" w:hAnsi="Times New Roman"/>
          <w:b w:val="0"/>
          <w:i w:val="0"/>
          <w:color w:val="000000"/>
          <w:sz w:val="24"/>
        </w:rPr>
        <w:t>1. State Vector: The state s_t is a 12-dimensional continuous feature vector:</w:t>
      </w:r>
    </w:p>
    <w:p>
      <w:pPr>
        <w:spacing w:before="0" w:after="120" w:line="360" w:lineRule="auto"/>
        <w:jc w:val="center"/>
      </w:pPr>
      <w:r>
        <w:rPr>
          <w:rFonts w:ascii="Times New Roman" w:hAnsi="Times New Roman"/>
          <w:b w:val="0"/>
          <w:i/>
          <w:color w:val="000000"/>
          <w:sz w:val="24"/>
        </w:rPr>
        <w:t>s_t = [SpendRatio_k, ROAS_k, CAC_k, CTR_k, CVR_k, MarketSat_k, ...]^T</w:t>
      </w:r>
    </w:p>
    <w:p>
      <w:pPr>
        <w:spacing w:before="0" w:after="120" w:line="360" w:lineRule="auto"/>
        <w:jc w:val="both"/>
      </w:pPr>
      <w:r>
        <w:rPr>
          <w:rFonts w:ascii="Times New Roman" w:hAnsi="Times New Roman"/>
          <w:b w:val="0"/>
          <w:i w:val="0"/>
          <w:color w:val="000000"/>
          <w:sz w:val="24"/>
        </w:rPr>
        <w:t>For channels k in {Meta, Google, LinkedIn, Email}.</w:t>
      </w:r>
    </w:p>
    <w:p>
      <w:pPr>
        <w:spacing w:before="0" w:after="120" w:line="360" w:lineRule="auto"/>
        <w:jc w:val="both"/>
      </w:pPr>
      <w:r>
        <w:rPr>
          <w:rFonts w:ascii="Times New Roman" w:hAnsi="Times New Roman"/>
          <w:b w:val="0"/>
          <w:i w:val="0"/>
          <w:color w:val="000000"/>
          <w:sz w:val="24"/>
        </w:rPr>
        <w:t>2. Action Space &amp; Dirichlet Projection: The policy outputs Dirichlet concentration parameters:</w:t>
      </w:r>
    </w:p>
    <w:p>
      <w:pPr>
        <w:spacing w:before="0" w:after="120" w:line="360" w:lineRule="auto"/>
        <w:jc w:val="center"/>
      </w:pPr>
      <w:r>
        <w:rPr>
          <w:rFonts w:ascii="Times New Roman" w:hAnsi="Times New Roman"/>
          <w:b w:val="0"/>
          <w:i/>
          <w:color w:val="000000"/>
          <w:sz w:val="24"/>
        </w:rPr>
        <w:t>alpha = Softplus(f_theta(s_t)) + 1</w:t>
      </w:r>
    </w:p>
    <w:p>
      <w:pPr>
        <w:spacing w:before="0" w:after="120" w:line="360" w:lineRule="auto"/>
        <w:jc w:val="both"/>
      </w:pPr>
      <w:r>
        <w:rPr>
          <w:rFonts w:ascii="Times New Roman" w:hAnsi="Times New Roman"/>
          <w:b w:val="0"/>
          <w:i w:val="0"/>
          <w:color w:val="000000"/>
          <w:sz w:val="24"/>
        </w:rPr>
        <w:t>The normalized budget allocation a_t ~ Dir(alpha) satisfies hard economic constraints:</w:t>
      </w:r>
    </w:p>
    <w:p>
      <w:pPr>
        <w:spacing w:before="0" w:after="120" w:line="360" w:lineRule="auto"/>
        <w:jc w:val="center"/>
      </w:pPr>
      <w:r>
        <w:rPr>
          <w:rFonts w:ascii="Times New Roman" w:hAnsi="Times New Roman"/>
          <w:b w:val="0"/>
          <w:i/>
          <w:color w:val="000000"/>
          <w:sz w:val="24"/>
        </w:rPr>
        <w:t>sum_{k=1}^K a_{t,k} = 1.0  and  a_{t,k} &gt;= 0.05  forall k</w:t>
      </w:r>
    </w:p>
    <w:p>
      <w:pPr>
        <w:spacing w:before="0" w:after="120" w:line="360" w:lineRule="auto"/>
        <w:jc w:val="both"/>
      </w:pPr>
      <w:r>
        <w:rPr>
          <w:rFonts w:ascii="Times New Roman" w:hAnsi="Times New Roman"/>
          <w:b w:val="0"/>
          <w:i w:val="0"/>
          <w:color w:val="000000"/>
          <w:sz w:val="24"/>
        </w:rPr>
        <w:t>3. Multi-Objective Reward Formulation:</w:t>
      </w:r>
    </w:p>
    <w:p>
      <w:pPr>
        <w:spacing w:before="0" w:after="120" w:line="360" w:lineRule="auto"/>
        <w:jc w:val="center"/>
      </w:pPr>
      <w:r>
        <w:rPr>
          <w:rFonts w:ascii="Times New Roman" w:hAnsi="Times New Roman"/>
          <w:b w:val="0"/>
          <w:i/>
          <w:color w:val="000000"/>
          <w:sz w:val="24"/>
        </w:rPr>
        <w:t>R(s_t, a_t) = BlendedROAS - lambda_1 (CAC / CAC_target) + lambda_2 * DeltaConversions - Penalty_Constraint</w:t>
      </w:r>
    </w:p>
    <w:p>
      <w:pPr>
        <w:spacing w:before="320" w:after="120" w:line="276" w:lineRule="auto"/>
        <w:jc w:val="left"/>
      </w:pPr>
      <w:r>
        <w:rPr>
          <w:rFonts w:ascii="Times New Roman" w:hAnsi="Times New Roman"/>
          <w:b/>
          <w:color w:val="0F172A"/>
          <w:sz w:val="32"/>
        </w:rPr>
        <w:t>Chapter (7) — Hybrid RAG &amp; 4-Tier Persistent Memory Engine</w:t>
      </w:r>
    </w:p>
    <w:p>
      <w:pPr>
        <w:spacing w:before="160" w:after="40"/>
        <w:jc w:val="center"/>
      </w:pPr>
    </w:p>
    <w:p>
      <w:pPr>
        <w:jc w:val="center"/>
      </w:pPr>
      <w:r>
        <w:drawing>
          <wp:inline xmlns:a="http://schemas.openxmlformats.org/drawingml/2006/main" xmlns:pic="http://schemas.openxmlformats.org/drawingml/2006/picture">
            <wp:extent cx="5303520" cy="2960104"/>
            <wp:docPr id="4" name="Picture 4"/>
            <wp:cNvGraphicFramePr>
              <a:graphicFrameLocks noChangeAspect="1"/>
            </wp:cNvGraphicFramePr>
            <a:graphic>
              <a:graphicData uri="http://schemas.openxmlformats.org/drawingml/2006/picture">
                <pic:pic>
                  <pic:nvPicPr>
                    <pic:cNvPr id="0" name="rag_hybrid_retrieval.png"/>
                    <pic:cNvPicPr/>
                  </pic:nvPicPr>
                  <pic:blipFill>
                    <a:blip r:embed="rId14"/>
                    <a:stretch>
                      <a:fillRect/>
                    </a:stretch>
                  </pic:blipFill>
                  <pic:spPr>
                    <a:xfrm>
                      <a:off x="0" y="0"/>
                      <a:ext cx="5303520" cy="2960104"/>
                    </a:xfrm>
                    <a:prstGeom prst="rect"/>
                  </pic:spPr>
                </pic:pic>
              </a:graphicData>
            </a:graphic>
          </wp:inline>
        </w:drawing>
      </w:r>
    </w:p>
    <w:p>
      <w:pPr>
        <w:spacing w:before="40" w:after="160"/>
        <w:jc w:val="center"/>
      </w:pPr>
      <w:r>
        <w:rPr>
          <w:rFonts w:ascii="Times New Roman" w:hAnsi="Times New Roman"/>
          <w:i/>
          <w:color w:val="475569"/>
          <w:sz w:val="20"/>
        </w:rPr>
        <w:t>Figure 7.1: Dual-Stream Hybrid RAG Retrieval Engine Combining Dense &amp; Lexical Search</w:t>
      </w:r>
    </w:p>
    <w:p>
      <w:pPr>
        <w:spacing w:before="0" w:after="120" w:line="360" w:lineRule="auto"/>
        <w:jc w:val="both"/>
      </w:pPr>
      <w:r>
        <w:rPr>
          <w:rFonts w:ascii="Times New Roman" w:hAnsi="Times New Roman"/>
          <w:b w:val="0"/>
          <w:i w:val="0"/>
          <w:color w:val="000000"/>
          <w:sz w:val="24"/>
        </w:rPr>
        <w:t>To eliminate hallucinations and guarantee brand consistency, ADPilot deploys a dual-stream hybrid RAG pipeline:</w:t>
      </w:r>
    </w:p>
    <w:p>
      <w:pPr>
        <w:spacing w:before="0" w:after="120" w:line="360" w:lineRule="auto"/>
        <w:jc w:val="both"/>
      </w:pPr>
      <w:r>
        <w:rPr>
          <w:rFonts w:ascii="Times New Roman" w:hAnsi="Times New Roman"/>
          <w:b w:val="0"/>
          <w:i w:val="0"/>
          <w:color w:val="000000"/>
          <w:sz w:val="24"/>
        </w:rPr>
        <w:t>• Dense Semantic Stream: BAAI/bge-small-en-v1.5 embeddings producing 384-dimensional dense vectors stored in Qdrant.</w:t>
      </w:r>
    </w:p>
    <w:p>
      <w:pPr>
        <w:spacing w:before="0" w:after="120" w:line="360" w:lineRule="auto"/>
        <w:jc w:val="both"/>
      </w:pPr>
      <w:r>
        <w:rPr>
          <w:rFonts w:ascii="Times New Roman" w:hAnsi="Times New Roman"/>
          <w:b w:val="0"/>
          <w:i w:val="0"/>
          <w:color w:val="000000"/>
          <w:sz w:val="24"/>
        </w:rPr>
        <w:t>• Sparse Lexical Stream: BM25 Okapi search indexing exact keyword tokens, brand names, and negative keywords.</w:t>
      </w:r>
    </w:p>
    <w:p>
      <w:pPr>
        <w:spacing w:before="0" w:after="120" w:line="360" w:lineRule="auto"/>
        <w:jc w:val="both"/>
      </w:pPr>
      <w:r>
        <w:rPr>
          <w:rFonts w:ascii="Times New Roman" w:hAnsi="Times New Roman"/>
          <w:b w:val="0"/>
          <w:i w:val="0"/>
          <w:color w:val="000000"/>
          <w:sz w:val="24"/>
        </w:rPr>
        <w:t>• Reciprocal Rank Fusion (RRF): Merges dense and sparse ranks with constant k = 60.</w:t>
      </w:r>
    </w:p>
    <w:p>
      <w:pPr>
        <w:spacing w:before="240" w:after="80" w:line="276" w:lineRule="auto"/>
        <w:jc w:val="left"/>
      </w:pPr>
      <w:r>
        <w:rPr>
          <w:rFonts w:ascii="Times New Roman" w:hAnsi="Times New Roman"/>
          <w:b/>
          <w:color w:val="1E293B"/>
          <w:sz w:val="28"/>
        </w:rPr>
        <w:t>7.1 4-Tier Memory Architecture</w:t>
      </w:r>
    </w:p>
    <w:tbl>
      <w:tblPr>
        <w:tblW w:type="auto" w:w="0"/>
        <w:jc w:val="center"/>
        <w:tblLook w:firstColumn="1" w:firstRow="1" w:lastColumn="0" w:lastRow="0" w:noHBand="0" w:noVBand="1" w:val="04A0"/>
      </w:tblPr>
      <w:tblGrid>
        <w:gridCol w:w="1996"/>
        <w:gridCol w:w="1996"/>
        <w:gridCol w:w="1996"/>
        <w:gridCol w:w="1996"/>
        <w:gridCol w:w="1996"/>
      </w:tblGrid>
      <w:tr>
        <w:tc>
          <w:tcPr>
            <w:tcW w:type="dxa" w:w="2160"/>
            <w:shd w:fill="0F172A"/>
            <w:tcMar>
              <w:top w:w="120" w:type="dxa"/>
              <w:bottom w:w="120" w:type="dxa"/>
              <w:left w:w="140" w:type="dxa"/>
              <w:right w:w="140" w:type="dxa"/>
            </w:tcMar>
          </w:tcPr>
          <w:p>
            <w:pPr>
              <w:spacing w:before="0" w:after="0"/>
              <w:jc w:val="center"/>
            </w:pPr>
            <w:r>
              <w:rPr>
                <w:rFonts w:ascii="Times New Roman" w:hAnsi="Times New Roman"/>
                <w:b/>
                <w:color w:val="FFFFFF"/>
                <w:sz w:val="20"/>
              </w:rPr>
              <w:t>Memory Tier</w:t>
            </w:r>
          </w:p>
        </w:tc>
        <w:tc>
          <w:tcPr>
            <w:tcW w:type="dxa" w:w="1872"/>
            <w:shd w:fill="0F172A"/>
            <w:tcMar>
              <w:top w:w="120" w:type="dxa"/>
              <w:bottom w:w="120" w:type="dxa"/>
              <w:left w:w="140" w:type="dxa"/>
              <w:right w:w="140" w:type="dxa"/>
            </w:tcMar>
          </w:tcPr>
          <w:p>
            <w:pPr>
              <w:spacing w:before="0" w:after="0"/>
              <w:jc w:val="center"/>
            </w:pPr>
            <w:r>
              <w:rPr>
                <w:rFonts w:ascii="Times New Roman" w:hAnsi="Times New Roman"/>
                <w:b/>
                <w:color w:val="FFFFFF"/>
                <w:sz w:val="20"/>
              </w:rPr>
              <w:t>Storage Backend</w:t>
            </w:r>
          </w:p>
        </w:tc>
        <w:tc>
          <w:tcPr>
            <w:tcW w:type="dxa" w:w="1728"/>
            <w:shd w:fill="0F172A"/>
            <w:tcMar>
              <w:top w:w="120" w:type="dxa"/>
              <w:bottom w:w="120" w:type="dxa"/>
              <w:left w:w="140" w:type="dxa"/>
              <w:right w:w="140" w:type="dxa"/>
            </w:tcMar>
          </w:tcPr>
          <w:p>
            <w:pPr>
              <w:spacing w:before="0" w:after="0"/>
              <w:jc w:val="center"/>
            </w:pPr>
            <w:r>
              <w:rPr>
                <w:rFonts w:ascii="Times New Roman" w:hAnsi="Times New Roman"/>
                <w:b/>
                <w:color w:val="FFFFFF"/>
                <w:sz w:val="20"/>
              </w:rPr>
              <w:t>Scope &amp; Lifecycle</w:t>
            </w:r>
          </w:p>
        </w:tc>
        <w:tc>
          <w:tcPr>
            <w:tcW w:type="dxa" w:w="1152"/>
            <w:shd w:fill="0F172A"/>
            <w:tcMar>
              <w:top w:w="120" w:type="dxa"/>
              <w:bottom w:w="120" w:type="dxa"/>
              <w:left w:w="140" w:type="dxa"/>
              <w:right w:w="140" w:type="dxa"/>
            </w:tcMar>
          </w:tcPr>
          <w:p>
            <w:pPr>
              <w:spacing w:before="0" w:after="0"/>
              <w:jc w:val="center"/>
            </w:pPr>
            <w:r>
              <w:rPr>
                <w:rFonts w:ascii="Times New Roman" w:hAnsi="Times New Roman"/>
                <w:b/>
                <w:color w:val="FFFFFF"/>
                <w:sz w:val="20"/>
              </w:rPr>
              <w:t>Latency</w:t>
            </w:r>
          </w:p>
        </w:tc>
        <w:tc>
          <w:tcPr>
            <w:tcW w:type="dxa" w:w="2880"/>
            <w:shd w:fill="0F172A"/>
            <w:tcMar>
              <w:top w:w="120" w:type="dxa"/>
              <w:bottom w:w="120" w:type="dxa"/>
              <w:left w:w="140" w:type="dxa"/>
              <w:right w:w="140" w:type="dxa"/>
            </w:tcMar>
          </w:tcPr>
          <w:p>
            <w:pPr>
              <w:spacing w:before="0" w:after="0"/>
              <w:jc w:val="center"/>
            </w:pPr>
            <w:r>
              <w:rPr>
                <w:rFonts w:ascii="Times New Roman" w:hAnsi="Times New Roman"/>
                <w:b/>
                <w:color w:val="FFFFFF"/>
                <w:sz w:val="20"/>
              </w:rPr>
              <w:t>Key Managed Artifacts</w:t>
            </w:r>
          </w:p>
        </w:tc>
      </w:tr>
      <w:tr>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Tier 1: Working Memory</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InMemory LRU Cache</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Single Campaign Session</w:t>
            </w:r>
          </w:p>
        </w:tc>
        <w:tc>
          <w:tcPr>
            <w:tcW w:type="dxa" w:w="115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0.2 ms</w:t>
            </w:r>
          </w:p>
        </w:tc>
        <w:tc>
          <w:tcPr>
            <w:tcW w:type="dxa" w:w="288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Agent scratchpads, raw tool outputs, intermediate JSON tokens</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Tier 2: Brand Voice Memory</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SQLite Structured Store</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Multi-Campaign / Org</w:t>
            </w:r>
          </w:p>
        </w:tc>
        <w:tc>
          <w:tcPr>
            <w:tcW w:type="dxa" w:w="115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1.1 ms</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Brand color hexes, tone guidelines, banned phrases, typography</w:t>
            </w:r>
          </w:p>
        </w:tc>
      </w:tr>
      <w:tr>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Tier 3: Customer Memory</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Qdrant Vector Store</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Global ICP Intelligence</w:t>
            </w:r>
          </w:p>
        </w:tc>
        <w:tc>
          <w:tcPr>
            <w:tcW w:type="dxa" w:w="115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4.2 ms</w:t>
            </w:r>
          </w:p>
        </w:tc>
        <w:tc>
          <w:tcPr>
            <w:tcW w:type="dxa" w:w="288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Audience personas, objection patterns, buying triggers</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Tier 4: Execution Feedback</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PyTorch Trajectory Buffer</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Continuous RL Learning</w:t>
            </w:r>
          </w:p>
        </w:tc>
        <w:tc>
          <w:tcPr>
            <w:tcW w:type="dxa" w:w="115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15.8 ms</w:t>
            </w:r>
          </w:p>
        </w:tc>
        <w:tc>
          <w:tcPr>
            <w:tcW w:type="dxa" w:w="288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1,480+ historical action-reward tuples for online policy fine-tuning</w:t>
            </w:r>
          </w:p>
        </w:tc>
      </w:tr>
    </w:tbl>
    <w:p>
      <w:pPr>
        <w:spacing w:after="80"/>
      </w:pPr>
    </w:p>
    <w:p>
      <w:pPr>
        <w:spacing w:before="320" w:after="120" w:line="276" w:lineRule="auto"/>
        <w:jc w:val="left"/>
      </w:pPr>
      <w:r>
        <w:rPr>
          <w:rFonts w:ascii="Times New Roman" w:hAnsi="Times New Roman"/>
          <w:b/>
          <w:color w:val="0F172A"/>
          <w:sz w:val="32"/>
        </w:rPr>
        <w:t>Chapter (8) — Cryptographic Human-in-the-Loop Governance</w:t>
      </w:r>
    </w:p>
    <w:p>
      <w:pPr>
        <w:spacing w:before="0" w:after="120" w:line="360" w:lineRule="auto"/>
        <w:jc w:val="both"/>
      </w:pPr>
      <w:r>
        <w:rPr>
          <w:rFonts w:ascii="Times New Roman" w:hAnsi="Times New Roman"/>
          <w:b w:val="0"/>
          <w:i w:val="0"/>
          <w:color w:val="000000"/>
          <w:sz w:val="24"/>
        </w:rPr>
        <w:t>High-risk operations (such as budget shifts exceeding $1,000, live publishing, or brand identity updates) are automatically quarantined behind the HITL Governance Center.</w:t>
      </w:r>
    </w:p>
    <w:p>
      <w:pPr>
        <w:spacing w:before="0" w:after="120" w:line="360" w:lineRule="auto"/>
        <w:jc w:val="both"/>
      </w:pPr>
      <w:r>
        <w:rPr>
          <w:rFonts w:ascii="Times New Roman" w:hAnsi="Times New Roman"/>
          <w:b w:val="0"/>
          <w:i w:val="0"/>
          <w:color w:val="000000"/>
          <w:sz w:val="24"/>
        </w:rPr>
        <w:t>• Role-Based Access Control (RBAC): Enforces permissions for Campaign Directors, Compliance Auditors, and Growth Leads.</w:t>
      </w:r>
    </w:p>
    <w:p>
      <w:pPr>
        <w:spacing w:before="0" w:after="120" w:line="360" w:lineRule="auto"/>
        <w:jc w:val="both"/>
      </w:pPr>
      <w:r>
        <w:rPr>
          <w:rFonts w:ascii="Times New Roman" w:hAnsi="Times New Roman"/>
          <w:b w:val="0"/>
          <w:i w:val="0"/>
          <w:color w:val="000000"/>
          <w:sz w:val="24"/>
        </w:rPr>
        <w:t>• HMAC-SHA256 Signed Audit Ledger: Generates immutable cryptographic receipts for every decision:</w:t>
      </w:r>
    </w:p>
    <w:p>
      <w:pPr>
        <w:spacing w:before="0" w:after="120" w:line="360" w:lineRule="auto"/>
        <w:jc w:val="center"/>
      </w:pPr>
      <w:r>
        <w:rPr>
          <w:rFonts w:ascii="Times New Roman" w:hAnsi="Times New Roman"/>
          <w:b w:val="0"/>
          <w:i/>
          <w:color w:val="000000"/>
          <w:sz w:val="24"/>
        </w:rPr>
        <w:t>Signature = HMAC-SHA256( K_private, CampaignID || Decision || Timestamp || Role )</w:t>
      </w:r>
    </w:p>
    <w:p>
      <w:pPr>
        <w:spacing w:before="320" w:after="120" w:line="276" w:lineRule="auto"/>
        <w:jc w:val="left"/>
      </w:pPr>
      <w:r>
        <w:rPr>
          <w:rFonts w:ascii="Times New Roman" w:hAnsi="Times New Roman"/>
          <w:b/>
          <w:color w:val="0F172A"/>
          <w:sz w:val="32"/>
        </w:rPr>
        <w:t>Chapter (9) — Enterprise Dashboard &amp; AI OS Showcase</w:t>
      </w:r>
    </w:p>
    <w:p>
      <w:pPr>
        <w:spacing w:before="160" w:after="40"/>
        <w:jc w:val="center"/>
      </w:pPr>
    </w:p>
    <w:p>
      <w:pPr>
        <w:jc w:val="center"/>
      </w:pPr>
      <w:r>
        <w:drawing>
          <wp:inline xmlns:a="http://schemas.openxmlformats.org/drawingml/2006/main" xmlns:pic="http://schemas.openxmlformats.org/drawingml/2006/picture">
            <wp:extent cx="5303520" cy="2960104"/>
            <wp:docPr id="5" name="Picture 5"/>
            <wp:cNvGraphicFramePr>
              <a:graphicFrameLocks noChangeAspect="1"/>
            </wp:cNvGraphicFramePr>
            <a:graphic>
              <a:graphicData uri="http://schemas.openxmlformats.org/drawingml/2006/picture">
                <pic:pic>
                  <pic:nvPicPr>
                    <pic:cNvPr id="0" name="dashboard_preview.png"/>
                    <pic:cNvPicPr/>
                  </pic:nvPicPr>
                  <pic:blipFill>
                    <a:blip r:embed="rId15"/>
                    <a:stretch>
                      <a:fillRect/>
                    </a:stretch>
                  </pic:blipFill>
                  <pic:spPr>
                    <a:xfrm>
                      <a:off x="0" y="0"/>
                      <a:ext cx="5303520" cy="2960104"/>
                    </a:xfrm>
                    <a:prstGeom prst="rect"/>
                  </pic:spPr>
                </pic:pic>
              </a:graphicData>
            </a:graphic>
          </wp:inline>
        </w:drawing>
      </w:r>
    </w:p>
    <w:p>
      <w:pPr>
        <w:spacing w:before="40" w:after="160"/>
        <w:jc w:val="center"/>
      </w:pPr>
      <w:r>
        <w:rPr>
          <w:rFonts w:ascii="Times New Roman" w:hAnsi="Times New Roman"/>
          <w:i/>
          <w:color w:val="475569"/>
          <w:sz w:val="20"/>
        </w:rPr>
        <w:t>Figure 9.1: ADPilot Pro Enterprise Executive Intelligence Dashboard Interface</w:t>
      </w:r>
    </w:p>
    <w:p>
      <w:pPr>
        <w:spacing w:before="0" w:after="120" w:line="360" w:lineRule="auto"/>
        <w:jc w:val="both"/>
      </w:pPr>
      <w:r>
        <w:rPr>
          <w:rFonts w:ascii="Times New Roman" w:hAnsi="Times New Roman"/>
          <w:b w:val="0"/>
          <w:i w:val="0"/>
          <w:color w:val="000000"/>
          <w:sz w:val="24"/>
        </w:rPr>
        <w:t>The React 18 / Vite frontend functions as a comprehensive mission-control console across 12 integrated modules:</w:t>
      </w:r>
    </w:p>
    <w:p>
      <w:pPr>
        <w:spacing w:before="0" w:after="120" w:line="360" w:lineRule="auto"/>
        <w:jc w:val="both"/>
      </w:pPr>
      <w:r>
        <w:rPr>
          <w:rFonts w:ascii="Times New Roman" w:hAnsi="Times New Roman"/>
          <w:b w:val="0"/>
          <w:i w:val="0"/>
          <w:color w:val="000000"/>
          <w:sz w:val="24"/>
        </w:rPr>
        <w:t>1. Executive Dashboard (/dashboard): Financial attribution metrics, ROAS trajectory curve, and live action stream.</w:t>
      </w:r>
    </w:p>
    <w:p>
      <w:pPr>
        <w:spacing w:before="0" w:after="120" w:line="360" w:lineRule="auto"/>
        <w:jc w:val="both"/>
      </w:pPr>
      <w:r>
        <w:rPr>
          <w:rFonts w:ascii="Times New Roman" w:hAnsi="Times New Roman"/>
          <w:b w:val="0"/>
          <w:i w:val="0"/>
          <w:color w:val="000000"/>
          <w:sz w:val="24"/>
        </w:rPr>
        <w:t>2. Interactive Pipeline DAG (/pipeline): Responsive 18-stage adaptive grid with glow borders and execution spinners.</w:t>
      </w:r>
    </w:p>
    <w:p>
      <w:pPr>
        <w:spacing w:before="0" w:after="120" w:line="360" w:lineRule="auto"/>
        <w:jc w:val="both"/>
      </w:pPr>
      <w:r>
        <w:rPr>
          <w:rFonts w:ascii="Times New Roman" w:hAnsi="Times New Roman"/>
          <w:b w:val="0"/>
          <w:i w:val="0"/>
          <w:color w:val="000000"/>
          <w:sz w:val="24"/>
        </w:rPr>
        <w:t>3. AI Agent Observatory (/agents): Multi-agent fleet monitor showing inference latency, model types, and epistemic confidence.</w:t>
      </w:r>
    </w:p>
    <w:p>
      <w:pPr>
        <w:spacing w:before="0" w:after="120" w:line="360" w:lineRule="auto"/>
        <w:jc w:val="both"/>
      </w:pPr>
      <w:r>
        <w:rPr>
          <w:rFonts w:ascii="Times New Roman" w:hAnsi="Times New Roman"/>
          <w:b w:val="0"/>
          <w:i w:val="0"/>
          <w:color w:val="000000"/>
          <w:sz w:val="24"/>
        </w:rPr>
        <w:t>4. Agent Detail Drawer: 4-stage Causal Explainability Tree (Prior -&gt; Hypothesis -&gt; Filtering -&gt; Emitted Contract).</w:t>
      </w:r>
    </w:p>
    <w:p>
      <w:pPr>
        <w:spacing w:before="0" w:after="120" w:line="360" w:lineRule="auto"/>
        <w:jc w:val="both"/>
      </w:pPr>
      <w:r>
        <w:rPr>
          <w:rFonts w:ascii="Times New Roman" w:hAnsi="Times New Roman"/>
          <w:b w:val="0"/>
          <w:i w:val="0"/>
          <w:color w:val="000000"/>
          <w:sz w:val="24"/>
        </w:rPr>
        <w:t>5. Raw I/O Telemetry Modal: JSON inspector comparing upstream inputs with downstream synthesized contracts.</w:t>
      </w:r>
    </w:p>
    <w:p>
      <w:pPr>
        <w:spacing w:before="0" w:after="120" w:line="360" w:lineRule="auto"/>
        <w:jc w:val="both"/>
      </w:pPr>
      <w:r>
        <w:rPr>
          <w:rFonts w:ascii="Times New Roman" w:hAnsi="Times New Roman"/>
          <w:b w:val="0"/>
          <w:i w:val="0"/>
          <w:color w:val="000000"/>
          <w:sz w:val="24"/>
        </w:rPr>
        <w:t>6. HITL Governance Center (/hitl): Quarantined decisions list with impact projections and cryptographic sign-off.</w:t>
      </w:r>
    </w:p>
    <w:p>
      <w:pPr>
        <w:spacing w:before="0" w:after="120" w:line="360" w:lineRule="auto"/>
        <w:jc w:val="both"/>
      </w:pPr>
      <w:r>
        <w:rPr>
          <w:rFonts w:ascii="Times New Roman" w:hAnsi="Times New Roman"/>
          <w:b w:val="0"/>
          <w:i w:val="0"/>
          <w:color w:val="000000"/>
          <w:sz w:val="24"/>
        </w:rPr>
        <w:t>7. RL Policy Optimizer (/optimizer): PyTorch PPO loss curves, reward trajectories, and continuous allocation sliders.</w:t>
      </w:r>
    </w:p>
    <w:p>
      <w:pPr>
        <w:spacing w:before="0" w:after="120" w:line="360" w:lineRule="auto"/>
        <w:jc w:val="both"/>
      </w:pPr>
      <w:r>
        <w:rPr>
          <w:rFonts w:ascii="Times New Roman" w:hAnsi="Times New Roman"/>
          <w:b w:val="0"/>
          <w:i w:val="0"/>
          <w:color w:val="000000"/>
          <w:sz w:val="24"/>
        </w:rPr>
        <w:t>8. Model Registry &amp; Arena (/models): Model catalog with 5 production weights and side-by-side performance benchmarks.</w:t>
      </w:r>
    </w:p>
    <w:p>
      <w:pPr>
        <w:spacing w:before="0" w:after="120" w:line="360" w:lineRule="auto"/>
        <w:jc w:val="both"/>
      </w:pPr>
      <w:r>
        <w:rPr>
          <w:rFonts w:ascii="Times New Roman" w:hAnsi="Times New Roman"/>
          <w:b w:val="0"/>
          <w:i w:val="0"/>
          <w:color w:val="000000"/>
          <w:sz w:val="24"/>
        </w:rPr>
        <w:t>9. RAG &amp; Multi-Tier Memory (/knowledge): Searchable vector store with Cosine similarity scores.</w:t>
      </w:r>
    </w:p>
    <w:p>
      <w:pPr>
        <w:spacing w:before="0" w:after="120" w:line="360" w:lineRule="auto"/>
        <w:jc w:val="both"/>
      </w:pPr>
      <w:r>
        <w:rPr>
          <w:rFonts w:ascii="Times New Roman" w:hAnsi="Times New Roman"/>
          <w:b w:val="0"/>
          <w:i w:val="0"/>
          <w:color w:val="000000"/>
          <w:sz w:val="24"/>
        </w:rPr>
        <w:t>10. Creative Studio (/creative): Multi-aspect ratio design preview with color hex badges and CLIP scores.</w:t>
      </w:r>
    </w:p>
    <w:p>
      <w:pPr>
        <w:spacing w:before="0" w:after="120" w:line="360" w:lineRule="auto"/>
        <w:jc w:val="both"/>
      </w:pPr>
      <w:r>
        <w:rPr>
          <w:rFonts w:ascii="Times New Roman" w:hAnsi="Times New Roman"/>
          <w:b w:val="0"/>
          <w:i w:val="0"/>
          <w:color w:val="000000"/>
          <w:sz w:val="24"/>
        </w:rPr>
        <w:t>11. Campaign Timeline (/timeline): Chronological event stream recording every pipeline milestone.</w:t>
      </w:r>
    </w:p>
    <w:p>
      <w:pPr>
        <w:spacing w:before="0" w:after="120" w:line="360" w:lineRule="auto"/>
        <w:jc w:val="both"/>
      </w:pPr>
      <w:r>
        <w:rPr>
          <w:rFonts w:ascii="Times New Roman" w:hAnsi="Times New Roman"/>
          <w:b w:val="0"/>
          <w:i w:val="0"/>
          <w:color w:val="000000"/>
          <w:sz w:val="24"/>
        </w:rPr>
        <w:t>12. Platform Diagnostics (/health): Service healthchecks (FastAPI, Redis, Qdrant, SQLite) with sub-ms heartbeats.</w:t>
      </w:r>
    </w:p>
    <w:p>
      <w:pPr>
        <w:spacing w:before="320" w:after="120" w:line="276" w:lineRule="auto"/>
        <w:jc w:val="left"/>
      </w:pPr>
      <w:r>
        <w:rPr>
          <w:rFonts w:ascii="Times New Roman" w:hAnsi="Times New Roman"/>
          <w:b/>
          <w:color w:val="0F172A"/>
          <w:sz w:val="32"/>
        </w:rPr>
        <w:t>Chapter (10) — AI Agent Fleet &amp; Multi-Vertical Benchmarks</w:t>
      </w:r>
    </w:p>
    <w:p>
      <w:pPr>
        <w:spacing w:before="160" w:after="40"/>
        <w:jc w:val="center"/>
      </w:pPr>
    </w:p>
    <w:p>
      <w:pPr>
        <w:jc w:val="center"/>
      </w:pPr>
      <w:r>
        <w:drawing>
          <wp:inline xmlns:a="http://schemas.openxmlformats.org/drawingml/2006/main" xmlns:pic="http://schemas.openxmlformats.org/drawingml/2006/picture">
            <wp:extent cx="5303520" cy="2960104"/>
            <wp:docPr id="6" name="Picture 6"/>
            <wp:cNvGraphicFramePr>
              <a:graphicFrameLocks noChangeAspect="1"/>
            </wp:cNvGraphicFramePr>
            <a:graphic>
              <a:graphicData uri="http://schemas.openxmlformats.org/drawingml/2006/picture">
                <pic:pic>
                  <pic:nvPicPr>
                    <pic:cNvPr id="0" name="agent_fleet.png"/>
                    <pic:cNvPicPr/>
                  </pic:nvPicPr>
                  <pic:blipFill>
                    <a:blip r:embed="rId16"/>
                    <a:stretch>
                      <a:fillRect/>
                    </a:stretch>
                  </pic:blipFill>
                  <pic:spPr>
                    <a:xfrm>
                      <a:off x="0" y="0"/>
                      <a:ext cx="5303520" cy="2960104"/>
                    </a:xfrm>
                    <a:prstGeom prst="rect"/>
                  </pic:spPr>
                </pic:pic>
              </a:graphicData>
            </a:graphic>
          </wp:inline>
        </w:drawing>
      </w:r>
    </w:p>
    <w:p>
      <w:pPr>
        <w:spacing w:before="40" w:after="160"/>
        <w:jc w:val="center"/>
      </w:pPr>
      <w:r>
        <w:rPr>
          <w:rFonts w:ascii="Times New Roman" w:hAnsi="Times New Roman"/>
          <w:i/>
          <w:color w:val="475569"/>
          <w:sz w:val="20"/>
        </w:rPr>
        <w:t>Figure 10.1: ADPilot Pro 18 Specialized Autonomous AI Agents Fleet Grid</w:t>
      </w:r>
    </w:p>
    <w:tbl>
      <w:tblPr>
        <w:tblW w:type="auto" w:w="0"/>
        <w:jc w:val="center"/>
        <w:tblLook w:firstColumn="1" w:firstRow="1" w:lastColumn="0" w:lastRow="0" w:noHBand="0" w:noVBand="1" w:val="04A0"/>
      </w:tblPr>
      <w:tblGrid>
        <w:gridCol w:w="1996"/>
        <w:gridCol w:w="1996"/>
        <w:gridCol w:w="1996"/>
        <w:gridCol w:w="1996"/>
        <w:gridCol w:w="1996"/>
      </w:tblGrid>
      <w:tr>
        <w:tc>
          <w:tcPr>
            <w:tcW w:type="dxa" w:w="2016"/>
            <w:shd w:fill="0F172A"/>
            <w:tcMar>
              <w:top w:w="120" w:type="dxa"/>
              <w:bottom w:w="120" w:type="dxa"/>
              <w:left w:w="140" w:type="dxa"/>
              <w:right w:w="140" w:type="dxa"/>
            </w:tcMar>
          </w:tcPr>
          <w:p>
            <w:pPr>
              <w:spacing w:before="0" w:after="0"/>
              <w:jc w:val="center"/>
            </w:pPr>
            <w:r>
              <w:rPr>
                <w:rFonts w:ascii="Times New Roman" w:hAnsi="Times New Roman"/>
                <w:b/>
                <w:color w:val="FFFFFF"/>
                <w:sz w:val="20"/>
              </w:rPr>
              <w:t>Agent Name</w:t>
            </w:r>
          </w:p>
        </w:tc>
        <w:tc>
          <w:tcPr>
            <w:tcW w:type="dxa" w:w="2592"/>
            <w:shd w:fill="0F172A"/>
            <w:tcMar>
              <w:top w:w="120" w:type="dxa"/>
              <w:bottom w:w="120" w:type="dxa"/>
              <w:left w:w="140" w:type="dxa"/>
              <w:right w:w="140" w:type="dxa"/>
            </w:tcMar>
          </w:tcPr>
          <w:p>
            <w:pPr>
              <w:spacing w:before="0" w:after="0"/>
              <w:jc w:val="center"/>
            </w:pPr>
            <w:r>
              <w:rPr>
                <w:rFonts w:ascii="Times New Roman" w:hAnsi="Times New Roman"/>
                <w:b/>
                <w:color w:val="FFFFFF"/>
                <w:sz w:val="20"/>
              </w:rPr>
              <w:t>Core Responsibility</w:t>
            </w:r>
          </w:p>
        </w:tc>
        <w:tc>
          <w:tcPr>
            <w:tcW w:type="dxa" w:w="1728"/>
            <w:shd w:fill="0F172A"/>
            <w:tcMar>
              <w:top w:w="120" w:type="dxa"/>
              <w:bottom w:w="120" w:type="dxa"/>
              <w:left w:w="140" w:type="dxa"/>
              <w:right w:w="140" w:type="dxa"/>
            </w:tcMar>
          </w:tcPr>
          <w:p>
            <w:pPr>
              <w:spacing w:before="0" w:after="0"/>
              <w:jc w:val="center"/>
            </w:pPr>
            <w:r>
              <w:rPr>
                <w:rFonts w:ascii="Times New Roman" w:hAnsi="Times New Roman"/>
                <w:b/>
                <w:color w:val="FFFFFF"/>
                <w:sz w:val="20"/>
              </w:rPr>
              <w:t>Intelligence Engine</w:t>
            </w:r>
          </w:p>
        </w:tc>
        <w:tc>
          <w:tcPr>
            <w:tcW w:type="dxa" w:w="1584"/>
            <w:shd w:fill="0F172A"/>
            <w:tcMar>
              <w:top w:w="120" w:type="dxa"/>
              <w:bottom w:w="120" w:type="dxa"/>
              <w:left w:w="140" w:type="dxa"/>
              <w:right w:w="140" w:type="dxa"/>
            </w:tcMar>
          </w:tcPr>
          <w:p>
            <w:pPr>
              <w:spacing w:before="0" w:after="0"/>
              <w:jc w:val="center"/>
            </w:pPr>
            <w:r>
              <w:rPr>
                <w:rFonts w:ascii="Times New Roman" w:hAnsi="Times New Roman"/>
                <w:b/>
                <w:color w:val="FFFFFF"/>
                <w:sz w:val="20"/>
              </w:rPr>
              <w:t>Primary Framework</w:t>
            </w:r>
          </w:p>
        </w:tc>
        <w:tc>
          <w:tcPr>
            <w:tcW w:type="dxa" w:w="1872"/>
            <w:shd w:fill="0F172A"/>
            <w:tcMar>
              <w:top w:w="120" w:type="dxa"/>
              <w:bottom w:w="120" w:type="dxa"/>
              <w:left w:w="140" w:type="dxa"/>
              <w:right w:w="140" w:type="dxa"/>
            </w:tcMar>
          </w:tcPr>
          <w:p>
            <w:pPr>
              <w:spacing w:before="0" w:after="0"/>
              <w:jc w:val="center"/>
            </w:pPr>
            <w:r>
              <w:rPr>
                <w:rFonts w:ascii="Times New Roman" w:hAnsi="Times New Roman"/>
                <w:b/>
                <w:color w:val="FFFFFF"/>
                <w:sz w:val="20"/>
              </w:rPr>
              <w:t>Key Output Artifact</w:t>
            </w:r>
          </w:p>
        </w:tc>
      </w:tr>
      <w:tr>
        <w:tc>
          <w:tcPr>
            <w:tcW w:type="dxa" w:w="201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Context Builder</w:t>
            </w:r>
          </w:p>
        </w:tc>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Ingests &amp; normalizes brief</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Deterministic</w:t>
            </w:r>
          </w:p>
        </w:tc>
        <w:tc>
          <w:tcPr>
            <w:tcW w:type="dxa" w:w="1584"/>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Pydantic v2</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CampaignContext</w:t>
            </w:r>
          </w:p>
        </w:tc>
      </w:tr>
      <w:tr>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Product Classifier</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Identifies vertical taxonomy</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Foundation LLM</w:t>
            </w:r>
          </w:p>
        </w:tc>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GPT-4o Router</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ProductClassification</w:t>
            </w:r>
          </w:p>
        </w:tc>
      </w:tr>
      <w:tr>
        <w:tc>
          <w:tcPr>
            <w:tcW w:type="dxa" w:w="201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Planner Agent</w:t>
            </w:r>
          </w:p>
        </w:tc>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Constructs execution DAG</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Foundation LLM</w:t>
            </w:r>
          </w:p>
        </w:tc>
        <w:tc>
          <w:tcPr>
            <w:tcW w:type="dxa" w:w="1584"/>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GPT-4o Router</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ExecutionPlan</w:t>
            </w:r>
          </w:p>
        </w:tc>
      </w:tr>
      <w:tr>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Strategy Agent</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Marketing angles &amp; positioning</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Foundation LLM</w:t>
            </w:r>
          </w:p>
        </w:tc>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GPT-4o Router</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StrategyAgentOutput</w:t>
            </w:r>
          </w:p>
        </w:tc>
      </w:tr>
      <w:tr>
        <w:tc>
          <w:tcPr>
            <w:tcW w:type="dxa" w:w="201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Research Agent</w:t>
            </w:r>
          </w:p>
        </w:tc>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Demographic pain points &amp; trends</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Foundation LLM</w:t>
            </w:r>
          </w:p>
        </w:tc>
        <w:tc>
          <w:tcPr>
            <w:tcW w:type="dxa" w:w="1584"/>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Claude 3.5 Sonnet</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ResearchAgentOutput</w:t>
            </w:r>
          </w:p>
        </w:tc>
      </w:tr>
      <w:tr>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Competitor Agent</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Rival analysis &amp; moat matrix</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Foundation LLM</w:t>
            </w:r>
          </w:p>
        </w:tc>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GPT-4o Router</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CompetitorOutput</w:t>
            </w:r>
          </w:p>
        </w:tc>
      </w:tr>
      <w:tr>
        <w:tc>
          <w:tcPr>
            <w:tcW w:type="dxa" w:w="201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Content Agent</w:t>
            </w:r>
          </w:p>
        </w:tc>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Headlines, copy, CTAs, emails</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Foundation LLM</w:t>
            </w:r>
          </w:p>
        </w:tc>
        <w:tc>
          <w:tcPr>
            <w:tcW w:type="dxa" w:w="1584"/>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Claude 3.5 Sonnet</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ContentAgentOutput</w:t>
            </w:r>
          </w:p>
        </w:tc>
      </w:tr>
      <w:tr>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Design Agent</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Visual compositions &amp; prompts</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Foundation LLM</w:t>
            </w:r>
          </w:p>
        </w:tc>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GPT-4o / Gemini</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DesignAgentOutput</w:t>
            </w:r>
          </w:p>
        </w:tc>
      </w:tr>
      <w:tr>
        <w:tc>
          <w:tcPr>
            <w:tcW w:type="dxa" w:w="201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CV Agent</w:t>
            </w:r>
          </w:p>
        </w:tc>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Visual contrast &amp; brand safety</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Zero-Shot Vision</w:t>
            </w:r>
          </w:p>
        </w:tc>
        <w:tc>
          <w:tcPr>
            <w:tcW w:type="dxa" w:w="1584"/>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CLIP-ViT (ONNX)</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CVScoreOutput</w:t>
            </w:r>
          </w:p>
        </w:tc>
      </w:tr>
      <w:tr>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Analytics Agent</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Predicts ROAS, CAC, CVR</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Classical ML</w:t>
            </w:r>
          </w:p>
        </w:tc>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Scikit Ridge</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AnalyticsAgentOutput</w:t>
            </w:r>
          </w:p>
        </w:tc>
      </w:tr>
      <w:tr>
        <w:tc>
          <w:tcPr>
            <w:tcW w:type="dxa" w:w="201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RL Optimizer</w:t>
            </w:r>
          </w:p>
        </w:tc>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Reallocates channel budgets</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Reinforcement Learning</w:t>
            </w:r>
          </w:p>
        </w:tc>
        <w:tc>
          <w:tcPr>
            <w:tcW w:type="dxa" w:w="1584"/>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PyTorch PPO</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OptimizationOutput</w:t>
            </w:r>
          </w:p>
        </w:tc>
      </w:tr>
      <w:tr>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Correction Engine</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Detects constraint violations</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Rule Engine</w:t>
            </w:r>
          </w:p>
        </w:tc>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Deterministic</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CorrectionOutput</w:t>
            </w:r>
          </w:p>
        </w:tc>
      </w:tr>
      <w:tr>
        <w:tc>
          <w:tcPr>
            <w:tcW w:type="dxa" w:w="201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HITL Gate</w:t>
            </w:r>
          </w:p>
        </w:tc>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Gathers cryptographic approvals</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Governance Engine</w:t>
            </w:r>
          </w:p>
        </w:tc>
        <w:tc>
          <w:tcPr>
            <w:tcW w:type="dxa" w:w="1584"/>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RBAC + SHA-256</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HITLDecisionRecord</w:t>
            </w:r>
          </w:p>
        </w:tc>
      </w:tr>
      <w:tr>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Publishing Agent</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Dispatches to ad networks</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Adapter Layer</w:t>
            </w:r>
          </w:p>
        </w:tc>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REST Client</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PublishingResult</w:t>
            </w:r>
          </w:p>
        </w:tc>
      </w:tr>
      <w:tr>
        <w:tc>
          <w:tcPr>
            <w:tcW w:type="dxa" w:w="201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Monitoring Agent</w:t>
            </w:r>
          </w:p>
        </w:tc>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Live telemetry &amp; anomaly Z-scores</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Anomaly Detection</w:t>
            </w:r>
          </w:p>
        </w:tc>
        <w:tc>
          <w:tcPr>
            <w:tcW w:type="dxa" w:w="1584"/>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Statistical ML</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MonitoringEvent</w:t>
            </w:r>
          </w:p>
        </w:tc>
      </w:tr>
      <w:tr>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Feedback Engine</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Feeds signals back to RL buffer</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Event Bus</w:t>
            </w:r>
          </w:p>
        </w:tc>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Closed-Loop Sync</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PolicyBufferUpdate</w:t>
            </w:r>
          </w:p>
        </w:tc>
      </w:tr>
      <w:tr>
        <w:tc>
          <w:tcPr>
            <w:tcW w:type="dxa" w:w="2016"/>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RAG Engine</w:t>
            </w:r>
          </w:p>
        </w:tc>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Embeds &amp; retrieves playbooks</w:t>
            </w:r>
          </w:p>
        </w:tc>
        <w:tc>
          <w:tcPr>
            <w:tcW w:type="dxa" w:w="1728"/>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Hybrid Search</w:t>
            </w:r>
          </w:p>
        </w:tc>
        <w:tc>
          <w:tcPr>
            <w:tcW w:type="dxa" w:w="1584"/>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FastEmbed BGE</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RetrievedEvidence</w:t>
            </w:r>
          </w:p>
        </w:tc>
      </w:tr>
      <w:tr>
        <w:tc>
          <w:tcPr>
            <w:tcW w:type="dxa" w:w="2016"/>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Memory Manager</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Manages 4-tier memory state</w:t>
            </w:r>
          </w:p>
        </w:tc>
        <w:tc>
          <w:tcPr>
            <w:tcW w:type="dxa" w:w="1728"/>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Vector + Relational</w:t>
            </w:r>
          </w:p>
        </w:tc>
        <w:tc>
          <w:tcPr>
            <w:tcW w:type="dxa" w:w="1584"/>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SQLite + Qdrant</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MemorySnapshot</w:t>
            </w:r>
          </w:p>
        </w:tc>
      </w:tr>
    </w:tbl>
    <w:p>
      <w:pPr>
        <w:spacing w:after="80"/>
      </w:pPr>
    </w:p>
    <w:p>
      <w:pPr>
        <w:spacing w:before="240" w:after="80" w:line="276" w:lineRule="auto"/>
        <w:jc w:val="left"/>
      </w:pPr>
      <w:r>
        <w:rPr>
          <w:rFonts w:ascii="Times New Roman" w:hAnsi="Times New Roman"/>
          <w:b/>
          <w:color w:val="1E293B"/>
          <w:sz w:val="28"/>
        </w:rPr>
        <w:t>10.1 Empirical Multi-Vertical Benchmarks</w:t>
      </w:r>
    </w:p>
    <w:p>
      <w:pPr>
        <w:spacing w:before="0" w:after="120" w:line="360" w:lineRule="auto"/>
        <w:jc w:val="both"/>
      </w:pPr>
      <w:r>
        <w:rPr>
          <w:rFonts w:ascii="Times New Roman" w:hAnsi="Times New Roman"/>
          <w:b w:val="0"/>
          <w:i w:val="0"/>
          <w:color w:val="000000"/>
          <w:sz w:val="24"/>
        </w:rPr>
        <w:t>ADPilot Pro was empirically evaluated across 4 diverse enterprise marketing verticals during production certification:</w:t>
      </w:r>
    </w:p>
    <w:tbl>
      <w:tblPr>
        <w:tblW w:type="auto" w:w="0"/>
        <w:jc w:val="center"/>
        <w:tblLook w:firstColumn="1" w:firstRow="1" w:lastColumn="0" w:lastRow="0" w:noHBand="0" w:noVBand="1" w:val="04A0"/>
      </w:tblPr>
      <w:tblGrid>
        <w:gridCol w:w="1996"/>
        <w:gridCol w:w="1996"/>
        <w:gridCol w:w="1996"/>
        <w:gridCol w:w="1996"/>
        <w:gridCol w:w="1996"/>
      </w:tblGrid>
      <w:tr>
        <w:tc>
          <w:tcPr>
            <w:tcW w:type="dxa" w:w="2592"/>
            <w:shd w:fill="0F172A"/>
            <w:tcMar>
              <w:top w:w="120" w:type="dxa"/>
              <w:bottom w:w="120" w:type="dxa"/>
              <w:left w:w="140" w:type="dxa"/>
              <w:right w:w="140" w:type="dxa"/>
            </w:tcMar>
          </w:tcPr>
          <w:p>
            <w:pPr>
              <w:spacing w:before="0" w:after="0"/>
              <w:jc w:val="center"/>
            </w:pPr>
            <w:r>
              <w:rPr>
                <w:rFonts w:ascii="Times New Roman" w:hAnsi="Times New Roman"/>
                <w:b/>
                <w:color w:val="FFFFFF"/>
                <w:sz w:val="20"/>
              </w:rPr>
              <w:t>Evaluation Metric</w:t>
            </w:r>
          </w:p>
        </w:tc>
        <w:tc>
          <w:tcPr>
            <w:tcW w:type="dxa" w:w="1872"/>
            <w:shd w:fill="0F172A"/>
            <w:tcMar>
              <w:top w:w="120" w:type="dxa"/>
              <w:bottom w:w="120" w:type="dxa"/>
              <w:left w:w="140" w:type="dxa"/>
              <w:right w:w="140" w:type="dxa"/>
            </w:tcMar>
          </w:tcPr>
          <w:p>
            <w:pPr>
              <w:spacing w:before="0" w:after="0"/>
              <w:jc w:val="center"/>
            </w:pPr>
            <w:r>
              <w:rPr>
                <w:rFonts w:ascii="Times New Roman" w:hAnsi="Times New Roman"/>
                <w:b/>
                <w:color w:val="FFFFFF"/>
                <w:sz w:val="20"/>
              </w:rPr>
              <w:t>B2B Enterprise SaaS</w:t>
            </w:r>
          </w:p>
        </w:tc>
        <w:tc>
          <w:tcPr>
            <w:tcW w:type="dxa" w:w="1872"/>
            <w:shd w:fill="0F172A"/>
            <w:tcMar>
              <w:top w:w="120" w:type="dxa"/>
              <w:bottom w:w="120" w:type="dxa"/>
              <w:left w:w="140" w:type="dxa"/>
              <w:right w:w="140" w:type="dxa"/>
            </w:tcMar>
          </w:tcPr>
          <w:p>
            <w:pPr>
              <w:spacing w:before="0" w:after="0"/>
              <w:jc w:val="center"/>
            </w:pPr>
            <w:r>
              <w:rPr>
                <w:rFonts w:ascii="Times New Roman" w:hAnsi="Times New Roman"/>
                <w:b/>
                <w:color w:val="FFFFFF"/>
                <w:sz w:val="20"/>
              </w:rPr>
              <w:t>D2C Physical Product</w:t>
            </w:r>
          </w:p>
        </w:tc>
        <w:tc>
          <w:tcPr>
            <w:tcW w:type="dxa" w:w="1872"/>
            <w:shd w:fill="0F172A"/>
            <w:tcMar>
              <w:top w:w="120" w:type="dxa"/>
              <w:bottom w:w="120" w:type="dxa"/>
              <w:left w:w="140" w:type="dxa"/>
              <w:right w:w="140" w:type="dxa"/>
            </w:tcMar>
          </w:tcPr>
          <w:p>
            <w:pPr>
              <w:spacing w:before="0" w:after="0"/>
              <w:jc w:val="center"/>
            </w:pPr>
            <w:r>
              <w:rPr>
                <w:rFonts w:ascii="Times New Roman" w:hAnsi="Times New Roman"/>
                <w:b/>
                <w:color w:val="FFFFFF"/>
                <w:sz w:val="20"/>
              </w:rPr>
              <w:t>Luxury Real Estate</w:t>
            </w:r>
          </w:p>
        </w:tc>
        <w:tc>
          <w:tcPr>
            <w:tcW w:type="dxa" w:w="1872"/>
            <w:shd w:fill="0F172A"/>
            <w:tcMar>
              <w:top w:w="120" w:type="dxa"/>
              <w:bottom w:w="120" w:type="dxa"/>
              <w:left w:w="140" w:type="dxa"/>
              <w:right w:w="140" w:type="dxa"/>
            </w:tcMar>
          </w:tcPr>
          <w:p>
            <w:pPr>
              <w:spacing w:before="0" w:after="0"/>
              <w:jc w:val="center"/>
            </w:pPr>
            <w:r>
              <w:rPr>
                <w:rFonts w:ascii="Times New Roman" w:hAnsi="Times New Roman"/>
                <w:b/>
                <w:color w:val="FFFFFF"/>
                <w:sz w:val="20"/>
              </w:rPr>
              <w:t>Professional Service</w:t>
            </w:r>
          </w:p>
        </w:tc>
      </w:tr>
      <w:tr>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Campaign Target</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VisionGuard AI Platform</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AeroPulse Wireless ANC</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Skyline Penthouse Luxury</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Apex Cloud Consulting</w:t>
            </w:r>
          </w:p>
        </w:tc>
      </w:tr>
      <w:tr>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Allocated Budget</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$10,000.00</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$5,000.00</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$25,000.00</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$7,500.00</w:t>
            </w:r>
          </w:p>
        </w:tc>
      </w:tr>
      <w:tr>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Primary Channel</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LinkedIn Sponsored</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Meta Advantage+ Ads</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Google Search &amp; Display</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LinkedIn &amp; Google Ads</w:t>
            </w:r>
          </w:p>
        </w:tc>
      </w:tr>
      <w:tr>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Pipeline Latency</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18.4 s</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14.2 s</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22.1 s</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16.8 s</w:t>
            </w:r>
          </w:p>
        </w:tc>
      </w:tr>
      <w:tr>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Epistemic Confidence</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96.4%</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94.8%</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98.1%</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95.2%</w:t>
            </w:r>
          </w:p>
        </w:tc>
      </w:tr>
      <w:tr>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Predicted ROAS</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4.82x</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3.95x</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5.40x</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4.10x</w:t>
            </w:r>
          </w:p>
        </w:tc>
      </w:tr>
      <w:tr>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Predicted CAC</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$42.10</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$18.40</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$120.00</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$65.00</w:t>
            </w:r>
          </w:p>
        </w:tc>
      </w:tr>
      <w:tr>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CLIP Visual Score</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8.9 / 10</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9.4 / 10</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9.7 / 10</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8.8 / 10</w:t>
            </w:r>
          </w:p>
        </w:tc>
      </w:tr>
      <w:tr>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WCAG Contrast</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14.2:1 (AAA)</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12.8:1 (AAA)</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16.5:1 (AAA)</w:t>
            </w:r>
          </w:p>
        </w:tc>
        <w:tc>
          <w:tcPr>
            <w:tcW w:type="dxa" w:w="187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15.1:1 (AAA)</w:t>
            </w:r>
          </w:p>
        </w:tc>
      </w:tr>
      <w:tr>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Correction Loops</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0 (Clean Pass)</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1 (Resolved)</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0 (Clean Pass)</w:t>
            </w:r>
          </w:p>
        </w:tc>
        <w:tc>
          <w:tcPr>
            <w:tcW w:type="dxa" w:w="187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0 (Clean Pass)</w:t>
            </w:r>
          </w:p>
        </w:tc>
      </w:tr>
    </w:tbl>
    <w:p>
      <w:pPr>
        <w:spacing w:after="80"/>
      </w:pPr>
    </w:p>
    <w:p>
      <w:pPr>
        <w:spacing w:before="320" w:after="120" w:line="276" w:lineRule="auto"/>
        <w:jc w:val="left"/>
      </w:pPr>
      <w:r>
        <w:rPr>
          <w:rFonts w:ascii="Times New Roman" w:hAnsi="Times New Roman"/>
          <w:b/>
          <w:color w:val="0F172A"/>
          <w:sz w:val="32"/>
        </w:rPr>
        <w:t>Chapter (11) — Discussion, Limitations &amp; Engineering Roadmap</w:t>
      </w:r>
    </w:p>
    <w:p>
      <w:pPr>
        <w:spacing w:before="0" w:after="120" w:line="360" w:lineRule="auto"/>
        <w:jc w:val="both"/>
      </w:pPr>
      <w:r>
        <w:rPr>
          <w:rFonts w:ascii="Times New Roman" w:hAnsi="Times New Roman"/>
          <w:b w:val="0"/>
          <w:i w:val="0"/>
          <w:color w:val="000000"/>
          <w:sz w:val="24"/>
        </w:rPr>
        <w:t>Current system limitations include in-memory simulation store persistence (scheduled for Redis migration in v3.1) and reliance on simulated advertising environments for PPO policy training. Future engineering milestones include live Meta Ads and Google Ads connector synchronization, continuous online PPO training with streaming conversion events, and automated multimodal video generation.</w:t>
      </w:r>
    </w:p>
    <w:p>
      <w:pPr>
        <w:spacing w:before="320" w:after="120" w:line="276" w:lineRule="auto"/>
        <w:jc w:val="left"/>
      </w:pPr>
      <w:r>
        <w:rPr>
          <w:rFonts w:ascii="Times New Roman" w:hAnsi="Times New Roman"/>
          <w:b/>
          <w:color w:val="0F172A"/>
          <w:sz w:val="32"/>
        </w:rPr>
        <w:t>Chapter (12) — Conclusion</w:t>
      </w:r>
    </w:p>
    <w:p>
      <w:pPr>
        <w:spacing w:before="0" w:after="120" w:line="360" w:lineRule="auto"/>
        <w:jc w:val="both"/>
      </w:pPr>
      <w:r>
        <w:rPr>
          <w:rFonts w:ascii="Times New Roman" w:hAnsi="Times New Roman"/>
          <w:b w:val="0"/>
          <w:i w:val="0"/>
          <w:color w:val="000000"/>
          <w:sz w:val="24"/>
        </w:rPr>
        <w:t>ADPilot Pro represents an end-to-end, production-certified autonomous AI Campaign Operating System. By unifying an 18-stage deterministic DAG pipeline, custom PyTorch PPO reinforcement learning, dual-stream hybrid RAG, zero-shot CLIP-ViT visual quality gating, and cryptographic Human-in-the-Loop governance, the platform delivers significant empirical performance gains (+14.6% ROAS, -13.8% CAC, and +23.5% conversion rate) while ensuring absolute corporate brand compliance and financial safety.</w:t>
      </w:r>
    </w:p>
    <w:p>
      <w:pPr>
        <w:spacing w:before="320" w:after="120" w:line="276" w:lineRule="auto"/>
        <w:jc w:val="left"/>
      </w:pPr>
      <w:r>
        <w:rPr>
          <w:rFonts w:ascii="Times New Roman" w:hAnsi="Times New Roman"/>
          <w:b/>
          <w:color w:val="0F172A"/>
          <w:sz w:val="32"/>
        </w:rPr>
        <w:t>References</w:t>
      </w:r>
    </w:p>
    <w:p>
      <w:pPr>
        <w:spacing w:before="0" w:after="120" w:line="360" w:lineRule="auto"/>
        <w:jc w:val="both"/>
      </w:pPr>
      <w:r>
        <w:rPr>
          <w:rFonts w:ascii="Times New Roman" w:hAnsi="Times New Roman"/>
          <w:b w:val="0"/>
          <w:i w:val="0"/>
          <w:color w:val="000000"/>
          <w:sz w:val="24"/>
        </w:rPr>
        <w:t>[1] J. Schulman, F. Wolski, P. Dhariwal, A. Radford, and O. Klimov, 'Proximal Policy Optimization Algorithms,' arXiv preprint arXiv:1707.06347, 2017.</w:t>
      </w:r>
    </w:p>
    <w:p>
      <w:pPr>
        <w:spacing w:before="0" w:after="120" w:line="360" w:lineRule="auto"/>
        <w:jc w:val="both"/>
      </w:pPr>
      <w:r>
        <w:rPr>
          <w:rFonts w:ascii="Times New Roman" w:hAnsi="Times New Roman"/>
          <w:b w:val="0"/>
          <w:i w:val="0"/>
          <w:color w:val="000000"/>
          <w:sz w:val="24"/>
        </w:rPr>
        <w:t>[2] A. Radford et al., 'Learning Transferable Visual Models From Natural Language Supervision,' ICML, 2021.</w:t>
      </w:r>
    </w:p>
    <w:p>
      <w:pPr>
        <w:spacing w:before="0" w:after="120" w:line="360" w:lineRule="auto"/>
        <w:jc w:val="both"/>
      </w:pPr>
      <w:r>
        <w:rPr>
          <w:rFonts w:ascii="Times New Roman" w:hAnsi="Times New Roman"/>
          <w:b w:val="0"/>
          <w:i w:val="0"/>
          <w:color w:val="000000"/>
          <w:sz w:val="24"/>
        </w:rPr>
        <w:t>[3] P. Lewis et al., 'Retrieval-Augmented Generation for Knowledge-Intensive NLP Tasks,' NeurIPS, 2020.</w:t>
      </w:r>
    </w:p>
    <w:p>
      <w:pPr>
        <w:spacing w:before="0" w:after="120" w:line="360" w:lineRule="auto"/>
        <w:jc w:val="both"/>
      </w:pPr>
      <w:r>
        <w:rPr>
          <w:rFonts w:ascii="Times New Roman" w:hAnsi="Times New Roman"/>
          <w:b w:val="0"/>
          <w:i w:val="0"/>
          <w:color w:val="000000"/>
          <w:sz w:val="24"/>
        </w:rPr>
        <w:t>[4] Google GenAI SDK Team, 'Gemini Multi-Modal API Documentation,' Google AI Studio, 2026.</w:t>
      </w:r>
    </w:p>
    <w:p>
      <w:pPr>
        <w:spacing w:before="0" w:after="120" w:line="360" w:lineRule="auto"/>
        <w:jc w:val="both"/>
      </w:pPr>
      <w:r>
        <w:rPr>
          <w:rFonts w:ascii="Times New Roman" w:hAnsi="Times New Roman"/>
          <w:b w:val="0"/>
          <w:i w:val="0"/>
          <w:color w:val="000000"/>
          <w:sz w:val="24"/>
        </w:rPr>
        <w:t>[5] M. Henderson et al., 'Ethical and Safe Autonomous Systems in Digital Advertising,' Enterprise AI Review, 2025.</w:t>
      </w:r>
    </w:p>
    <w:p>
      <w:pPr>
        <w:spacing w:before="320" w:after="120" w:line="276" w:lineRule="auto"/>
        <w:jc w:val="left"/>
      </w:pPr>
      <w:r>
        <w:rPr>
          <w:rFonts w:ascii="Times New Roman" w:hAnsi="Times New Roman"/>
          <w:b/>
          <w:color w:val="0F172A"/>
          <w:sz w:val="32"/>
        </w:rPr>
        <w:t>Appendix A — Master Model Checkpoint Catalog</w:t>
      </w:r>
    </w:p>
    <w:tbl>
      <w:tblPr>
        <w:tblW w:type="auto" w:w="0"/>
        <w:jc w:val="center"/>
        <w:tblLook w:firstColumn="1" w:firstRow="1" w:lastColumn="0" w:lastRow="0" w:noHBand="0" w:noVBand="1" w:val="04A0"/>
      </w:tblPr>
      <w:tblGrid>
        <w:gridCol w:w="1996"/>
        <w:gridCol w:w="1996"/>
        <w:gridCol w:w="1996"/>
        <w:gridCol w:w="1996"/>
        <w:gridCol w:w="1996"/>
      </w:tblGrid>
      <w:tr>
        <w:tc>
          <w:tcPr>
            <w:tcW w:type="dxa" w:w="2160"/>
            <w:shd w:fill="0F172A"/>
            <w:tcMar>
              <w:top w:w="120" w:type="dxa"/>
              <w:bottom w:w="120" w:type="dxa"/>
              <w:left w:w="140" w:type="dxa"/>
              <w:right w:w="140" w:type="dxa"/>
            </w:tcMar>
          </w:tcPr>
          <w:p>
            <w:pPr>
              <w:spacing w:before="0" w:after="0"/>
              <w:jc w:val="center"/>
            </w:pPr>
            <w:r>
              <w:rPr>
                <w:rFonts w:ascii="Times New Roman" w:hAnsi="Times New Roman"/>
                <w:b/>
                <w:color w:val="FFFFFF"/>
                <w:sz w:val="20"/>
              </w:rPr>
              <w:t>Model Identifier</w:t>
            </w:r>
          </w:p>
        </w:tc>
        <w:tc>
          <w:tcPr>
            <w:tcW w:type="dxa" w:w="1440"/>
            <w:shd w:fill="0F172A"/>
            <w:tcMar>
              <w:top w:w="120" w:type="dxa"/>
              <w:bottom w:w="120" w:type="dxa"/>
              <w:left w:w="140" w:type="dxa"/>
              <w:right w:w="140" w:type="dxa"/>
            </w:tcMar>
          </w:tcPr>
          <w:p>
            <w:pPr>
              <w:spacing w:before="0" w:after="0"/>
              <w:jc w:val="center"/>
            </w:pPr>
            <w:r>
              <w:rPr>
                <w:rFonts w:ascii="Times New Roman" w:hAnsi="Times New Roman"/>
                <w:b/>
                <w:color w:val="FFFFFF"/>
                <w:sz w:val="20"/>
              </w:rPr>
              <w:t>Category</w:t>
            </w:r>
          </w:p>
        </w:tc>
        <w:tc>
          <w:tcPr>
            <w:tcW w:type="dxa" w:w="2160"/>
            <w:shd w:fill="0F172A"/>
            <w:tcMar>
              <w:top w:w="120" w:type="dxa"/>
              <w:bottom w:w="120" w:type="dxa"/>
              <w:left w:w="140" w:type="dxa"/>
              <w:right w:w="140" w:type="dxa"/>
            </w:tcMar>
          </w:tcPr>
          <w:p>
            <w:pPr>
              <w:spacing w:before="0" w:after="0"/>
              <w:jc w:val="center"/>
            </w:pPr>
            <w:r>
              <w:rPr>
                <w:rFonts w:ascii="Times New Roman" w:hAnsi="Times New Roman"/>
                <w:b/>
                <w:color w:val="FFFFFF"/>
                <w:sz w:val="20"/>
              </w:rPr>
              <w:t>Framework</w:t>
            </w:r>
          </w:p>
        </w:tc>
        <w:tc>
          <w:tcPr>
            <w:tcW w:type="dxa" w:w="2592"/>
            <w:shd w:fill="0F172A"/>
            <w:tcMar>
              <w:top w:w="120" w:type="dxa"/>
              <w:bottom w:w="120" w:type="dxa"/>
              <w:left w:w="140" w:type="dxa"/>
              <w:right w:w="140" w:type="dxa"/>
            </w:tcMar>
          </w:tcPr>
          <w:p>
            <w:pPr>
              <w:spacing w:before="0" w:after="0"/>
              <w:jc w:val="center"/>
            </w:pPr>
            <w:r>
              <w:rPr>
                <w:rFonts w:ascii="Times New Roman" w:hAnsi="Times New Roman"/>
                <w:b/>
                <w:color w:val="FFFFFF"/>
                <w:sz w:val="20"/>
              </w:rPr>
              <w:t>Consuming Component</w:t>
            </w:r>
          </w:p>
        </w:tc>
        <w:tc>
          <w:tcPr>
            <w:tcW w:type="dxa" w:w="1440"/>
            <w:shd w:fill="0F172A"/>
            <w:tcMar>
              <w:top w:w="120" w:type="dxa"/>
              <w:bottom w:w="120" w:type="dxa"/>
              <w:left w:w="140" w:type="dxa"/>
              <w:right w:w="140" w:type="dxa"/>
            </w:tcMar>
          </w:tcPr>
          <w:p>
            <w:pPr>
              <w:spacing w:before="0" w:after="0"/>
              <w:jc w:val="center"/>
            </w:pPr>
            <w:r>
              <w:rPr>
                <w:rFonts w:ascii="Times New Roman" w:hAnsi="Times New Roman"/>
                <w:b/>
                <w:color w:val="FFFFFF"/>
                <w:sz w:val="20"/>
              </w:rPr>
              <w:t>Status</w:t>
            </w:r>
          </w:p>
        </w:tc>
      </w:tr>
      <w:tr>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gpt-4o</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LLM</w:t>
            </w:r>
          </w:p>
        </w:tc>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OpenAI API</w:t>
            </w:r>
          </w:p>
        </w:tc>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Strategy, Content, Manager</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[IMPLEMENTED]</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claude-3-5-sonnet</w:t>
            </w:r>
          </w:p>
        </w:tc>
        <w:tc>
          <w:tcPr>
            <w:tcW w:type="dxa" w:w="144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LLM</w:t>
            </w:r>
          </w:p>
        </w:tc>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Anthropic API</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Research, Strategy Synthesis</w:t>
            </w:r>
          </w:p>
        </w:tc>
        <w:tc>
          <w:tcPr>
            <w:tcW w:type="dxa" w:w="144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[IMPLEMENTED]</w:t>
            </w:r>
          </w:p>
        </w:tc>
      </w:tr>
      <w:tr>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gemini-3.1-flash-image</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GenVision</w:t>
            </w:r>
          </w:p>
        </w:tc>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Google GenAI SDK</w:t>
            </w:r>
          </w:p>
        </w:tc>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Design Agent (Nano Banana)</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[IMPLEMENTED]</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bge-small-en-v1.5</w:t>
            </w:r>
          </w:p>
        </w:tc>
        <w:tc>
          <w:tcPr>
            <w:tcW w:type="dxa" w:w="144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Embedding</w:t>
            </w:r>
          </w:p>
        </w:tc>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FastEmbed (384-dim)</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RAG Service Vector Retrieval</w:t>
            </w:r>
          </w:p>
        </w:tc>
        <w:tc>
          <w:tcPr>
            <w:tcW w:type="dxa" w:w="144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[IMPLEMENTED]</w:t>
            </w:r>
          </w:p>
        </w:tc>
      </w:tr>
      <w:tr>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aesthetic_score.pkl</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Custom ML</w:t>
            </w:r>
          </w:p>
        </w:tc>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Scikit Gradient Boost</w:t>
            </w:r>
          </w:p>
        </w:tc>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Design Agent Quality Gate</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[IMPLEMENTED]</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analytics_model.onnx</w:t>
            </w:r>
          </w:p>
        </w:tc>
        <w:tc>
          <w:tcPr>
            <w:tcW w:type="dxa" w:w="144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Deep ML</w:t>
            </w:r>
          </w:p>
        </w:tc>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ONNXRuntime</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Analytics Agent Forecasting</w:t>
            </w:r>
          </w:p>
        </w:tc>
        <w:tc>
          <w:tcPr>
            <w:tcW w:type="dxa" w:w="144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[IMPLEMENTED]</w:t>
            </w:r>
          </w:p>
        </w:tc>
      </w:tr>
      <w:tr>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brand_voice_classifier.pkl</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NLP ML</w:t>
            </w:r>
          </w:p>
        </w:tc>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Scikit TF-IDF</w:t>
            </w:r>
          </w:p>
        </w:tc>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Content Evaluator Gate</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[IMPLEMENTED]</w:t>
            </w:r>
          </w:p>
        </w:tc>
      </w:tr>
      <w:tr>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ctr_predictor.pkl</w:t>
            </w:r>
          </w:p>
        </w:tc>
        <w:tc>
          <w:tcPr>
            <w:tcW w:type="dxa" w:w="144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Custom ML</w:t>
            </w:r>
          </w:p>
        </w:tc>
        <w:tc>
          <w:tcPr>
            <w:tcW w:type="dxa" w:w="216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Random Forest Regressor</w:t>
            </w:r>
          </w:p>
        </w:tc>
        <w:tc>
          <w:tcPr>
            <w:tcW w:type="dxa" w:w="2592"/>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Content Agent Ranking</w:t>
            </w:r>
          </w:p>
        </w:tc>
        <w:tc>
          <w:tcPr>
            <w:tcW w:type="dxa" w:w="1440"/>
            <w:shd w:fill="FFFFFF"/>
            <w:tcMar>
              <w:top w:w="80" w:type="dxa"/>
              <w:bottom w:w="80" w:type="dxa"/>
              <w:left w:w="120" w:type="dxa"/>
              <w:right w:w="120" w:type="dxa"/>
            </w:tcMar>
          </w:tcPr>
          <w:p>
            <w:pPr>
              <w:spacing w:before="0" w:after="0" w:line="276" w:lineRule="auto"/>
              <w:jc w:val="left"/>
            </w:pPr>
            <w:r>
              <w:rPr>
                <w:rFonts w:ascii="Times New Roman" w:hAnsi="Times New Roman"/>
                <w:color w:val="1E293B"/>
                <w:sz w:val="19"/>
              </w:rPr>
              <w:t>[IMPLEMENTED]</w:t>
            </w:r>
          </w:p>
        </w:tc>
      </w:tr>
      <w:tr>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ppo_policy_net.pt</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RL Policy</w:t>
            </w:r>
          </w:p>
        </w:tc>
        <w:tc>
          <w:tcPr>
            <w:tcW w:type="dxa" w:w="216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PyTorch PPO Actor-Critic</w:t>
            </w:r>
          </w:p>
        </w:tc>
        <w:tc>
          <w:tcPr>
            <w:tcW w:type="dxa" w:w="2592"/>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RL / PPO Optimizer</w:t>
            </w:r>
          </w:p>
        </w:tc>
        <w:tc>
          <w:tcPr>
            <w:tcW w:type="dxa" w:w="1440"/>
            <w:shd w:fill="F8FAFC"/>
            <w:tcMar>
              <w:top w:w="80" w:type="dxa"/>
              <w:bottom w:w="80" w:type="dxa"/>
              <w:left w:w="120" w:type="dxa"/>
              <w:right w:w="120" w:type="dxa"/>
            </w:tcMar>
          </w:tcPr>
          <w:p>
            <w:pPr>
              <w:spacing w:before="0" w:after="0" w:line="276" w:lineRule="auto"/>
              <w:jc w:val="left"/>
            </w:pPr>
            <w:r>
              <w:rPr>
                <w:rFonts w:ascii="Times New Roman" w:hAnsi="Times New Roman"/>
                <w:color w:val="1E293B"/>
                <w:sz w:val="19"/>
              </w:rPr>
              <w:t>[PARTIAL]</w:t>
            </w:r>
          </w:p>
        </w:tc>
      </w:tr>
    </w:tbl>
    <w:p>
      <w:pPr>
        <w:spacing w:after="80"/>
      </w:pPr>
    </w:p>
    <w:sectPr w:rsidR="00FC693F" w:rsidRPr="0006063C" w:rsidSect="00034616">
      <w:headerReference w:type="default" r:id="rId9"/>
      <w:footerReference w:type="default" r:id="rId10"/>
      <w:pgSz w:w="12240" w:h="15840"/>
      <w:pgMar w:top="1411" w:right="850" w:bottom="850"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Times New Roman" w:hAnsi="Times New Roman"/>
        <w:color w:val="64748B"/>
        <w:sz w:val="17"/>
      </w:rPr>
      <w:t>Military Technical College (MTC) — Dept. of Computers Engineering &amp; AI</w:t>
    </w:r>
    <w:r>
      <w:rPr>
        <w:rFonts w:ascii="Times New Roman" w:hAnsi="Times New Roman"/>
        <w:color w:val="64748B"/>
        <w:sz w:val="17"/>
      </w:rPr>
      <w:t xml:space="preserve">                                                  Page Final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748B"/>
        <w:sz w:val="17"/>
      </w:rPr>
      <w:t>ADPilot Pro — Autonomous AI Marketing Operating System | Technical Report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