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F172A"/>
          <w:sz w:val="32"/>
        </w:rPr>
        <w:t>Military Technical College</w:t>
      </w:r>
    </w:p>
    <w:p>
      <w:pPr>
        <w:spacing w:before="0" w:after="400" w:line="276" w:lineRule="auto"/>
        <w:jc w:val="center"/>
      </w:pPr>
      <w:r>
        <w:rPr>
          <w:rFonts w:ascii="Times New Roman" w:hAnsi="Times New Roman"/>
          <w:b/>
          <w:i w:val="0"/>
          <w:color w:val="1E293B"/>
          <w:sz w:val="30"/>
        </w:rPr>
        <w:t>Department of Computers Engineering and AI</w:t>
      </w:r>
    </w:p>
    <w:p>
      <w:pPr>
        <w:spacing w:before="160" w:after="40"/>
        <w:jc w:val="center"/>
      </w:pP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hero_banner.png"/>
                    <pic:cNvPicPr/>
                  </pic:nvPicPr>
                  <pic:blipFill>
                    <a:blip r:embed="rId11"/>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0.1: ADPilot Pro Enterprise Autonomous Marketing Operating System Architecture</w:t>
      </w:r>
    </w:p>
    <w:p>
      <w:pPr>
        <w:spacing w:before="200" w:after="120" w:line="288" w:lineRule="auto"/>
        <w:jc w:val="center"/>
      </w:pPr>
      <w:r>
        <w:rPr>
          <w:rFonts w:ascii="Times New Roman" w:hAnsi="Times New Roman"/>
          <w:b/>
          <w:i w:val="0"/>
          <w:color w:val="0F172A"/>
          <w:sz w:val="34"/>
        </w:rPr>
        <w:t>ADPilot Pro: Autonomous Multi-Agent AI Marketing Operating System</w:t>
      </w:r>
    </w:p>
    <w:p>
      <w:pPr>
        <w:spacing w:before="0" w:after="400" w:line="288" w:lineRule="auto"/>
        <w:jc w:val="center"/>
      </w:pPr>
      <w:r>
        <w:rPr>
          <w:rFonts w:ascii="Times New Roman" w:hAnsi="Times New Roman"/>
          <w:b w:val="0"/>
          <w:i/>
          <w:color w:val="475569"/>
          <w:sz w:val="23"/>
        </w:rPr>
        <w:t>An 18-Agent Multi-Model Autonomous Pipeline with Reinforcement Learning Optimization, Hybrid Vector RAG, Computer Vision Quality Gating, and Cryptographic Governance</w:t>
      </w:r>
    </w:p>
    <w:tbl>
      <w:tblPr>
        <w:tblW w:type="auto" w:w="0"/>
        <w:jc w:val="center"/>
        <w:tblLook w:firstColumn="1" w:firstRow="1" w:lastColumn="0" w:lastRow="0" w:noHBand="0" w:noVBand="1" w:val="04A0"/>
      </w:tblPr>
      <w:tblGrid>
        <w:gridCol w:w="4989"/>
        <w:gridCol w:w="4989"/>
      </w:tblGrid>
      <w:tr>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Project Specification</w:t>
            </w:r>
          </w:p>
        </w:tc>
        <w:tc>
          <w:tcPr>
            <w:tcW w:type="dxa" w:w="6912"/>
            <w:shd w:fill="0F172A"/>
            <w:tcMar>
              <w:top w:w="120" w:type="dxa"/>
              <w:bottom w:w="120" w:type="dxa"/>
              <w:left w:w="140" w:type="dxa"/>
              <w:right w:w="140" w:type="dxa"/>
            </w:tcMar>
          </w:tcPr>
          <w:p>
            <w:pPr>
              <w:spacing w:before="0" w:after="0"/>
              <w:jc w:val="center"/>
            </w:pPr>
            <w:r>
              <w:rPr>
                <w:rFonts w:ascii="Times New Roman" w:hAnsi="Times New Roman"/>
                <w:b/>
                <w:color w:val="FFFFFF"/>
                <w:sz w:val="20"/>
              </w:rPr>
              <w:t>Official Defense Details</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Author:</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Eng. Ahmed Gharieb</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Institution:</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Military Technical College (MTC), Cairo, Egypt</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Department:</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Department of Computers Engineering and AI</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Degree:</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Professional Diploma in Applied AI and Data Analytics</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Supervision:</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&amp; Technical Defense Committee</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Year:</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2025 – 2026 (Cairo 2026)</w:t>
            </w:r>
          </w:p>
        </w:tc>
      </w:tr>
    </w:tbl>
    <w:p>
      <w:pPr>
        <w:spacing w:after="80"/>
      </w:pPr>
    </w:p>
    <w:p>
      <w:r>
        <w:br w:type="page"/>
      </w:r>
    </w:p>
    <w:p>
      <w:pPr>
        <w:spacing w:before="200" w:after="240" w:line="276" w:lineRule="auto"/>
        <w:jc w:val="center"/>
      </w:pPr>
      <w:r>
        <w:rPr>
          <w:rFonts w:ascii="Times New Roman" w:hAnsi="Times New Roman"/>
          <w:b/>
          <w:i w:val="0"/>
          <w:color w:val="0F172A"/>
          <w:sz w:val="32"/>
        </w:rPr>
        <w:t>Abstract</w:t>
      </w:r>
    </w:p>
    <w:p>
      <w:pPr>
        <w:spacing w:before="0" w:after="120" w:line="360" w:lineRule="auto"/>
        <w:jc w:val="both"/>
      </w:pPr>
      <w:r>
        <w:rPr>
          <w:rFonts w:ascii="Times New Roman" w:hAnsi="Times New Roman"/>
          <w:b w:val="0"/>
          <w:i w:val="0"/>
          <w:color w:val="000000"/>
          <w:sz w:val="24"/>
        </w:rPr>
        <w:t>ADPilot Pro is an enterprise-grade autonomous AI marketing operating system designed to eliminate operational fragmentation, latency, and heuristic decision-making in digital growth marketing. Given a single structured campaign brief, ADPilot autonomously coordinates 18 specialized AI agents across an immutable 18-stage Directed Acyclic Graph (DAG) to research competitors, segment audiences, draft multi-format ad copy, generate photorealistic visual creatives, audit visual aesthetics against WCAG AAA standards, predict financial ROAS, rebalance multi-channel budgets, and dispatch launch-ready media packages in under 45 seconds.</w:t>
      </w:r>
    </w:p>
    <w:tbl>
      <w:tblPr>
        <w:tblW w:type="auto" w:w="0"/>
        <w:jc w:val="center"/>
        <w:tblLook w:firstColumn="1" w:firstRow="1" w:lastColumn="0" w:lastRow="0" w:noHBand="0" w:noVBand="1" w:val="04A0"/>
      </w:tblPr>
      <w:tblGrid>
        <w:gridCol w:w="9979"/>
      </w:tblGrid>
      <w:tr>
        <w:tc>
          <w:tcPr>
            <w:tcW w:type="dxa" w:w="9979"/>
            <w:shd w:fill="F1F5F9"/>
            <w:tcBorders>
              <w:top w:val="none"/>
              <w:left w:val="single" w:sz="36" w:space="0" w:color="0284C7"/>
              <w:bottom w:val="none"/>
              <w:right w:val="none"/>
            </w:tcBorders>
          </w:tcPr>
          <w:p>
            <w:pPr>
              <w:spacing w:before="80" w:after="80" w:line="300" w:lineRule="auto"/>
              <w:jc w:val="both"/>
            </w:pPr>
            <w:r>
              <w:rPr>
                <w:rFonts w:ascii="Times New Roman" w:hAnsi="Times New Roman"/>
                <w:b/>
                <w:color w:val="0284C7"/>
                <w:sz w:val="22"/>
              </w:rPr>
              <w:t>■ Core Architectural Capabilities</w:t>
              <w:br/>
            </w:r>
            <w:r>
              <w:rPr>
                <w:rFonts w:ascii="Times New Roman" w:hAnsi="Times New Roman"/>
                <w:i/>
                <w:color w:val="1E293B"/>
                <w:sz w:val="21"/>
              </w:rPr>
              <w:t>• 18-Agent Sequential DAG: Deterministic execution governed by immutable Pydantic v2 data contracts.</w:t>
              <w:br/>
              <w:t>• PyTorch PPO Reinforcement Learning: Continuous multi-channel Dirichlet budget optimization maximizing blended ROAS under constraint penalties.</w:t>
              <w:br/>
              <w:t>• Dual-Stream Hybrid RAG: Dense FastEmbed BGE vectors (384-dim) + Sparse BM25 Okapi lexical search merged via Reciprocal Rank Fusion (RRF).</w:t>
              <w:br/>
              <w:t>• Zero-Shot CLIP-ViT Quality Gating: ONNX-accelerated aesthetic regression, WCAG AAA (7.0:1) contrast verification, and Earth Mover's Distance brand alignment.</w:t>
              <w:br/>
              <w:t>• Cryptographic Human-in-the-Loop Gate: High-risk financial decisions secured by HMAC-SHA256 signed audit receipts.</w:t>
            </w:r>
          </w:p>
        </w:tc>
      </w:tr>
    </w:tbl>
    <w:p>
      <w:pPr>
        <w:spacing w:after="80"/>
      </w:pPr>
    </w:p>
    <w:p>
      <w:pPr>
        <w:spacing w:before="400" w:after="200" w:line="276" w:lineRule="auto"/>
        <w:jc w:val="center"/>
      </w:pPr>
      <w:r>
        <w:rPr>
          <w:rFonts w:ascii="Times New Roman" w:hAnsi="Times New Roman"/>
          <w:b/>
          <w:i w:val="0"/>
          <w:color w:val="0F172A"/>
          <w:sz w:val="32"/>
        </w:rPr>
        <w:t>Acknowledgments</w:t>
      </w:r>
    </w:p>
    <w:p>
      <w:pPr>
        <w:spacing w:before="0" w:after="120" w:line="360" w:lineRule="auto"/>
        <w:jc w:val="both"/>
      </w:pPr>
      <w:r>
        <w:rPr>
          <w:rFonts w:ascii="Times New Roman" w:hAnsi="Times New Roman"/>
          <w:b w:val="0"/>
          <w:i w:val="0"/>
          <w:color w:val="000000"/>
          <w:sz w:val="24"/>
        </w:rPr>
        <w:t>The author gratefully acknowledges the faculty, supervisors, and technical advisors at the Department of Computers Engineering and AI, Military Technical College (MTC), Cairo, for their invaluable guidance, academic rigor, and mentorship during the Professional Diploma in Applied AI and Data Analytics (2026).</w:t>
      </w:r>
    </w:p>
    <w:p>
      <w:r>
        <w:br w:type="page"/>
      </w:r>
    </w:p>
    <w:p>
      <w:pPr>
        <w:spacing w:before="320" w:after="120" w:line="276" w:lineRule="auto"/>
        <w:jc w:val="left"/>
      </w:pPr>
      <w:r>
        <w:rPr>
          <w:rFonts w:ascii="Times New Roman" w:hAnsi="Times New Roman"/>
          <w:b/>
          <w:color w:val="0F172A"/>
          <w:sz w:val="32"/>
        </w:rPr>
        <w:t>Chapter (1) — What is ADPilot Pro?</w:t>
      </w:r>
    </w:p>
    <w:p>
      <w:pPr>
        <w:spacing w:before="240" w:after="80" w:line="276" w:lineRule="auto"/>
        <w:jc w:val="left"/>
      </w:pPr>
      <w:r>
        <w:rPr>
          <w:rFonts w:ascii="Times New Roman" w:hAnsi="Times New Roman"/>
          <w:b/>
          <w:color w:val="1E293B"/>
          <w:sz w:val="28"/>
        </w:rPr>
        <w:t>1.1 Background &amp; Industry Dilemma</w:t>
      </w:r>
    </w:p>
    <w:p>
      <w:pPr>
        <w:spacing w:before="0" w:after="120" w:line="360" w:lineRule="auto"/>
        <w:jc w:val="both"/>
      </w:pPr>
      <w:r>
        <w:rPr>
          <w:rFonts w:ascii="Times New Roman" w:hAnsi="Times New Roman"/>
          <w:b w:val="0"/>
          <w:i w:val="0"/>
          <w:color w:val="000000"/>
          <w:sz w:val="24"/>
        </w:rPr>
        <w:t>Enterprise digital marketing operations represent an annual expenditure exceeding $600 billion globally. However, marketing execution remains crippled by operational fragmentation, manual latency, and ungrounded heuristic decision-making. Marketing teams juggle over a dozen disconnected SaaS tools across ad networks (Meta Ads, Google Ads, LinkedIn Campaign Manager), copywriting assistants, design software, and analytics dashboards. This manual workflow leads to slow response times, subjective creative selection, and significant advertising budget burnout.</w:t>
      </w:r>
    </w:p>
    <w:p>
      <w:pPr>
        <w:spacing w:before="240" w:after="80" w:line="276" w:lineRule="auto"/>
        <w:jc w:val="left"/>
      </w:pPr>
      <w:r>
        <w:rPr>
          <w:rFonts w:ascii="Times New Roman" w:hAnsi="Times New Roman"/>
          <w:b/>
          <w:color w:val="1E293B"/>
          <w:sz w:val="28"/>
        </w:rPr>
        <w:t>1.2 Core Value Propositions</w:t>
      </w:r>
    </w:p>
    <w:p>
      <w:pPr>
        <w:spacing w:before="0" w:after="120" w:line="360" w:lineRule="auto"/>
        <w:jc w:val="both"/>
      </w:pPr>
      <w:r>
        <w:rPr>
          <w:rFonts w:ascii="Times New Roman" w:hAnsi="Times New Roman"/>
          <w:b w:val="0"/>
          <w:i w:val="0"/>
          <w:color w:val="000000"/>
          <w:sz w:val="24"/>
        </w:rPr>
        <w:t>ADPilot Pro addresses these operational failures through an integrated autonomous operating system:</w:t>
      </w:r>
    </w:p>
    <w:p>
      <w:pPr>
        <w:spacing w:before="0" w:after="120" w:line="360" w:lineRule="auto"/>
        <w:jc w:val="both"/>
      </w:pPr>
      <w:r>
        <w:rPr>
          <w:rFonts w:ascii="Times New Roman" w:hAnsi="Times New Roman"/>
          <w:b w:val="0"/>
          <w:i w:val="0"/>
          <w:color w:val="000000"/>
          <w:sz w:val="24"/>
        </w:rPr>
        <w:t>1. End-to-End Autonomy: Transforms structured briefs into complete multi-channel campaigns in under 45 seconds with zero hallucination.</w:t>
      </w:r>
    </w:p>
    <w:p>
      <w:pPr>
        <w:spacing w:before="0" w:after="120" w:line="360" w:lineRule="auto"/>
        <w:jc w:val="both"/>
      </w:pPr>
      <w:r>
        <w:rPr>
          <w:rFonts w:ascii="Times New Roman" w:hAnsi="Times New Roman"/>
          <w:b w:val="0"/>
          <w:i w:val="0"/>
          <w:color w:val="000000"/>
          <w:sz w:val="24"/>
        </w:rPr>
        <w:t>2. Rigid Contract Guarantees: Every agent communicates via immutable Pydantic v2 schemas with strict validation boundaries.</w:t>
      </w:r>
    </w:p>
    <w:p>
      <w:pPr>
        <w:spacing w:before="0" w:after="120" w:line="360" w:lineRule="auto"/>
        <w:jc w:val="both"/>
      </w:pPr>
      <w:r>
        <w:rPr>
          <w:rFonts w:ascii="Times New Roman" w:hAnsi="Times New Roman"/>
          <w:b w:val="0"/>
          <w:i w:val="0"/>
          <w:color w:val="000000"/>
          <w:sz w:val="24"/>
        </w:rPr>
        <w:t>3. Continuous RL Optimization: Custom PyTorch PPO neural policies continuously rebalance ad spend to maximize blended ROAS under strict budget constraints.</w:t>
      </w:r>
    </w:p>
    <w:p>
      <w:pPr>
        <w:spacing w:before="0" w:after="120" w:line="360" w:lineRule="auto"/>
        <w:jc w:val="both"/>
      </w:pPr>
      <w:r>
        <w:rPr>
          <w:rFonts w:ascii="Times New Roman" w:hAnsi="Times New Roman"/>
          <w:b w:val="0"/>
          <w:i w:val="0"/>
          <w:color w:val="000000"/>
          <w:sz w:val="24"/>
        </w:rPr>
        <w:t>4. Zero-Shot Visual Governance: CLIP-ViT ONNX models score creative aesthetics, WCAG AAA contrast ratios, and brand compliance prior to dispatch.</w:t>
      </w:r>
    </w:p>
    <w:p>
      <w:pPr>
        <w:spacing w:before="0" w:after="120" w:line="360" w:lineRule="auto"/>
        <w:jc w:val="both"/>
      </w:pPr>
      <w:r>
        <w:rPr>
          <w:rFonts w:ascii="Times New Roman" w:hAnsi="Times New Roman"/>
          <w:b w:val="0"/>
          <w:i w:val="0"/>
          <w:color w:val="000000"/>
          <w:sz w:val="24"/>
        </w:rPr>
        <w:t>5. Cryptographic Oversight: High-risk financial and publishing actions are locked behind an HMAC-SHA256 signed Human-in-the-Loop (HITL) gate.</w:t>
      </w:r>
    </w:p>
    <w:p>
      <w:pPr>
        <w:spacing w:before="0" w:after="120" w:line="360" w:lineRule="auto"/>
        <w:jc w:val="both"/>
      </w:pPr>
      <w:r>
        <w:rPr>
          <w:rFonts w:ascii="Times New Roman" w:hAnsi="Times New Roman"/>
          <w:b w:val="0"/>
          <w:i w:val="0"/>
          <w:color w:val="000000"/>
          <w:sz w:val="24"/>
        </w:rPr>
        <w:t>6. Dual-Stream RAG &amp; Multi-Tier Memory: Dense vector retrieval (FastEmbed BGE) + Sparse lexical search (BM25) combined with Reciprocal Rank Fusion (RRF).</w:t>
      </w:r>
    </w:p>
    <w:p>
      <w:pPr>
        <w:spacing w:before="320" w:after="120" w:line="276" w:lineRule="auto"/>
        <w:jc w:val="left"/>
      </w:pPr>
      <w:r>
        <w:rPr>
          <w:rFonts w:ascii="Times New Roman" w:hAnsi="Times New Roman"/>
          <w:b/>
          <w:color w:val="0F172A"/>
          <w:sz w:val="32"/>
        </w:rPr>
        <w:t>Chapter (2) — Frozen Master Pipeline Architecture (18 Stages)</w:t>
      </w:r>
    </w:p>
    <w:p>
      <w:pPr>
        <w:spacing w:before="160" w:after="40"/>
        <w:jc w:val="center"/>
      </w:pPr>
    </w:p>
    <w:p>
      <w:pPr>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pipeline_architecture.png"/>
                    <pic:cNvPicPr/>
                  </pic:nvPicPr>
                  <pic:blipFill>
                    <a:blip r:embed="rId12"/>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2.1: ADPilot Pro 18-Stage Master Sequential Pipeline Architecture</w:t>
      </w:r>
    </w:p>
    <w:p>
      <w:pPr>
        <w:spacing w:before="0" w:after="120" w:line="360" w:lineRule="auto"/>
        <w:jc w:val="both"/>
      </w:pPr>
      <w:r>
        <w:rPr>
          <w:rFonts w:ascii="Times New Roman" w:hAnsi="Times New Roman"/>
          <w:b w:val="0"/>
          <w:i w:val="0"/>
          <w:color w:val="000000"/>
          <w:sz w:val="24"/>
        </w:rPr>
        <w:t>The Master Pipeline is immutable and sequentially deterministic. Every campaign execution traverses 18 distinct stages across 5 operational phases:</w:t>
      </w:r>
    </w:p>
    <w:tbl>
      <w:tblPr>
        <w:tblW w:type="auto" w:w="0"/>
        <w:jc w:val="center"/>
        <w:tblLook w:firstColumn="1" w:firstRow="1" w:lastColumn="0" w:lastRow="0" w:noHBand="0" w:noVBand="1" w:val="04A0"/>
      </w:tblPr>
      <w:tblGrid>
        <w:gridCol w:w="1663"/>
        <w:gridCol w:w="1663"/>
        <w:gridCol w:w="1663"/>
        <w:gridCol w:w="1663"/>
        <w:gridCol w:w="1663"/>
        <w:gridCol w:w="1663"/>
      </w:tblGrid>
      <w:tr>
        <w:tc>
          <w:tcPr>
            <w:tcW w:type="dxa" w:w="576"/>
            <w:shd w:fill="0F172A"/>
            <w:tcMar>
              <w:top w:w="120" w:type="dxa"/>
              <w:bottom w:w="120" w:type="dxa"/>
              <w:left w:w="140" w:type="dxa"/>
              <w:right w:w="140" w:type="dxa"/>
            </w:tcMar>
          </w:tcPr>
          <w:p>
            <w:pPr>
              <w:spacing w:before="0" w:after="0"/>
              <w:jc w:val="center"/>
            </w:pPr>
            <w:r>
              <w:rPr>
                <w:rFonts w:ascii="Times New Roman" w:hAnsi="Times New Roman"/>
                <w:b/>
                <w:color w:val="FFFFFF"/>
                <w:sz w:val="20"/>
              </w:rPr>
              <w:t>#</w:t>
            </w:r>
          </w:p>
        </w:tc>
        <w:tc>
          <w:tcPr>
            <w:tcW w:type="dxa" w:w="2016"/>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Stage Name</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Assigned Agent</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Engine / Model</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Input Contract</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Output Contract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01</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Brief Ingestion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 Gateway</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FastAPI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Raw JSON Brief</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CampaignInputSchema</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02</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CampaignInputSchema</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03</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Vertical Classification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 Classifier</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04</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 Planning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Planner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05</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Formulation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06</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 Research</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07</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Intelligence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08</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Copywriting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09</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Studio</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Gemini</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Quality Gate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CV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(ONNX)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11</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Predictive Analytics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Ridge Regressor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12</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Budget Optimization</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RL Optimizer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13</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Error Correction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Engine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 Rules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Human Approval</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 Gate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Director / Auditor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15</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Media Dispatch</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REST Adapters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16</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Anomaly Telemetry</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Statistical Z-Score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17</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Routing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Engine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Closed-Loop Event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18</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Knowledge Store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 Memory Manager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 Qdrant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MemorySnapshot</w:t>
            </w:r>
          </w:p>
        </w:tc>
      </w:tr>
    </w:tbl>
    <w:p>
      <w:pPr>
        <w:spacing w:after="80"/>
      </w:pPr>
    </w:p>
    <w:p>
      <w:pPr>
        <w:spacing w:before="320" w:after="120" w:line="276" w:lineRule="auto"/>
        <w:jc w:val="left"/>
      </w:pPr>
      <w:r>
        <w:rPr>
          <w:rFonts w:ascii="Times New Roman" w:hAnsi="Times New Roman"/>
          <w:b/>
          <w:color w:val="0F172A"/>
          <w:sz w:val="32"/>
        </w:rPr>
        <w:t>Chapter (3) — Deep Reinforcement Learning Optimizer (PPO)</w:t>
      </w:r>
    </w:p>
    <w:p>
      <w:pPr>
        <w:spacing w:before="160" w:after="40"/>
        <w:jc w:val="center"/>
      </w:pPr>
    </w:p>
    <w:p>
      <w:pPr>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rl_optimizer_loss.png"/>
                    <pic:cNvPicPr/>
                  </pic:nvPicPr>
                  <pic:blipFill>
                    <a:blip r:embed="rId13"/>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3.1: PPO Actor-Critic Policy Loss and Reward Convergence During Simulated Training</w:t>
      </w:r>
    </w:p>
    <w:p>
      <w:pPr>
        <w:spacing w:before="0" w:after="120" w:line="360" w:lineRule="auto"/>
        <w:jc w:val="both"/>
      </w:pPr>
      <w:r>
        <w:rPr>
          <w:rFonts w:ascii="Times New Roman" w:hAnsi="Times New Roman"/>
          <w:b w:val="0"/>
          <w:i w:val="0"/>
          <w:color w:val="000000"/>
          <w:sz w:val="24"/>
        </w:rPr>
        <w:t>ADPilot incorporates a custom Proximal Policy Optimization (PPO) Actor-Critic neural network that learns optimal multi-channel budget allocations under continuous market feedback.</w:t>
      </w:r>
    </w:p>
    <w:p>
      <w:pPr>
        <w:spacing w:before="240" w:after="80" w:line="276" w:lineRule="auto"/>
        <w:jc w:val="left"/>
      </w:pPr>
      <w:r>
        <w:rPr>
          <w:rFonts w:ascii="Times New Roman" w:hAnsi="Times New Roman"/>
          <w:b/>
          <w:color w:val="1E293B"/>
          <w:sz w:val="28"/>
        </w:rPr>
        <w:t>3.1 Mathematical Formulation</w:t>
      </w:r>
    </w:p>
    <w:p>
      <w:pPr>
        <w:spacing w:before="0" w:after="120" w:line="360" w:lineRule="auto"/>
        <w:jc w:val="both"/>
      </w:pPr>
      <w:r>
        <w:rPr>
          <w:rFonts w:ascii="Times New Roman" w:hAnsi="Times New Roman"/>
          <w:b w:val="0"/>
          <w:i w:val="0"/>
          <w:color w:val="000000"/>
          <w:sz w:val="24"/>
        </w:rPr>
        <w:t>1. State Vector: The state s_t is a 12-dimensional continuous feature vector:</w:t>
      </w:r>
    </w:p>
    <w:p>
      <w:pPr>
        <w:spacing w:before="0" w:after="120" w:line="360" w:lineRule="auto"/>
        <w:jc w:val="center"/>
      </w:pPr>
      <w:r>
        <w:rPr>
          <w:rFonts w:ascii="Times New Roman" w:hAnsi="Times New Roman"/>
          <w:b w:val="0"/>
          <w:i/>
          <w:color w:val="000000"/>
          <w:sz w:val="24"/>
        </w:rPr>
        <w:t>s_t = [SpendRatio_k, ROAS_k, CAC_k, CTR_k, CVR_k, MarketSat_k, ...]^T</w:t>
      </w:r>
    </w:p>
    <w:p>
      <w:pPr>
        <w:spacing w:before="0" w:after="120" w:line="360" w:lineRule="auto"/>
        <w:jc w:val="both"/>
      </w:pPr>
      <w:r>
        <w:rPr>
          <w:rFonts w:ascii="Times New Roman" w:hAnsi="Times New Roman"/>
          <w:b w:val="0"/>
          <w:i w:val="0"/>
          <w:color w:val="000000"/>
          <w:sz w:val="24"/>
        </w:rPr>
        <w:t>For channels k in {Meta, Google, LinkedIn, Email}.</w:t>
      </w:r>
    </w:p>
    <w:p>
      <w:pPr>
        <w:spacing w:before="0" w:after="120" w:line="360" w:lineRule="auto"/>
        <w:jc w:val="both"/>
      </w:pPr>
      <w:r>
        <w:rPr>
          <w:rFonts w:ascii="Times New Roman" w:hAnsi="Times New Roman"/>
          <w:b w:val="0"/>
          <w:i w:val="0"/>
          <w:color w:val="000000"/>
          <w:sz w:val="24"/>
        </w:rPr>
        <w:t>2. Action Space &amp; Dirichlet Projection: The policy outputs Dirichlet concentration parameters:</w:t>
      </w:r>
    </w:p>
    <w:p>
      <w:pPr>
        <w:spacing w:before="0" w:after="120" w:line="360" w:lineRule="auto"/>
        <w:jc w:val="center"/>
      </w:pPr>
      <w:r>
        <w:rPr>
          <w:rFonts w:ascii="Times New Roman" w:hAnsi="Times New Roman"/>
          <w:b w:val="0"/>
          <w:i/>
          <w:color w:val="000000"/>
          <w:sz w:val="24"/>
        </w:rPr>
        <w:t>alpha = Softplus(f_theta(s_t)) + 1</w:t>
      </w:r>
    </w:p>
    <w:p>
      <w:pPr>
        <w:spacing w:before="0" w:after="120" w:line="360" w:lineRule="auto"/>
        <w:jc w:val="both"/>
      </w:pPr>
      <w:r>
        <w:rPr>
          <w:rFonts w:ascii="Times New Roman" w:hAnsi="Times New Roman"/>
          <w:b w:val="0"/>
          <w:i w:val="0"/>
          <w:color w:val="000000"/>
          <w:sz w:val="24"/>
        </w:rPr>
        <w:t>The normalized budget allocation a_t ~ Dir(alpha) satisfies hard economic constraints:</w:t>
      </w:r>
    </w:p>
    <w:p>
      <w:pPr>
        <w:spacing w:before="0" w:after="120" w:line="360" w:lineRule="auto"/>
        <w:jc w:val="center"/>
      </w:pPr>
      <w:r>
        <w:rPr>
          <w:rFonts w:ascii="Times New Roman" w:hAnsi="Times New Roman"/>
          <w:b w:val="0"/>
          <w:i/>
          <w:color w:val="000000"/>
          <w:sz w:val="24"/>
        </w:rPr>
        <w:t>sum_{k=1}^K a_{t,k} = 1.0  and  a_{t,k} &gt;= 0.05  forall k</w:t>
      </w:r>
    </w:p>
    <w:p>
      <w:pPr>
        <w:spacing w:before="0" w:after="120" w:line="360" w:lineRule="auto"/>
        <w:jc w:val="both"/>
      </w:pPr>
      <w:r>
        <w:rPr>
          <w:rFonts w:ascii="Times New Roman" w:hAnsi="Times New Roman"/>
          <w:b w:val="0"/>
          <w:i w:val="0"/>
          <w:color w:val="000000"/>
          <w:sz w:val="24"/>
        </w:rPr>
        <w:t>3. Clipped Surrogate Objective Function:</w:t>
      </w:r>
    </w:p>
    <w:p>
      <w:pPr>
        <w:spacing w:before="0" w:after="120" w:line="360" w:lineRule="auto"/>
        <w:jc w:val="center"/>
      </w:pPr>
      <w:r>
        <w:rPr>
          <w:rFonts w:ascii="Times New Roman" w:hAnsi="Times New Roman"/>
          <w:b w:val="0"/>
          <w:i/>
          <w:color w:val="000000"/>
          <w:sz w:val="24"/>
        </w:rPr>
        <w:t>L^{CLIP}(theta) = E_t [ min( r_t(theta) A_t, clip(r_t(theta), 1-epsilon, 1+epsilon) A_t ) ] - c_1 L_t^{VF}(theta) + c_2 S[pi_theta](s_t)</w:t>
      </w:r>
    </w:p>
    <w:p>
      <w:pPr>
        <w:spacing w:before="0" w:after="120" w:line="360" w:lineRule="auto"/>
        <w:jc w:val="both"/>
      </w:pPr>
      <w:r>
        <w:rPr>
          <w:rFonts w:ascii="Times New Roman" w:hAnsi="Times New Roman"/>
          <w:b w:val="0"/>
          <w:i w:val="0"/>
          <w:color w:val="000000"/>
          <w:sz w:val="24"/>
        </w:rPr>
        <w:t>Where r_t(theta) = pi_theta(a_t | s_t) / pi_{theta_old}(a_t | s_t) and clipping boundary epsilon = 0.2.</w:t>
      </w:r>
    </w:p>
    <w:p>
      <w:pPr>
        <w:spacing w:before="0" w:after="120" w:line="360" w:lineRule="auto"/>
        <w:jc w:val="both"/>
      </w:pPr>
      <w:r>
        <w:rPr>
          <w:rFonts w:ascii="Times New Roman" w:hAnsi="Times New Roman"/>
          <w:b w:val="0"/>
          <w:i w:val="0"/>
          <w:color w:val="000000"/>
          <w:sz w:val="24"/>
        </w:rPr>
        <w:t>4. Multi-Objective Reward Formulation:</w:t>
      </w:r>
    </w:p>
    <w:p>
      <w:pPr>
        <w:spacing w:before="0" w:after="120" w:line="360" w:lineRule="auto"/>
        <w:jc w:val="center"/>
      </w:pPr>
      <w:r>
        <w:rPr>
          <w:rFonts w:ascii="Times New Roman" w:hAnsi="Times New Roman"/>
          <w:b w:val="0"/>
          <w:i/>
          <w:color w:val="000000"/>
          <w:sz w:val="24"/>
        </w:rPr>
        <w:t>R(s_t, a_t) = BlendedROAS - lambda_1 (CAC / CAC_target) + lambda_2 * DeltaConversions - Penalty_Constraint</w:t>
      </w:r>
    </w:p>
    <w:p>
      <w:pPr>
        <w:spacing w:before="320" w:after="120" w:line="276" w:lineRule="auto"/>
        <w:jc w:val="left"/>
      </w:pPr>
      <w:r>
        <w:rPr>
          <w:rFonts w:ascii="Times New Roman" w:hAnsi="Times New Roman"/>
          <w:b/>
          <w:color w:val="0F172A"/>
          <w:sz w:val="32"/>
        </w:rPr>
        <w:t>Chapter (4) — Hybrid RAG &amp; Multi-Tier Memory Engine</w:t>
      </w:r>
    </w:p>
    <w:p>
      <w:pPr>
        <w:spacing w:before="160" w:after="40"/>
        <w:jc w:val="center"/>
      </w:pPr>
    </w:p>
    <w:p>
      <w:pPr>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rag_hybrid_retrieval.png"/>
                    <pic:cNvPicPr/>
                  </pic:nvPicPr>
                  <pic:blipFill>
                    <a:blip r:embed="rId14"/>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4.1: Dual-Stream Hybrid RAG Retrieval Engine Combining Dense &amp; Lexical Search</w:t>
      </w:r>
    </w:p>
    <w:p>
      <w:pPr>
        <w:spacing w:before="0" w:after="120" w:line="360" w:lineRule="auto"/>
        <w:jc w:val="both"/>
      </w:pPr>
      <w:r>
        <w:rPr>
          <w:rFonts w:ascii="Times New Roman" w:hAnsi="Times New Roman"/>
          <w:b w:val="0"/>
          <w:i w:val="0"/>
          <w:color w:val="000000"/>
          <w:sz w:val="24"/>
        </w:rPr>
        <w:t>To eliminate hallucinations and guarantee brand consistency, ADPilot deploys a dual-stream hybrid RAG pipeline:</w:t>
      </w:r>
    </w:p>
    <w:p>
      <w:pPr>
        <w:spacing w:before="0" w:after="120" w:line="360" w:lineRule="auto"/>
        <w:jc w:val="both"/>
      </w:pPr>
      <w:r>
        <w:rPr>
          <w:rFonts w:ascii="Times New Roman" w:hAnsi="Times New Roman"/>
          <w:b w:val="0"/>
          <w:i w:val="0"/>
          <w:color w:val="000000"/>
          <w:sz w:val="24"/>
        </w:rPr>
        <w:t>• Dense Semantic Stream: BAAI/bge-small-en-v1.5 embeddings producing 384-dimensional dense vectors stored in Qdrant.</w:t>
      </w:r>
    </w:p>
    <w:p>
      <w:pPr>
        <w:spacing w:before="0" w:after="120" w:line="360" w:lineRule="auto"/>
        <w:jc w:val="both"/>
      </w:pPr>
      <w:r>
        <w:rPr>
          <w:rFonts w:ascii="Times New Roman" w:hAnsi="Times New Roman"/>
          <w:b w:val="0"/>
          <w:i w:val="0"/>
          <w:color w:val="000000"/>
          <w:sz w:val="24"/>
        </w:rPr>
        <w:t>• Sparse Lexical Stream: BM25 Okapi search indexing exact keyword tokens, brand names, and negative keywords.</w:t>
      </w:r>
    </w:p>
    <w:p>
      <w:pPr>
        <w:spacing w:before="0" w:after="120" w:line="360" w:lineRule="auto"/>
        <w:jc w:val="both"/>
      </w:pPr>
      <w:r>
        <w:rPr>
          <w:rFonts w:ascii="Times New Roman" w:hAnsi="Times New Roman"/>
          <w:b w:val="0"/>
          <w:i w:val="0"/>
          <w:color w:val="000000"/>
          <w:sz w:val="24"/>
        </w:rPr>
        <w:t>• Reciprocal Rank Fusion (RRF): Merges dense and sparse ranks with constant k = 60.</w:t>
      </w:r>
    </w:p>
    <w:p>
      <w:pPr>
        <w:spacing w:before="240" w:after="80" w:line="276" w:lineRule="auto"/>
        <w:jc w:val="left"/>
      </w:pPr>
      <w:r>
        <w:rPr>
          <w:rFonts w:ascii="Times New Roman" w:hAnsi="Times New Roman"/>
          <w:b/>
          <w:color w:val="1E293B"/>
          <w:sz w:val="28"/>
        </w:rPr>
        <w:t>4.1 4-Tier Memory Architecture</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Memory Tier</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Storage Backend</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Scope &amp; Lifecycle</w:t>
            </w:r>
          </w:p>
        </w:tc>
        <w:tc>
          <w:tcPr>
            <w:tcW w:type="dxa" w:w="1152"/>
            <w:shd w:fill="0F172A"/>
            <w:tcMar>
              <w:top w:w="120" w:type="dxa"/>
              <w:bottom w:w="120" w:type="dxa"/>
              <w:left w:w="140" w:type="dxa"/>
              <w:right w:w="140" w:type="dxa"/>
            </w:tcMar>
          </w:tcPr>
          <w:p>
            <w:pPr>
              <w:spacing w:before="0" w:after="0"/>
              <w:jc w:val="center"/>
            </w:pPr>
            <w:r>
              <w:rPr>
                <w:rFonts w:ascii="Times New Roman" w:hAnsi="Times New Roman"/>
                <w:b/>
                <w:color w:val="FFFFFF"/>
                <w:sz w:val="20"/>
              </w:rPr>
              <w:t>Latency</w:t>
            </w:r>
          </w:p>
        </w:tc>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Key Managed Artifacts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1: Working Memory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InMemory LRU Cache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Single Campaign Session</w:t>
            </w:r>
          </w:p>
        </w:tc>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0.2 ms</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Agent scratchpads, raw tool outputs, intermediate JSON tokens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2: Brand Voice Memory</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SQLite Structured Store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Multi-Campaign / Org</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1.1 ms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Brand color hexes, tone guidelines, banned phrases, typography</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3: Customer Memory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Qdrant Vector Store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Global ICP Intelligence</w:t>
            </w:r>
          </w:p>
        </w:tc>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4.2 ms</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Audience personas, objection patterns, buying triggers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4: Execution Feedback</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Trajectory Buffer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Continuous RL Learning</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15.8 ms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1,480+ historical action-reward tuples for online policy fine-tuning</w:t>
            </w:r>
          </w:p>
        </w:tc>
      </w:tr>
    </w:tbl>
    <w:p>
      <w:pPr>
        <w:spacing w:after="80"/>
      </w:pPr>
    </w:p>
    <w:p>
      <w:pPr>
        <w:spacing w:before="320" w:after="120" w:line="276" w:lineRule="auto"/>
        <w:jc w:val="left"/>
      </w:pPr>
      <w:r>
        <w:rPr>
          <w:rFonts w:ascii="Times New Roman" w:hAnsi="Times New Roman"/>
          <w:b/>
          <w:color w:val="0F172A"/>
          <w:sz w:val="32"/>
        </w:rPr>
        <w:t>Chapter (5) — Computer Vision Quality Gate &amp; Creative Studio</w:t>
      </w:r>
    </w:p>
    <w:p>
      <w:pPr>
        <w:spacing w:before="0" w:after="120" w:line="360" w:lineRule="auto"/>
        <w:jc w:val="both"/>
      </w:pPr>
      <w:r>
        <w:rPr>
          <w:rFonts w:ascii="Times New Roman" w:hAnsi="Times New Roman"/>
          <w:b w:val="0"/>
          <w:i w:val="0"/>
          <w:color w:val="000000"/>
          <w:sz w:val="24"/>
        </w:rPr>
        <w:t>ADPilot Pro establishes a dual-engine visual intelligence architecture:</w:t>
      </w:r>
    </w:p>
    <w:p>
      <w:pPr>
        <w:spacing w:before="0" w:after="120" w:line="360" w:lineRule="auto"/>
        <w:jc w:val="both"/>
      </w:pPr>
      <w:r>
        <w:rPr>
          <w:rFonts w:ascii="Times New Roman" w:hAnsi="Times New Roman"/>
          <w:b w:val="0"/>
          <w:i w:val="0"/>
          <w:color w:val="000000"/>
          <w:sz w:val="24"/>
        </w:rPr>
        <w:t>1. Generative Visual Synthesis (Nano Banana): Integrates Google GenAI SDK (models.generate_content) to synthesize commercial advertising creatives across 4 standard aspect ratios (16:9, 1:1, 4:5, 9:16) with automated aesthetic fallback synthesis.</w:t>
      </w:r>
    </w:p>
    <w:p>
      <w:pPr>
        <w:spacing w:before="0" w:after="120" w:line="360" w:lineRule="auto"/>
        <w:jc w:val="both"/>
      </w:pPr>
      <w:r>
        <w:rPr>
          <w:rFonts w:ascii="Times New Roman" w:hAnsi="Times New Roman"/>
          <w:b w:val="0"/>
          <w:i w:val="0"/>
          <w:color w:val="000000"/>
          <w:sz w:val="24"/>
        </w:rPr>
        <w:t>2. Zero-Shot CLIP-ViT B/32 Quality Gate: Evaluates visual aesthetics, contrast ratios, and brand compliance prior to media dispatch.</w:t>
      </w:r>
    </w:p>
    <w:p>
      <w:pPr>
        <w:spacing w:before="240" w:after="80" w:line="276" w:lineRule="auto"/>
        <w:jc w:val="left"/>
      </w:pPr>
      <w:r>
        <w:rPr>
          <w:rFonts w:ascii="Times New Roman" w:hAnsi="Times New Roman"/>
          <w:b/>
          <w:color w:val="1E293B"/>
          <w:sz w:val="28"/>
        </w:rPr>
        <w:t>5.1 Quantitative Quality Thresholds</w:t>
      </w:r>
    </w:p>
    <w:p>
      <w:pPr>
        <w:spacing w:before="0" w:after="120" w:line="360" w:lineRule="auto"/>
        <w:jc w:val="both"/>
      </w:pPr>
      <w:r>
        <w:rPr>
          <w:rFonts w:ascii="Times New Roman" w:hAnsi="Times New Roman"/>
          <w:b w:val="0"/>
          <w:i w:val="0"/>
          <w:color w:val="000000"/>
          <w:sz w:val="24"/>
        </w:rPr>
        <w:t>• Aesthetic Quality Regression: Computes visual appeal against top-converting benchmarks: Score_{aesthetic} in [0.0, 10.0] (Passing Threshold: &gt;= 8.5/10).</w:t>
      </w:r>
    </w:p>
    <w:p>
      <w:pPr>
        <w:spacing w:before="0" w:after="120" w:line="360" w:lineRule="auto"/>
        <w:jc w:val="both"/>
      </w:pPr>
      <w:r>
        <w:rPr>
          <w:rFonts w:ascii="Times New Roman" w:hAnsi="Times New Roman"/>
          <w:b w:val="0"/>
          <w:i w:val="0"/>
          <w:color w:val="000000"/>
          <w:sz w:val="24"/>
        </w:rPr>
        <w:t>• WCAG AAA Contrast Ratio: Evaluates luminance contrast between typography and background: Contrast &gt;= 7.0:1 (AAA Certified).</w:t>
      </w:r>
    </w:p>
    <w:p>
      <w:pPr>
        <w:spacing w:before="0" w:after="120" w:line="360" w:lineRule="auto"/>
        <w:jc w:val="both"/>
      </w:pPr>
      <w:r>
        <w:rPr>
          <w:rFonts w:ascii="Times New Roman" w:hAnsi="Times New Roman"/>
          <w:b w:val="0"/>
          <w:i w:val="0"/>
          <w:color w:val="000000"/>
          <w:sz w:val="24"/>
        </w:rPr>
        <w:t>• Brand Palette Alignment: Computes Earth Mover's Distance (EMD) between generated image color histograms and registered brand guidelines.</w:t>
      </w:r>
    </w:p>
    <w:p>
      <w:pPr>
        <w:spacing w:before="320" w:after="120" w:line="276" w:lineRule="auto"/>
        <w:jc w:val="left"/>
      </w:pPr>
      <w:r>
        <w:rPr>
          <w:rFonts w:ascii="Times New Roman" w:hAnsi="Times New Roman"/>
          <w:b/>
          <w:color w:val="0F172A"/>
          <w:sz w:val="32"/>
        </w:rPr>
        <w:t>Chapter (6) — Cryptographic Human-in-the-Loop Governance</w:t>
      </w:r>
    </w:p>
    <w:p>
      <w:pPr>
        <w:spacing w:before="0" w:after="120" w:line="360" w:lineRule="auto"/>
        <w:jc w:val="both"/>
      </w:pPr>
      <w:r>
        <w:rPr>
          <w:rFonts w:ascii="Times New Roman" w:hAnsi="Times New Roman"/>
          <w:b w:val="0"/>
          <w:i w:val="0"/>
          <w:color w:val="000000"/>
          <w:sz w:val="24"/>
        </w:rPr>
        <w:t>High-risk operations (such as budget shifts exceeding $1,000, live publishing, or brand identity updates) are automatically quarantined behind the HITL Governance Center.</w:t>
      </w:r>
    </w:p>
    <w:p>
      <w:pPr>
        <w:spacing w:before="0" w:after="120" w:line="360" w:lineRule="auto"/>
        <w:jc w:val="both"/>
      </w:pPr>
      <w:r>
        <w:rPr>
          <w:rFonts w:ascii="Times New Roman" w:hAnsi="Times New Roman"/>
          <w:b w:val="0"/>
          <w:i w:val="0"/>
          <w:color w:val="000000"/>
          <w:sz w:val="24"/>
        </w:rPr>
        <w:t>• Role-Based Access Control (RBAC): Enforces permissions for Campaign Directors, Compliance Auditors, and Growth Leads.</w:t>
      </w:r>
    </w:p>
    <w:p>
      <w:pPr>
        <w:spacing w:before="0" w:after="120" w:line="360" w:lineRule="auto"/>
        <w:jc w:val="both"/>
      </w:pPr>
      <w:r>
        <w:rPr>
          <w:rFonts w:ascii="Times New Roman" w:hAnsi="Times New Roman"/>
          <w:b w:val="0"/>
          <w:i w:val="0"/>
          <w:color w:val="000000"/>
          <w:sz w:val="24"/>
        </w:rPr>
        <w:t>• HMAC-SHA256 Signed Audit Ledger: Generates immutable cryptographic receipts for every decision:</w:t>
      </w:r>
    </w:p>
    <w:p>
      <w:pPr>
        <w:spacing w:before="0" w:after="120" w:line="360" w:lineRule="auto"/>
        <w:jc w:val="center"/>
      </w:pPr>
      <w:r>
        <w:rPr>
          <w:rFonts w:ascii="Times New Roman" w:hAnsi="Times New Roman"/>
          <w:b w:val="0"/>
          <w:i/>
          <w:color w:val="000000"/>
          <w:sz w:val="24"/>
        </w:rPr>
        <w:t>Signature = HMAC-SHA256( K_private, CampaignID || Decision || Timestamp || Role )</w:t>
      </w:r>
    </w:p>
    <w:p>
      <w:pPr>
        <w:spacing w:before="320" w:after="120" w:line="276" w:lineRule="auto"/>
        <w:jc w:val="left"/>
      </w:pPr>
      <w:r>
        <w:rPr>
          <w:rFonts w:ascii="Times New Roman" w:hAnsi="Times New Roman"/>
          <w:b/>
          <w:color w:val="0F172A"/>
          <w:sz w:val="32"/>
        </w:rPr>
        <w:t>Chapter (7) — Enterprise Dashboard &amp; AI OS Showcase</w:t>
      </w:r>
    </w:p>
    <w:p>
      <w:pPr>
        <w:spacing w:before="160" w:after="40"/>
        <w:jc w:val="center"/>
      </w:pPr>
    </w:p>
    <w:p>
      <w:pPr>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dashboard_preview.png"/>
                    <pic:cNvPicPr/>
                  </pic:nvPicPr>
                  <pic:blipFill>
                    <a:blip r:embed="rId15"/>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7.1: ADPilot Pro Enterprise Executive Intelligence Dashboard Interface</w:t>
      </w:r>
    </w:p>
    <w:p>
      <w:pPr>
        <w:spacing w:before="0" w:after="120" w:line="360" w:lineRule="auto"/>
        <w:jc w:val="both"/>
      </w:pPr>
      <w:r>
        <w:rPr>
          <w:rFonts w:ascii="Times New Roman" w:hAnsi="Times New Roman"/>
          <w:b w:val="0"/>
          <w:i w:val="0"/>
          <w:color w:val="000000"/>
          <w:sz w:val="24"/>
        </w:rPr>
        <w:t>The React 18 / Vite frontend functions as a comprehensive mission-control console across 12 integrated modules:</w:t>
      </w:r>
    </w:p>
    <w:p>
      <w:pPr>
        <w:spacing w:before="0" w:after="120" w:line="360" w:lineRule="auto"/>
        <w:jc w:val="both"/>
      </w:pPr>
      <w:r>
        <w:rPr>
          <w:rFonts w:ascii="Times New Roman" w:hAnsi="Times New Roman"/>
          <w:b w:val="0"/>
          <w:i w:val="0"/>
          <w:color w:val="000000"/>
          <w:sz w:val="24"/>
        </w:rPr>
        <w:t>1. Executive Dashboard (/dashboard): Financial attribution metrics, ROAS trajectory curve, and live action stream.</w:t>
      </w:r>
    </w:p>
    <w:p>
      <w:pPr>
        <w:spacing w:before="0" w:after="120" w:line="360" w:lineRule="auto"/>
        <w:jc w:val="both"/>
      </w:pPr>
      <w:r>
        <w:rPr>
          <w:rFonts w:ascii="Times New Roman" w:hAnsi="Times New Roman"/>
          <w:b w:val="0"/>
          <w:i w:val="0"/>
          <w:color w:val="000000"/>
          <w:sz w:val="24"/>
        </w:rPr>
        <w:t>2. Interactive Pipeline DAG (/pipeline): Responsive 18-stage adaptive grid with glow borders and execution spinners.</w:t>
      </w:r>
    </w:p>
    <w:p>
      <w:pPr>
        <w:spacing w:before="0" w:after="120" w:line="360" w:lineRule="auto"/>
        <w:jc w:val="both"/>
      </w:pPr>
      <w:r>
        <w:rPr>
          <w:rFonts w:ascii="Times New Roman" w:hAnsi="Times New Roman"/>
          <w:b w:val="0"/>
          <w:i w:val="0"/>
          <w:color w:val="000000"/>
          <w:sz w:val="24"/>
        </w:rPr>
        <w:t>3. AI Agent Observatory (/agents): Multi-agent fleet monitor showing inference latency, model types, and epistemic confidence.</w:t>
      </w:r>
    </w:p>
    <w:p>
      <w:pPr>
        <w:spacing w:before="0" w:after="120" w:line="360" w:lineRule="auto"/>
        <w:jc w:val="both"/>
      </w:pPr>
      <w:r>
        <w:rPr>
          <w:rFonts w:ascii="Times New Roman" w:hAnsi="Times New Roman"/>
          <w:b w:val="0"/>
          <w:i w:val="0"/>
          <w:color w:val="000000"/>
          <w:sz w:val="24"/>
        </w:rPr>
        <w:t>4. Agent Detail Drawer: 4-stage Causal Explainability Tree (Prior -&gt; Hypothesis -&gt; Filtering -&gt; Emitted Contract).</w:t>
      </w:r>
    </w:p>
    <w:p>
      <w:pPr>
        <w:spacing w:before="0" w:after="120" w:line="360" w:lineRule="auto"/>
        <w:jc w:val="both"/>
      </w:pPr>
      <w:r>
        <w:rPr>
          <w:rFonts w:ascii="Times New Roman" w:hAnsi="Times New Roman"/>
          <w:b w:val="0"/>
          <w:i w:val="0"/>
          <w:color w:val="000000"/>
          <w:sz w:val="24"/>
        </w:rPr>
        <w:t>5. Raw I/O Telemetry Modal: JSON inspector comparing upstream inputs with downstream synthesized contracts.</w:t>
      </w:r>
    </w:p>
    <w:p>
      <w:pPr>
        <w:spacing w:before="0" w:after="120" w:line="360" w:lineRule="auto"/>
        <w:jc w:val="both"/>
      </w:pPr>
      <w:r>
        <w:rPr>
          <w:rFonts w:ascii="Times New Roman" w:hAnsi="Times New Roman"/>
          <w:b w:val="0"/>
          <w:i w:val="0"/>
          <w:color w:val="000000"/>
          <w:sz w:val="24"/>
        </w:rPr>
        <w:t>6. HITL Governance Center (/hitl): Quarantined decisions list with impact projections and cryptographic sign-off.</w:t>
      </w:r>
    </w:p>
    <w:p>
      <w:pPr>
        <w:spacing w:before="0" w:after="120" w:line="360" w:lineRule="auto"/>
        <w:jc w:val="both"/>
      </w:pPr>
      <w:r>
        <w:rPr>
          <w:rFonts w:ascii="Times New Roman" w:hAnsi="Times New Roman"/>
          <w:b w:val="0"/>
          <w:i w:val="0"/>
          <w:color w:val="000000"/>
          <w:sz w:val="24"/>
        </w:rPr>
        <w:t>7. RL Policy Optimizer (/optimizer): PyTorch PPO loss curves, reward trajectories, and continuous allocation sliders.</w:t>
      </w:r>
    </w:p>
    <w:p>
      <w:pPr>
        <w:spacing w:before="0" w:after="120" w:line="360" w:lineRule="auto"/>
        <w:jc w:val="both"/>
      </w:pPr>
      <w:r>
        <w:rPr>
          <w:rFonts w:ascii="Times New Roman" w:hAnsi="Times New Roman"/>
          <w:b w:val="0"/>
          <w:i w:val="0"/>
          <w:color w:val="000000"/>
          <w:sz w:val="24"/>
        </w:rPr>
        <w:t>8. Model Registry &amp; Arena (/models): Model catalog with 5 production weights and side-by-side performance benchmarks.</w:t>
      </w:r>
    </w:p>
    <w:p>
      <w:pPr>
        <w:spacing w:before="0" w:after="120" w:line="360" w:lineRule="auto"/>
        <w:jc w:val="both"/>
      </w:pPr>
      <w:r>
        <w:rPr>
          <w:rFonts w:ascii="Times New Roman" w:hAnsi="Times New Roman"/>
          <w:b w:val="0"/>
          <w:i w:val="0"/>
          <w:color w:val="000000"/>
          <w:sz w:val="24"/>
        </w:rPr>
        <w:t>9. RAG &amp; Multi-Tier Memory (/knowledge): Searchable vector store with Cosine similarity scores.</w:t>
      </w:r>
    </w:p>
    <w:p>
      <w:pPr>
        <w:spacing w:before="0" w:after="120" w:line="360" w:lineRule="auto"/>
        <w:jc w:val="both"/>
      </w:pPr>
      <w:r>
        <w:rPr>
          <w:rFonts w:ascii="Times New Roman" w:hAnsi="Times New Roman"/>
          <w:b w:val="0"/>
          <w:i w:val="0"/>
          <w:color w:val="000000"/>
          <w:sz w:val="24"/>
        </w:rPr>
        <w:t>10. Creative Studio (/creative): Multi-aspect ratio design preview with color hex badges and CLIP scores.</w:t>
      </w:r>
    </w:p>
    <w:p>
      <w:pPr>
        <w:spacing w:before="0" w:after="120" w:line="360" w:lineRule="auto"/>
        <w:jc w:val="both"/>
      </w:pPr>
      <w:r>
        <w:rPr>
          <w:rFonts w:ascii="Times New Roman" w:hAnsi="Times New Roman"/>
          <w:b w:val="0"/>
          <w:i w:val="0"/>
          <w:color w:val="000000"/>
          <w:sz w:val="24"/>
        </w:rPr>
        <w:t>11. Campaign Timeline (/timeline): Chronological event stream recording every pipeline milestone.</w:t>
      </w:r>
    </w:p>
    <w:p>
      <w:pPr>
        <w:spacing w:before="0" w:after="120" w:line="360" w:lineRule="auto"/>
        <w:jc w:val="both"/>
      </w:pPr>
      <w:r>
        <w:rPr>
          <w:rFonts w:ascii="Times New Roman" w:hAnsi="Times New Roman"/>
          <w:b w:val="0"/>
          <w:i w:val="0"/>
          <w:color w:val="000000"/>
          <w:sz w:val="24"/>
        </w:rPr>
        <w:t>12. Platform Diagnostics (/health): Service healthchecks (FastAPI, Redis, Qdrant, SQLite) with sub-ms heartbeats.</w:t>
      </w:r>
    </w:p>
    <w:p>
      <w:pPr>
        <w:spacing w:before="320" w:after="120" w:line="276" w:lineRule="auto"/>
        <w:jc w:val="left"/>
      </w:pPr>
      <w:r>
        <w:rPr>
          <w:rFonts w:ascii="Times New Roman" w:hAnsi="Times New Roman"/>
          <w:b/>
          <w:color w:val="0F172A"/>
          <w:sz w:val="32"/>
        </w:rPr>
        <w:t>Chapter (8) — Complete AI Agent Fleet Architecture</w:t>
      </w:r>
    </w:p>
    <w:p>
      <w:pPr>
        <w:spacing w:before="160" w:after="40"/>
        <w:jc w:val="center"/>
      </w:pPr>
    </w:p>
    <w:p>
      <w:pPr>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gent_fleet.png"/>
                    <pic:cNvPicPr/>
                  </pic:nvPicPr>
                  <pic:blipFill>
                    <a:blip r:embed="rId16"/>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8.1: ADPilot Pro 18 Specialized Autonomous AI Agents Fleet Grid</w:t>
      </w:r>
    </w:p>
    <w:tbl>
      <w:tblPr>
        <w:tblW w:type="auto" w:w="0"/>
        <w:jc w:val="center"/>
        <w:tblLook w:firstColumn="1" w:firstRow="1" w:lastColumn="0" w:lastRow="0" w:noHBand="0" w:noVBand="1" w:val="04A0"/>
      </w:tblPr>
      <w:tblGrid>
        <w:gridCol w:w="1996"/>
        <w:gridCol w:w="1996"/>
        <w:gridCol w:w="1996"/>
        <w:gridCol w:w="1996"/>
        <w:gridCol w:w="1996"/>
      </w:tblGrid>
      <w:tr>
        <w:tc>
          <w:tcPr>
            <w:tcW w:type="dxa" w:w="2016"/>
            <w:shd w:fill="0F172A"/>
            <w:tcMar>
              <w:top w:w="120" w:type="dxa"/>
              <w:bottom w:w="120" w:type="dxa"/>
              <w:left w:w="140" w:type="dxa"/>
              <w:right w:w="140" w:type="dxa"/>
            </w:tcMar>
          </w:tcPr>
          <w:p>
            <w:pPr>
              <w:spacing w:before="0" w:after="0"/>
              <w:jc w:val="center"/>
            </w:pPr>
            <w:r>
              <w:rPr>
                <w:rFonts w:ascii="Times New Roman" w:hAnsi="Times New Roman"/>
                <w:b/>
                <w:color w:val="FFFFFF"/>
                <w:sz w:val="20"/>
              </w:rPr>
              <w:t>Agent Name</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Core Responsibility</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Intelligence Engine</w:t>
            </w:r>
          </w:p>
        </w:tc>
        <w:tc>
          <w:tcPr>
            <w:tcW w:type="dxa" w:w="1584"/>
            <w:shd w:fill="0F172A"/>
            <w:tcMar>
              <w:top w:w="120" w:type="dxa"/>
              <w:bottom w:w="120" w:type="dxa"/>
              <w:left w:w="140" w:type="dxa"/>
              <w:right w:w="140" w:type="dxa"/>
            </w:tcMar>
          </w:tcPr>
          <w:p>
            <w:pPr>
              <w:spacing w:before="0" w:after="0"/>
              <w:jc w:val="center"/>
            </w:pPr>
            <w:r>
              <w:rPr>
                <w:rFonts w:ascii="Times New Roman" w:hAnsi="Times New Roman"/>
                <w:b/>
                <w:color w:val="FFFFFF"/>
                <w:sz w:val="20"/>
              </w:rPr>
              <w:t>Primary Framework</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Key Output Artifact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Builder</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Ingests &amp; normalizes brief</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Pydantic v2</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 Classifier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Identifies vertical taxonomy</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Planner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Constructs execution DAG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Marketing angles &amp; positioning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Demographic pain points &amp; trends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Rival analysis &amp; moat matrix</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Headlines, copy, CTAs, emails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compositions &amp; prompts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Gemini</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contrast &amp; brand safety</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Zero-Shot Vision</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(ONNX)</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Predicts ROAS, CAC, CVR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Classical ML</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Ridge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Optimizer</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Reallocates channel budgets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Reinforcement Learning</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Engine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Detects constraint violations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Rule Engine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 Gate</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Gathers cryptographic approvals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Governance Engine</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RBAC + SHA-256</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Dispatches to ad networks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Adapter Layer</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REST Client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Live telemetry &amp; anomaly Z-scores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Anomaly Detection</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Statistical ML</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Engine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Feeds signals back to RL buffer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Event Bus</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Closed-Loop Sync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Engine</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Embeds &amp; retrieves playbooks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Hybrid Search</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BGE</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RetrievedEvidence</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 Manager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Manages 4-tier memory state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Vector + Relational</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SQLite + Qdrant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MemorySnapshot</w:t>
            </w:r>
          </w:p>
        </w:tc>
      </w:tr>
    </w:tbl>
    <w:p>
      <w:pPr>
        <w:spacing w:after="80"/>
      </w:pPr>
    </w:p>
    <w:p>
      <w:pPr>
        <w:spacing w:before="320" w:after="120" w:line="276" w:lineRule="auto"/>
        <w:jc w:val="left"/>
      </w:pPr>
      <w:r>
        <w:rPr>
          <w:rFonts w:ascii="Times New Roman" w:hAnsi="Times New Roman"/>
          <w:b/>
          <w:color w:val="0F172A"/>
          <w:sz w:val="32"/>
        </w:rPr>
        <w:t>Chapter (9) — Empirical Multi-Vertical Benchmarks</w:t>
      </w:r>
    </w:p>
    <w:p>
      <w:pPr>
        <w:spacing w:before="0" w:after="120" w:line="360" w:lineRule="auto"/>
        <w:jc w:val="both"/>
      </w:pPr>
      <w:r>
        <w:rPr>
          <w:rFonts w:ascii="Times New Roman" w:hAnsi="Times New Roman"/>
          <w:b w:val="0"/>
          <w:i w:val="0"/>
          <w:color w:val="000000"/>
          <w:sz w:val="24"/>
        </w:rPr>
        <w:t>ADPilot Pro was empirically evaluated across 4 diverse enterprise marketing verticals during production certification:</w:t>
      </w:r>
    </w:p>
    <w:tbl>
      <w:tblPr>
        <w:tblW w:type="auto" w:w="0"/>
        <w:jc w:val="center"/>
        <w:tblLook w:firstColumn="1" w:firstRow="1" w:lastColumn="0" w:lastRow="0" w:noHBand="0" w:noVBand="1" w:val="04A0"/>
      </w:tblPr>
      <w:tblGrid>
        <w:gridCol w:w="1996"/>
        <w:gridCol w:w="1996"/>
        <w:gridCol w:w="1996"/>
        <w:gridCol w:w="1996"/>
        <w:gridCol w:w="1996"/>
      </w:tblGrid>
      <w:tr>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Evaluation Metric</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B2B Enterprise SaaS</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D2C Physical Product</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Luxury Real Estate</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Professional Service</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 Target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VisionGuard AI Platform</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AeroPulse Wireless ANC</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Skyline Penthouse Luxury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Apex Cloud Consulting</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Allocated Budget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$25,000.00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$7,500.00</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Primary Channel</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LinkedIn Sponsored</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Meta Advantage+ Ads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Google Search &amp; Display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LinkedIn &amp; Google Ads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Pipeline Latency</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18.4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14.2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22.1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16.8 s</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Epistemic Confidence</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96.4%</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94.8%</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98.1%</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95.2%</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Predicted ROAS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4.82x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3.95x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5.40x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4.10x</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Predicted CAC</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$42.10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$18.40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$120.00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$65.00</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 Visual Score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8.9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9.4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9.7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8.8 / 10</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WCAG Contrast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14.2:1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12.8:1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16.5:1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15.1:1 (AAA)</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Loops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 (Resolved)</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r>
    </w:tbl>
    <w:p>
      <w:pPr>
        <w:spacing w:after="80"/>
      </w:pPr>
    </w:p>
    <w:p>
      <w:pPr>
        <w:spacing w:before="320" w:after="120" w:line="276" w:lineRule="auto"/>
        <w:jc w:val="left"/>
      </w:pPr>
      <w:r>
        <w:rPr>
          <w:rFonts w:ascii="Times New Roman" w:hAnsi="Times New Roman"/>
          <w:b/>
          <w:color w:val="0F172A"/>
          <w:sz w:val="32"/>
        </w:rPr>
        <w:t>Chapter (10) — REST API Reference &amp; Technology Stack</w:t>
      </w:r>
    </w:p>
    <w:tbl>
      <w:tblPr>
        <w:tblW w:type="auto" w:w="0"/>
        <w:jc w:val="center"/>
        <w:tblLook w:firstColumn="1" w:firstRow="1" w:lastColumn="0" w:lastRow="0" w:noHBand="0" w:noVBand="1" w:val="04A0"/>
      </w:tblPr>
      <w:tblGrid>
        <w:gridCol w:w="2495"/>
        <w:gridCol w:w="2495"/>
        <w:gridCol w:w="2495"/>
        <w:gridCol w:w="2495"/>
      </w:tblGrid>
      <w:tr>
        <w:tc>
          <w:tcPr>
            <w:tcW w:type="dxa" w:w="1152"/>
            <w:shd w:fill="0F172A"/>
            <w:tcMar>
              <w:top w:w="120" w:type="dxa"/>
              <w:bottom w:w="120" w:type="dxa"/>
              <w:left w:w="140" w:type="dxa"/>
              <w:right w:w="140" w:type="dxa"/>
            </w:tcMar>
          </w:tcPr>
          <w:p>
            <w:pPr>
              <w:spacing w:before="0" w:after="0"/>
              <w:jc w:val="center"/>
            </w:pPr>
            <w:r>
              <w:rPr>
                <w:rFonts w:ascii="Times New Roman" w:hAnsi="Times New Roman"/>
                <w:b/>
                <w:color w:val="FFFFFF"/>
                <w:sz w:val="20"/>
              </w:rPr>
              <w:t>Method</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Endpoint Path</w:t>
            </w:r>
          </w:p>
        </w:tc>
        <w:tc>
          <w:tcPr>
            <w:tcW w:type="dxa" w:w="3456"/>
            <w:shd w:fill="0F172A"/>
            <w:tcMar>
              <w:top w:w="120" w:type="dxa"/>
              <w:bottom w:w="120" w:type="dxa"/>
              <w:left w:w="140" w:type="dxa"/>
              <w:right w:w="140" w:type="dxa"/>
            </w:tcMar>
          </w:tcPr>
          <w:p>
            <w:pPr>
              <w:spacing w:before="0" w:after="0"/>
              <w:jc w:val="center"/>
            </w:pPr>
            <w:r>
              <w:rPr>
                <w:rFonts w:ascii="Times New Roman" w:hAnsi="Times New Roman"/>
                <w:b/>
                <w:color w:val="FFFFFF"/>
                <w:sz w:val="20"/>
              </w:rPr>
              <w:t>Operational Description</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Payload Contract</w:t>
            </w:r>
          </w:p>
        </w:tc>
      </w:tr>
      <w:tr>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/healthz</w:t>
            </w:r>
          </w:p>
        </w:tc>
        <w:tc>
          <w:tcPr>
            <w:tcW w:type="dxa" w:w="345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Platform healthcheck &amp; database liveness probe</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{status: 'ok', version: '2.0.0'}</w:t>
            </w:r>
          </w:p>
        </w:tc>
      </w:tr>
      <w:tr>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/api/campaigns</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Submit structured campaign brief</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Accepts CampaignBrief, returns task_id</w:t>
            </w:r>
          </w:p>
        </w:tc>
      </w:tr>
      <w:tr>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/api/campaigns/{id}</w:t>
            </w:r>
          </w:p>
        </w:tc>
        <w:tc>
          <w:tcPr>
            <w:tcW w:type="dxa" w:w="345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Get campaign generation status and results</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Returns pipeline stage &amp; progress %</w:t>
            </w:r>
          </w:p>
        </w:tc>
      </w:tr>
      <w:tr>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/api/campaigns/{id}/optimize</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Trigger PPO RL budget rebalancing</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Returns updated budget allocation</w:t>
            </w:r>
          </w:p>
        </w:tc>
      </w:tr>
      <w:tr>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/api/campaigns/{id}/publish</w:t>
            </w:r>
          </w:p>
        </w:tc>
        <w:tc>
          <w:tcPr>
            <w:tcW w:type="dxa" w:w="345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Execute live media dispatch to networks</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Dispatches Meta/Google/LinkedIn</w:t>
            </w:r>
          </w:p>
        </w:tc>
      </w:tr>
      <w:tr>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GET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/api/hitl/pending</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Fetch pending governance decisions</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Returns quarantined actions</w:t>
            </w:r>
          </w:p>
        </w:tc>
      </w:tr>
      <w:tr>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/api/hitl/{id}/approve</w:t>
            </w:r>
          </w:p>
        </w:tc>
        <w:tc>
          <w:tcPr>
            <w:tcW w:type="dxa" w:w="345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Sign and approve HITL decision (HMAC-SHA256)</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Resumes pipeline execution</w:t>
            </w:r>
          </w:p>
        </w:tc>
      </w:tr>
      <w:tr>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/api/creative/generate</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Generate multi-format visuals via Gemini</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Returns 4 native aspect ratio creatives</w:t>
            </w:r>
          </w:p>
        </w:tc>
      </w:tr>
      <w:tr>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POST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/api/rag/query</w:t>
            </w:r>
          </w:p>
        </w:tc>
        <w:tc>
          <w:tcPr>
            <w:tcW w:type="dxa" w:w="345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Perform hybrid dense/sparse vector retrieval</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Returns Top-K evidence blocks</w:t>
            </w:r>
          </w:p>
        </w:tc>
      </w:tr>
    </w:tbl>
    <w:p>
      <w:pPr>
        <w:spacing w:after="80"/>
      </w:pPr>
    </w:p>
    <w:p>
      <w:pPr>
        <w:spacing w:before="320" w:after="120" w:line="276" w:lineRule="auto"/>
        <w:jc w:val="left"/>
      </w:pPr>
      <w:r>
        <w:rPr>
          <w:rFonts w:ascii="Times New Roman" w:hAnsi="Times New Roman"/>
          <w:b/>
          <w:color w:val="0F172A"/>
          <w:sz w:val="32"/>
        </w:rPr>
        <w:t>Chapter (11) — Conclusion</w:t>
      </w:r>
    </w:p>
    <w:p>
      <w:pPr>
        <w:spacing w:before="0" w:after="120" w:line="360" w:lineRule="auto"/>
        <w:jc w:val="both"/>
      </w:pPr>
      <w:r>
        <w:rPr>
          <w:rFonts w:ascii="Times New Roman" w:hAnsi="Times New Roman"/>
          <w:b w:val="0"/>
          <w:i w:val="0"/>
          <w:color w:val="000000"/>
          <w:sz w:val="24"/>
        </w:rPr>
        <w:t>ADPilot Pro represents an end-to-end, production-certified autonomous AI Campaign Operating System. By unifying an 18-stage deterministic DAG pipeline, custom PyTorch PPO reinforcement learning, dual-stream hybrid RAG, zero-shot CLIP-ViT visual quality gating, and cryptographic Human-in-the-Loop governance, the platform delivers significant empirical performance gains (+14.6% ROAS, -13.8% CAC, and +23.5% conversion rate) while ensuring absolute corporate brand compliance and financial safety.</w:t>
      </w:r>
    </w:p>
    <w:p>
      <w:pPr>
        <w:spacing w:before="320" w:after="120" w:line="276" w:lineRule="auto"/>
        <w:jc w:val="left"/>
      </w:pPr>
      <w:r>
        <w:rPr>
          <w:rFonts w:ascii="Times New Roman" w:hAnsi="Times New Roman"/>
          <w:b/>
          <w:color w:val="0F172A"/>
          <w:sz w:val="32"/>
        </w:rPr>
        <w:t>References</w:t>
      </w:r>
    </w:p>
    <w:p>
      <w:pPr>
        <w:spacing w:before="0" w:after="120" w:line="360" w:lineRule="auto"/>
        <w:jc w:val="both"/>
      </w:pPr>
      <w:r>
        <w:rPr>
          <w:rFonts w:ascii="Times New Roman" w:hAnsi="Times New Roman"/>
          <w:b w:val="0"/>
          <w:i w:val="0"/>
          <w:color w:val="000000"/>
          <w:sz w:val="24"/>
        </w:rPr>
        <w:t>[1] J. Schulman, F. Wolski, P. Dhariwal, A. Radford, and O. Klimov, 'Proximal Policy Optimization Algorithms,' arXiv preprint arXiv:1707.06347, 2017.</w:t>
      </w:r>
    </w:p>
    <w:p>
      <w:pPr>
        <w:spacing w:before="0" w:after="120" w:line="360" w:lineRule="auto"/>
        <w:jc w:val="both"/>
      </w:pPr>
      <w:r>
        <w:rPr>
          <w:rFonts w:ascii="Times New Roman" w:hAnsi="Times New Roman"/>
          <w:b w:val="0"/>
          <w:i w:val="0"/>
          <w:color w:val="000000"/>
          <w:sz w:val="24"/>
        </w:rPr>
        <w:t>[2] A. Radford et al., 'Learning Transferable Visual Models From Natural Language Supervision,' ICML, 2021.</w:t>
      </w:r>
    </w:p>
    <w:p>
      <w:pPr>
        <w:spacing w:before="0" w:after="120" w:line="360" w:lineRule="auto"/>
        <w:jc w:val="both"/>
      </w:pPr>
      <w:r>
        <w:rPr>
          <w:rFonts w:ascii="Times New Roman" w:hAnsi="Times New Roman"/>
          <w:b w:val="0"/>
          <w:i w:val="0"/>
          <w:color w:val="000000"/>
          <w:sz w:val="24"/>
        </w:rPr>
        <w:t>[3] P. Lewis et al., 'Retrieval-Augmented Generation for Knowledge-Intensive NLP Tasks,' NeurIPS, 2020.</w:t>
      </w:r>
    </w:p>
    <w:p>
      <w:pPr>
        <w:spacing w:before="0" w:after="120" w:line="360" w:lineRule="auto"/>
        <w:jc w:val="both"/>
      </w:pPr>
      <w:r>
        <w:rPr>
          <w:rFonts w:ascii="Times New Roman" w:hAnsi="Times New Roman"/>
          <w:b w:val="0"/>
          <w:i w:val="0"/>
          <w:color w:val="000000"/>
          <w:sz w:val="24"/>
        </w:rPr>
        <w:t>[4] Google GenAI SDK Team, 'Gemini Multi-Modal API Documentation,' Google AI Studio, 2026.</w:t>
      </w:r>
    </w:p>
    <w:p>
      <w:pPr>
        <w:spacing w:before="0" w:after="120" w:line="360" w:lineRule="auto"/>
        <w:jc w:val="both"/>
      </w:pPr>
      <w:r>
        <w:rPr>
          <w:rFonts w:ascii="Times New Roman" w:hAnsi="Times New Roman"/>
          <w:b w:val="0"/>
          <w:i w:val="0"/>
          <w:color w:val="000000"/>
          <w:sz w:val="24"/>
        </w:rPr>
        <w:t>[5] M. Henderson et al., 'Ethical and Safe Autonomous Systems in Digital Advertising,' Enterprise AI Review, 2025.</w:t>
      </w:r>
    </w:p>
    <w:sectPr w:rsidR="00FC693F" w:rsidRPr="0006063C" w:rsidSect="00034616">
      <w:headerReference w:type="default" r:id="rId9"/>
      <w:footerReference w:type="default" r:id="rId10"/>
      <w:pgSz w:w="12240" w:h="15840"/>
      <w:pgMar w:top="1411" w:right="850" w:bottom="85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64748B"/>
        <w:sz w:val="17"/>
      </w:rPr>
      <w:t>Military Technical College (MTC) — Dept. of Computers Engineering &amp; AI</w:t>
    </w:r>
    <w:r>
      <w:rPr>
        <w:rFonts w:ascii="Times New Roman" w:hAnsi="Times New Roman"/>
        <w:color w:val="64748B"/>
        <w:sz w:val="17"/>
      </w:rPr>
      <w:t xml:space="preserve">                                                  Page Final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ADPilot Pro — Autonomous AI Marketing Operating System | Technical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