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F0AE0" w14:textId="77777777" w:rsidR="00EE6FAE" w:rsidRDefault="00EE6FAE">
      <w:pPr>
        <w:spacing w:after="2600"/>
      </w:pPr>
      <w:bookmarkStart w:id="0" w:name="_GoBack"/>
      <w:bookmarkEnd w:id="0"/>
    </w:p>
    <w:p w14:paraId="08C11982" w14:textId="77777777" w:rsidR="00EE6FAE" w:rsidRDefault="00FA2AB0">
      <w:pPr>
        <w:spacing w:after="260"/>
        <w:jc w:val="center"/>
      </w:pPr>
      <w:r>
        <w:rPr>
          <w:rFonts w:ascii="Cormorant Garamond" w:eastAsia="Cormorant Garamond" w:hAnsi="Cormorant Garamond" w:cs="Cormorant Garamond"/>
          <w:color w:val="1E2B20"/>
          <w:sz w:val="92"/>
          <w:szCs w:val="92"/>
        </w:rPr>
        <w:t>From Wildfires to Regeneration</w:t>
      </w:r>
    </w:p>
    <w:p w14:paraId="72FC3371" w14:textId="54B98393" w:rsidR="00EE6FAE" w:rsidRDefault="00E1540F">
      <w:pPr>
        <w:ind w:left="900" w:right="900"/>
        <w:jc w:val="center"/>
      </w:pPr>
      <w:r>
        <w:rPr>
          <w:rFonts w:ascii="Avenir" w:eastAsia="Avenir" w:hAnsi="Avenir" w:cs="Avenir"/>
          <w:color w:val="A8A296"/>
          <w:sz w:val="21"/>
          <w:szCs w:val="21"/>
        </w:rPr>
        <w:t>Una Risposta Rapida Globale Pratica, Scalabile ed Esportabile</w:t>
      </w:r>
    </w:p>
    <w:p w14:paraId="504E5E20" w14:textId="77777777" w:rsidR="00EE6FAE" w:rsidRDefault="00FA2AB0">
      <w:r>
        <w:br w:type="page"/>
      </w:r>
    </w:p>
    <w:p w14:paraId="697DD700" w14:textId="77777777" w:rsidR="00EE6FAE" w:rsidRDefault="00EE6FAE">
      <w:pPr>
        <w:spacing w:after="1500"/>
      </w:pPr>
    </w:p>
    <w:p w14:paraId="1BAE11FD" w14:textId="5F32D56A" w:rsidR="00EE6FAE" w:rsidRDefault="00E1540F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LA SFIDA</w:t>
      </w:r>
    </w:p>
    <w:p w14:paraId="7FF4DB77" w14:textId="6C099511" w:rsidR="00EE6FAE" w:rsidRDefault="00E1540F">
      <w:pPr>
        <w:spacing w:after="260" w:line="460" w:lineRule="auto"/>
      </w:pPr>
      <w:r>
        <w:rPr>
          <w:rFonts w:ascii="Cormorant Garamond" w:eastAsia="Cormorant Garamond" w:hAnsi="Cormorant Garamond" w:cs="Cormorant Garamond"/>
          <w:color w:val="262624"/>
          <w:sz w:val="46"/>
          <w:szCs w:val="46"/>
        </w:rPr>
        <w:t>Gli incendi boschivi minacciano sempre più la biodiversità, le comunità, i mezzi di sussistenza e gli ecosistemi in tutto il mondo.</w:t>
      </w:r>
    </w:p>
    <w:p w14:paraId="6F946C26" w14:textId="77777777" w:rsidR="00EE6FAE" w:rsidRDefault="00FA2AB0">
      <w:r>
        <w:br w:type="page"/>
      </w:r>
    </w:p>
    <w:p w14:paraId="2C05DAAD" w14:textId="77777777" w:rsidR="00EE6FAE" w:rsidRDefault="00EE6FAE">
      <w:pPr>
        <w:spacing w:after="1700"/>
      </w:pPr>
    </w:p>
    <w:p w14:paraId="77A2F5D6" w14:textId="4ED40236" w:rsidR="00EE6FAE" w:rsidRDefault="00E1540F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LA SOLUZIONE</w:t>
      </w:r>
    </w:p>
    <w:p w14:paraId="41BE0E86" w14:textId="755B5A14" w:rsidR="00EE6FAE" w:rsidRDefault="00E1540F">
      <w:pPr>
        <w:spacing w:after="260" w:line="480" w:lineRule="auto"/>
      </w:pPr>
      <w:r>
        <w:rPr>
          <w:rFonts w:ascii="Cormorant Garamond" w:eastAsia="Cormorant Garamond" w:hAnsi="Cormorant Garamond" w:cs="Cormorant Garamond"/>
          <w:color w:val="262624"/>
          <w:sz w:val="50"/>
          <w:szCs w:val="50"/>
        </w:rPr>
        <w:t>Un Global Rapid Response Framework pratico, scalabile ed esportabile.</w:t>
      </w:r>
    </w:p>
    <w:p w14:paraId="33400738" w14:textId="77777777" w:rsidR="00EE6FAE" w:rsidRDefault="00FA2AB0">
      <w:r>
        <w:br w:type="page"/>
      </w:r>
    </w:p>
    <w:p w14:paraId="3A61AF55" w14:textId="77777777" w:rsidR="00EE6FAE" w:rsidRDefault="00EE6FAE">
      <w:pPr>
        <w:spacing w:after="2000"/>
      </w:pPr>
    </w:p>
    <w:p w14:paraId="50902E5D" w14:textId="0A75CB9F" w:rsidR="00EE6FAE" w:rsidRDefault="00E1540F">
      <w:pPr>
        <w:keepNext/>
        <w:spacing w:after="420"/>
        <w:jc w:val="center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LA RICHIESTA</w:t>
      </w:r>
    </w:p>
    <w:p w14:paraId="464F817F" w14:textId="03AC9BC3" w:rsidR="00EE6FAE" w:rsidRDefault="00E1540F">
      <w:pPr>
        <w:spacing w:line="520" w:lineRule="auto"/>
        <w:jc w:val="center"/>
      </w:pPr>
      <w:r>
        <w:rPr>
          <w:rFonts w:ascii="Cormorant Garamond" w:eastAsia="Cormorant Garamond" w:hAnsi="Cormorant Garamond" w:cs="Cormorant Garamond"/>
          <w:color w:val="1E2B20"/>
          <w:sz w:val="60"/>
          <w:szCs w:val="60"/>
        </w:rPr>
        <w:t>Diventa un Founding Global Strategic Partner.</w:t>
      </w:r>
    </w:p>
    <w:p w14:paraId="7327CB90" w14:textId="77777777" w:rsidR="00EE6FAE" w:rsidRDefault="00FA2AB0">
      <w:r>
        <w:br w:type="page"/>
      </w:r>
    </w:p>
    <w:p w14:paraId="58B938C4" w14:textId="77777777" w:rsidR="00EE6FAE" w:rsidRDefault="00EE6FAE">
      <w:pPr>
        <w:spacing w:after="700"/>
      </w:pPr>
    </w:p>
    <w:p w14:paraId="54C38ECB" w14:textId="27844D48" w:rsidR="00EE6FAE" w:rsidRDefault="00E1540F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MODELLI COMPROVATI</w:t>
      </w:r>
    </w:p>
    <w:p w14:paraId="6D49E88C" w14:textId="197E6DCA" w:rsidR="00EE6FAE" w:rsidRDefault="00E1540F">
      <w:pPr>
        <w:spacing w:after="160" w:line="320" w:lineRule="auto"/>
      </w:pPr>
      <w:r>
        <w:rPr>
          <w:rFonts w:ascii="Avenir" w:eastAsia="Avenir" w:hAnsi="Avenir" w:cs="Avenir"/>
          <w:color w:val="A8A296"/>
          <w:sz w:val="24"/>
          <w:szCs w:val="24"/>
        </w:rPr>
        <w:t>— Toyota Production System — principi pratici, implementazione ripetibile e miglioramento continuo.</w:t>
      </w:r>
    </w:p>
    <w:p w14:paraId="476B24CA" w14:textId="0933CCA4" w:rsidR="00EE6FAE" w:rsidRDefault="00E1540F">
      <w:pPr>
        <w:spacing w:after="160" w:line="320" w:lineRule="auto"/>
      </w:pPr>
      <w:r>
        <w:rPr>
          <w:rFonts w:ascii="Avenir" w:eastAsia="Avenir" w:hAnsi="Avenir" w:cs="Avenir"/>
          <w:color w:val="A8A296"/>
          <w:sz w:val="24"/>
          <w:szCs w:val="24"/>
        </w:rPr>
        <w:t>— Modello di Copenaghen — sviluppo locale, risultati misurabili e applicazione internazionale.</w:t>
      </w:r>
    </w:p>
    <w:p w14:paraId="746F42CE" w14:textId="29CA1483" w:rsidR="00EE6FAE" w:rsidRDefault="00E1540F">
      <w:pPr>
        <w:spacing w:after="500" w:line="320" w:lineRule="auto"/>
      </w:pPr>
      <w:r>
        <w:rPr>
          <w:rFonts w:ascii="Avenir" w:eastAsia="Avenir" w:hAnsi="Avenir" w:cs="Avenir"/>
          <w:color w:val="A8A296"/>
          <w:sz w:val="24"/>
          <w:szCs w:val="24"/>
        </w:rPr>
        <w:t>— Approccio di Heidelberg — metodologia chiaramente definita, esecuzione coerente e adozione su larga scala.</w:t>
      </w:r>
    </w:p>
    <w:tbl>
      <w:tblPr>
        <w:tblW w:w="30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4"/>
      </w:tblGrid>
      <w:tr w:rsidR="00EE6FAE" w14:paraId="47B1E2E3" w14:textId="77777777">
        <w:tc>
          <w:tcPr>
            <w:tcW w:w="100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340" w:type="dxa"/>
              <w:right w:w="0" w:type="dxa"/>
            </w:tcMar>
          </w:tcPr>
          <w:p w14:paraId="6B62C87A" w14:textId="77777777" w:rsidR="00EE6FAE" w:rsidRDefault="00EE6FAE"/>
        </w:tc>
      </w:tr>
    </w:tbl>
    <w:p w14:paraId="0E59EDF8" w14:textId="3218AD79" w:rsidR="00EE6FAE" w:rsidRDefault="00E1540F">
      <w:pPr>
        <w:spacing w:after="220" w:line="360" w:lineRule="auto"/>
      </w:pPr>
      <w:r>
        <w:rPr>
          <w:rFonts w:ascii="Avenir" w:eastAsia="Avenir" w:hAnsi="Avenir" w:cs="Avenir"/>
          <w:i/>
          <w:iCs/>
          <w:color w:val="A8A296"/>
          <w:sz w:val="22"/>
          <w:szCs w:val="22"/>
        </w:rPr>
        <w:t>Il progresso raramente richiede di reinventare la ruota. Più spesso, richiede di riconoscere ciò che già funziona e applicarlo con chiarezza, disciplina e precisione.</w:t>
      </w:r>
    </w:p>
    <w:p w14:paraId="2B0AEBDB" w14:textId="77777777" w:rsidR="00EE6FAE" w:rsidRDefault="00FA2AB0">
      <w:r>
        <w:br w:type="page"/>
      </w:r>
    </w:p>
    <w:p w14:paraId="5D070334" w14:textId="77777777" w:rsidR="00EE6FAE" w:rsidRDefault="00EE6FAE">
      <w:pPr>
        <w:spacing w:after="900"/>
      </w:pPr>
    </w:p>
    <w:p w14:paraId="7112C924" w14:textId="2E740B88" w:rsidR="00EE6FAE" w:rsidRDefault="00E1540F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SCALABILE A LIVELLO GLOBALE. PROGETTATO A LIVELLO LOCALE.</w:t>
      </w:r>
    </w:p>
    <w:p w14:paraId="78BB4F74" w14:textId="3FC18D93" w:rsidR="00EE6FAE" w:rsidRDefault="00E1540F">
      <w:pPr>
        <w:spacing w:after="340" w:line="38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Ogni implementazione è progettata specificamente per le caratteristiche ambientali, climatiche, ecologiche e operative della regione in cui viene realizzata.</w:t>
      </w:r>
    </w:p>
    <w:tbl>
      <w:tblPr>
        <w:tblW w:w="227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</w:tblGrid>
      <w:tr w:rsidR="00EE6FAE" w14:paraId="7BB4F27D" w14:textId="77777777">
        <w:tc>
          <w:tcPr>
            <w:tcW w:w="100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340" w:type="dxa"/>
              <w:right w:w="0" w:type="dxa"/>
            </w:tcMar>
          </w:tcPr>
          <w:p w14:paraId="44E40C34" w14:textId="77777777" w:rsidR="00EE6FAE" w:rsidRDefault="00EE6FAE"/>
        </w:tc>
      </w:tr>
    </w:tbl>
    <w:p w14:paraId="67C7B02D" w14:textId="4C4C81C8" w:rsidR="00EE6FAE" w:rsidRDefault="00E1540F">
      <w:pPr>
        <w:spacing w:after="220" w:line="38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La realizzazione avviene attraverso la collaborazione tra Founding Global Strategic Partner, Regional and National Strategic Partner, Patron e competenze locali.</w:t>
      </w:r>
    </w:p>
    <w:p w14:paraId="72BE9778" w14:textId="77777777" w:rsidR="00EE6FAE" w:rsidRDefault="00FA2AB0">
      <w:r>
        <w:br w:type="page"/>
      </w:r>
    </w:p>
    <w:p w14:paraId="14C5D0BB" w14:textId="77777777" w:rsidR="00EE6FAE" w:rsidRDefault="00EE6FAE">
      <w:pPr>
        <w:spacing w:after="700"/>
      </w:pPr>
    </w:p>
    <w:p w14:paraId="03E54C43" w14:textId="75510204" w:rsidR="00EE6FAE" w:rsidRDefault="00E1540F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GLOBAL RAPID RESPONSE FRAMEWORK</w:t>
      </w:r>
    </w:p>
    <w:tbl>
      <w:tblPr>
        <w:tblW w:w="7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1"/>
        <w:gridCol w:w="299"/>
        <w:gridCol w:w="1672"/>
        <w:gridCol w:w="300"/>
        <w:gridCol w:w="1672"/>
        <w:gridCol w:w="300"/>
        <w:gridCol w:w="1672"/>
      </w:tblGrid>
      <w:tr w:rsidR="00EE6FAE" w14:paraId="7DB18467" w14:textId="77777777">
        <w:trPr>
          <w:cantSplit/>
        </w:trPr>
        <w:tc>
          <w:tcPr>
            <w:tcW w:w="1672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</w:tcPr>
          <w:p w14:paraId="0EAB4DE8" w14:textId="5A9C7FE7" w:rsidR="00EE6FAE" w:rsidRDefault="00E1540F">
            <w:pPr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1E2B20"/>
              </w:rPr>
              <w:t>Prevenzione</w:t>
            </w:r>
          </w:p>
          <w:p w14:paraId="5CD86D29" w14:textId="75F43ECF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8"/>
                <w:szCs w:val="18"/>
              </w:rPr>
              <w:t>Combina modelli di comprovata efficacia con soluzioni ambientali innovative per ridurre il rischio di incendio prima che diventi risposta all'incendio.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09A5A" w14:textId="77777777" w:rsidR="00EE6FAE" w:rsidRDefault="00EE6FAE"/>
        </w:tc>
        <w:tc>
          <w:tcPr>
            <w:tcW w:w="1672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</w:tcPr>
          <w:p w14:paraId="448E7471" w14:textId="3473D3F4" w:rsidR="00EE6FAE" w:rsidRDefault="00E1540F">
            <w:pPr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1E2B20"/>
              </w:rPr>
              <w:t>Individuazione Precoce</w:t>
            </w:r>
          </w:p>
          <w:p w14:paraId="2815F5BC" w14:textId="715E03A7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8"/>
                <w:szCs w:val="18"/>
              </w:rPr>
              <w:t>Monitoraggio continuo e rapida identificazione delle minacce emergenti attraverso tecnologie avanzate e capacità operativa locale.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0E93D" w14:textId="77777777" w:rsidR="00EE6FAE" w:rsidRDefault="00EE6FAE"/>
        </w:tc>
        <w:tc>
          <w:tcPr>
            <w:tcW w:w="1672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</w:tcPr>
          <w:p w14:paraId="0580AEFE" w14:textId="44852A36" w:rsidR="00EE6FAE" w:rsidRDefault="00E1540F">
            <w:pPr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1E2B20"/>
              </w:rPr>
              <w:t>Risposta Rapida</w:t>
            </w:r>
          </w:p>
          <w:p w14:paraId="34C5F40E" w14:textId="7E9D11DB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8"/>
                <w:szCs w:val="18"/>
              </w:rPr>
              <w:t>Impiego coordinato di persone, tecnologia e risorse per contenere gli incendi prima che si aggravino.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09641" w14:textId="77777777" w:rsidR="00EE6FAE" w:rsidRDefault="00EE6FAE"/>
        </w:tc>
        <w:tc>
          <w:tcPr>
            <w:tcW w:w="1672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</w:tcPr>
          <w:p w14:paraId="4800F4EF" w14:textId="54D13ABA" w:rsidR="00EE6FAE" w:rsidRDefault="00E1540F">
            <w:pPr>
              <w:suppressAutoHyphens/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1E2B20"/>
              </w:rPr>
              <w:t>Rigenerazione</w:t>
            </w:r>
          </w:p>
          <w:p w14:paraId="67C14CF0" w14:textId="5D30CD64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8"/>
                <w:szCs w:val="18"/>
              </w:rPr>
              <w:t>Ripristino continuo della biodiversità, rigenerazione degli ecosistemi e rafforzamento della resilienza a lungo termine di territori e comunità.</w:t>
            </w:r>
          </w:p>
        </w:tc>
      </w:tr>
    </w:tbl>
    <w:p w14:paraId="1E314EDE" w14:textId="77777777" w:rsidR="00EE6FAE" w:rsidRDefault="00FA2AB0">
      <w:r>
        <w:br w:type="page"/>
      </w:r>
    </w:p>
    <w:p w14:paraId="64AB6041" w14:textId="77777777" w:rsidR="00EE6FAE" w:rsidRDefault="00EE6FAE">
      <w:pPr>
        <w:spacing w:after="600"/>
      </w:pPr>
    </w:p>
    <w:p w14:paraId="1D989401" w14:textId="3AF73DCB" w:rsidR="00EE6FAE" w:rsidRDefault="00E1540F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FOUNDING GLOBAL STRATEGIC PARTNERS</w:t>
      </w:r>
    </w:p>
    <w:p w14:paraId="01729D8B" w14:textId="3E8333AE" w:rsidR="00EE6FAE" w:rsidRDefault="00E1540F">
      <w:pPr>
        <w:spacing w:after="500" w:line="38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Ogni Founding Global Strategic Partner svolge un ruolo chiaramente definito all'interno del Global Rapid Response Framework.</w:t>
      </w:r>
    </w:p>
    <w:p w14:paraId="2512934C" w14:textId="3DCBAB3D" w:rsidR="00EE6FAE" w:rsidRDefault="00E1540F">
      <w:pPr>
        <w:spacing w:after="220"/>
        <w:jc w:val="center"/>
      </w:pPr>
      <w:r>
        <w:rPr>
          <w:rFonts w:ascii="Cormorant Garamond" w:eastAsia="Cormorant Garamond" w:hAnsi="Cormorant Garamond" w:cs="Cormorant Garamond"/>
          <w:color w:val="1E2B20"/>
          <w:spacing w:val="10"/>
          <w:sz w:val="36"/>
          <w:szCs w:val="36"/>
        </w:rPr>
        <w:t>Global Rapid Response Framework</w:t>
      </w:r>
    </w:p>
    <w:tbl>
      <w:tblPr>
        <w:tblW w:w="75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6"/>
      </w:tblGrid>
      <w:tr w:rsidR="00EE6FAE" w14:paraId="07BE137E" w14:textId="77777777">
        <w:tc>
          <w:tcPr>
            <w:tcW w:w="100" w:type="dxa"/>
            <w:tcBorders>
              <w:top w:val="single" w:sz="5" w:space="0" w:color="1E2B2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82" w:type="dxa"/>
              <w:bottom w:w="0" w:type="dxa"/>
              <w:right w:w="2882" w:type="dxa"/>
            </w:tcMar>
          </w:tcPr>
          <w:p w14:paraId="54A98E1F" w14:textId="77777777" w:rsidR="00EE6FAE" w:rsidRDefault="00EE6FAE"/>
        </w:tc>
      </w:tr>
    </w:tbl>
    <w:p w14:paraId="21FE8AF0" w14:textId="77777777" w:rsidR="00EE6FAE" w:rsidRDefault="00EE6FAE">
      <w:pPr>
        <w:spacing w:after="340"/>
      </w:pPr>
    </w:p>
    <w:tbl>
      <w:tblPr>
        <w:tblW w:w="758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3"/>
        <w:gridCol w:w="3793"/>
      </w:tblGrid>
      <w:tr w:rsidR="00EE6FAE" w14:paraId="40651098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3D24DB93" w14:textId="2EEBC365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le Tecnologie Ambientali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4A086DB2" w14:textId="7CC73118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l'Individuazione Precoce e il Monitoraggio</w:t>
            </w:r>
          </w:p>
        </w:tc>
      </w:tr>
      <w:tr w:rsidR="00EE6FAE" w14:paraId="0BC448C6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003A6346" w14:textId="7DFAD93C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Droni e Risposta Autonoma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5AFF35EA" w14:textId="39CA99FF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le Infrastrutture di Comunicazione</w:t>
            </w:r>
          </w:p>
        </w:tc>
      </w:tr>
      <w:tr w:rsidR="00EE6FAE" w14:paraId="50FEF81D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042891F9" w14:textId="280DCDC8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i Sistemi di Costruzione Sostenibile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2374C038" w14:textId="6A5F8070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i Materiali da Costruzione Naturali</w:t>
            </w:r>
          </w:p>
        </w:tc>
      </w:tr>
      <w:tr w:rsidR="00EE6FAE" w14:paraId="4B548A18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60814D38" w14:textId="634C711E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l'Ingegneria e le Strutture in Legno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5B7C51A2" w14:textId="394291F8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le Strutture in Acciaio</w:t>
            </w:r>
          </w:p>
        </w:tc>
      </w:tr>
      <w:tr w:rsidR="00EE6FAE" w14:paraId="541A3E53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0542972F" w14:textId="333E0591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l'Energia Rinnovabile e l'Accumulo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66AE9F18" w14:textId="54B5BC8B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i Sistemi Idrici e le Attrezzature Antincendio</w:t>
            </w:r>
          </w:p>
        </w:tc>
      </w:tr>
      <w:tr w:rsidR="00EE6FAE" w14:paraId="4F45A71E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0DD5D17E" w14:textId="6B4168E8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l'Agricoltura Rigenerativa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5ED2925B" w14:textId="2B15FE66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il Ripristino Ecologico</w:t>
            </w:r>
          </w:p>
        </w:tc>
      </w:tr>
      <w:tr w:rsidR="00EE6FAE" w14:paraId="35AD4548" w14:textId="77777777">
        <w:trPr>
          <w:cantSplit/>
        </w:trPr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3E28FF9E" w14:textId="3177EACF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la Ricerca e l'Innovazione Tecnica</w:t>
            </w:r>
          </w:p>
        </w:tc>
        <w:tc>
          <w:tcPr>
            <w:tcW w:w="3793" w:type="dxa"/>
            <w:tcBorders>
              <w:top w:val="single" w:sz="3" w:space="0" w:color="A8A29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60" w:type="dxa"/>
              <w:left w:w="220" w:type="dxa"/>
              <w:bottom w:w="260" w:type="dxa"/>
              <w:right w:w="220" w:type="dxa"/>
            </w:tcMar>
            <w:vAlign w:val="center"/>
          </w:tcPr>
          <w:p w14:paraId="45E32272" w14:textId="6F40CDFD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Partner per l'Implementazione Regionale</w:t>
            </w:r>
          </w:p>
        </w:tc>
      </w:tr>
    </w:tbl>
    <w:p w14:paraId="5347BB23" w14:textId="77777777" w:rsidR="00EE6FAE" w:rsidRDefault="00FA2AB0">
      <w:r>
        <w:br w:type="page"/>
      </w:r>
    </w:p>
    <w:p w14:paraId="01E321B5" w14:textId="77777777" w:rsidR="00EE6FAE" w:rsidRDefault="00EE6FAE">
      <w:pPr>
        <w:spacing w:after="700"/>
      </w:pPr>
    </w:p>
    <w:p w14:paraId="0190D721" w14:textId="2B89AF1F" w:rsidR="00EE6FAE" w:rsidRDefault="00E1540F">
      <w:pPr>
        <w:spacing w:after="320"/>
      </w:pPr>
      <w:r>
        <w:rPr>
          <w:rFonts w:ascii="Cormorant Garamond" w:eastAsia="Cormorant Garamond" w:hAnsi="Cormorant Garamond" w:cs="Cormorant Garamond"/>
          <w:color w:val="1E2B20"/>
          <w:sz w:val="30"/>
          <w:szCs w:val="30"/>
        </w:rPr>
        <w:t>Perché la Vostra Organizzazione?</w:t>
      </w:r>
    </w:p>
    <w:p w14:paraId="2C99AD36" w14:textId="6A889B2F" w:rsidR="00EE6FAE" w:rsidRDefault="00E1540F">
      <w:pPr>
        <w:keepNext/>
        <w:spacing w:after="260" w:line="40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La vostra organizzazione è stata individuata perché possiede competenze allo stesso tempo distintive ed essenziali per la riuscita implementazione del Framework.</w:t>
      </w:r>
    </w:p>
    <w:p w14:paraId="1E96BF23" w14:textId="0B373B12" w:rsidR="00EE6FAE" w:rsidRDefault="00E1540F">
      <w:pPr>
        <w:spacing w:after="220" w:line="40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Come ogni Founding Global Strategic Partner, la vostra organizzazione è stata selezionata per un ruolo chiaramente definito all'interno di un sistema operativo integrato progettato per un impatto a lungo termine.</w:t>
      </w:r>
    </w:p>
    <w:p w14:paraId="182F763D" w14:textId="77777777" w:rsidR="00EE6FAE" w:rsidRDefault="00FA2AB0">
      <w:r>
        <w:br w:type="page"/>
      </w:r>
    </w:p>
    <w:p w14:paraId="6FD7B170" w14:textId="77777777" w:rsidR="00EE6FAE" w:rsidRDefault="00EE6FAE">
      <w:pPr>
        <w:spacing w:after="500"/>
      </w:pPr>
    </w:p>
    <w:p w14:paraId="40BF0721" w14:textId="51D87615" w:rsidR="00EE6FAE" w:rsidRDefault="00E1540F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REGIONAL &amp; NATIONAL STRATEGIC PARTNERS</w:t>
      </w:r>
    </w:p>
    <w:tbl>
      <w:tblPr>
        <w:tblW w:w="7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8"/>
        <w:gridCol w:w="2529"/>
        <w:gridCol w:w="2529"/>
      </w:tblGrid>
      <w:tr w:rsidR="00EE6FAE" w14:paraId="48130B59" w14:textId="77777777">
        <w:trPr>
          <w:cantSplit/>
        </w:trPr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7B8156F9" w14:textId="6D596510" w:rsidR="00EE6FAE" w:rsidRDefault="00E1540F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Finanziamento</w:t>
            </w:r>
          </w:p>
          <w:p w14:paraId="2BF2946E" w14:textId="6CD5D9DB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Finanziamento</w:t>
            </w:r>
          </w:p>
        </w:tc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1435111C" w14:textId="010E99E7" w:rsidR="00EE6FAE" w:rsidRDefault="00E1540F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Tecnologia</w:t>
            </w:r>
          </w:p>
          <w:p w14:paraId="52DE2E25" w14:textId="43812515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Fornitura di Attrezzature e Tecnologia</w:t>
            </w:r>
          </w:p>
          <w:p w14:paraId="309D2C84" w14:textId="40E04B6D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Competenza Tecnica</w:t>
            </w:r>
          </w:p>
        </w:tc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18C18D16" w14:textId="460ED1A7" w:rsidR="00EE6FAE" w:rsidRDefault="00E1540F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Ingegneria</w:t>
            </w:r>
          </w:p>
          <w:p w14:paraId="544E4342" w14:textId="786DC1C2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Ingegneria e Installazione</w:t>
            </w:r>
          </w:p>
          <w:p w14:paraId="597712A4" w14:textId="4A2FD5B4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Implementazione Ambientale</w:t>
            </w:r>
          </w:p>
        </w:tc>
      </w:tr>
      <w:tr w:rsidR="00EE6FAE" w14:paraId="275C2235" w14:textId="77777777">
        <w:tc>
          <w:tcPr>
            <w:tcW w:w="2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73325" w14:textId="77777777" w:rsidR="00EE6FAE" w:rsidRDefault="00EE6FAE">
            <w:pPr>
              <w:spacing w:after="220"/>
            </w:pPr>
          </w:p>
        </w:tc>
        <w:tc>
          <w:tcPr>
            <w:tcW w:w="2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1D5CE" w14:textId="77777777" w:rsidR="00EE6FAE" w:rsidRDefault="00EE6FAE">
            <w:pPr>
              <w:spacing w:after="220"/>
            </w:pPr>
          </w:p>
        </w:tc>
        <w:tc>
          <w:tcPr>
            <w:tcW w:w="25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FEA0" w14:textId="77777777" w:rsidR="00EE6FAE" w:rsidRDefault="00EE6FAE">
            <w:pPr>
              <w:spacing w:after="220"/>
            </w:pPr>
          </w:p>
        </w:tc>
      </w:tr>
      <w:tr w:rsidR="00EE6FAE" w14:paraId="2C2D6C60" w14:textId="77777777">
        <w:trPr>
          <w:cantSplit/>
        </w:trPr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14991C41" w14:textId="5BF97540" w:rsidR="00EE6FAE" w:rsidRDefault="00E1540F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Operazioni</w:t>
            </w:r>
          </w:p>
          <w:p w14:paraId="50DDAAA6" w14:textId="78939BFA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Operazioni e Manutenzione</w:t>
            </w:r>
          </w:p>
          <w:p w14:paraId="62E8959E" w14:textId="41052C85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Coordinamento Regionale</w:t>
            </w:r>
          </w:p>
          <w:p w14:paraId="0FC0BD25" w14:textId="06D51D18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Risorse Umane e Formazione</w:t>
            </w:r>
          </w:p>
        </w:tc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7024F9BF" w14:textId="327D6B68" w:rsidR="00EE6FAE" w:rsidRDefault="00E1540F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Ricerca</w:t>
            </w:r>
          </w:p>
          <w:p w14:paraId="558E1543" w14:textId="3B689E18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Ricerca e Innovazione</w:t>
            </w:r>
          </w:p>
        </w:tc>
        <w:tc>
          <w:tcPr>
            <w:tcW w:w="2529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center"/>
          </w:tcPr>
          <w:p w14:paraId="46D2955D" w14:textId="238A065E" w:rsidR="00EE6FAE" w:rsidRDefault="00E1540F">
            <w:pPr>
              <w:spacing w:after="120"/>
            </w:pPr>
            <w:r>
              <w:rPr>
                <w:rFonts w:ascii="Cormorant Garamond" w:eastAsia="Cormorant Garamond" w:hAnsi="Cormorant Garamond" w:cs="Cormorant Garamond"/>
                <w:color w:val="1E2B20"/>
                <w:sz w:val="22"/>
                <w:szCs w:val="22"/>
              </w:rPr>
              <w:t>Logistica</w:t>
            </w:r>
          </w:p>
          <w:p w14:paraId="17B8EB74" w14:textId="36DB7747" w:rsidR="00EE6FAE" w:rsidRDefault="00E1540F">
            <w:pPr>
              <w:spacing w:line="300" w:lineRule="auto"/>
            </w:pPr>
            <w:r>
              <w:rPr>
                <w:rFonts w:ascii="Avenir" w:eastAsia="Avenir" w:hAnsi="Avenir" w:cs="Avenir"/>
                <w:color w:val="262624"/>
                <w:sz w:val="17"/>
                <w:szCs w:val="17"/>
              </w:rPr>
              <w:t>Logistica e Supporto Operativo</w:t>
            </w:r>
          </w:p>
        </w:tc>
      </w:tr>
    </w:tbl>
    <w:p w14:paraId="65A3714B" w14:textId="77777777" w:rsidR="00EE6FAE" w:rsidRDefault="00EE6FAE">
      <w:pPr>
        <w:spacing w:after="320"/>
      </w:pPr>
    </w:p>
    <w:p w14:paraId="4A3E42F5" w14:textId="51F6B585" w:rsidR="00EE6FAE" w:rsidRDefault="00E1540F">
      <w:pPr>
        <w:spacing w:after="220" w:line="340" w:lineRule="auto"/>
        <w:jc w:val="center"/>
      </w:pPr>
      <w:r>
        <w:rPr>
          <w:rFonts w:ascii="Avenir" w:eastAsia="Avenir" w:hAnsi="Avenir" w:cs="Avenir"/>
          <w:i/>
          <w:iCs/>
          <w:color w:val="A8A296"/>
          <w:sz w:val="22"/>
          <w:szCs w:val="22"/>
        </w:rPr>
        <w:t>Uno Strategic Partner può contribuire a una, più o tutte queste funzioni.</w:t>
      </w:r>
    </w:p>
    <w:p w14:paraId="519B7C62" w14:textId="77777777" w:rsidR="00EE6FAE" w:rsidRDefault="00FA2AB0">
      <w:r>
        <w:br w:type="page"/>
      </w:r>
    </w:p>
    <w:p w14:paraId="54FF8B19" w14:textId="77777777" w:rsidR="00EE6FAE" w:rsidRDefault="00EE6FAE">
      <w:pPr>
        <w:spacing w:after="900"/>
      </w:pPr>
    </w:p>
    <w:p w14:paraId="6A883391" w14:textId="5F595A2C" w:rsidR="00EE6FAE" w:rsidRDefault="00E1540F">
      <w:pPr>
        <w:keepNext/>
        <w:spacing w:after="38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PATRON</w:t>
      </w:r>
    </w:p>
    <w:tbl>
      <w:tblPr>
        <w:tblW w:w="7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3"/>
        <w:gridCol w:w="260"/>
        <w:gridCol w:w="3663"/>
      </w:tblGrid>
      <w:tr w:rsidR="00EE6FAE" w14:paraId="7C663987" w14:textId="77777777">
        <w:tc>
          <w:tcPr>
            <w:tcW w:w="3663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62F3AB0" w14:textId="51B2AF39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9"/>
                <w:szCs w:val="19"/>
              </w:rPr>
              <w:t>Finanziamento a Lungo Termine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B32D3" w14:textId="77777777" w:rsidR="00EE6FAE" w:rsidRDefault="00EE6FAE"/>
        </w:tc>
        <w:tc>
          <w:tcPr>
            <w:tcW w:w="3663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609AE08" w14:textId="419C4EC2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9"/>
                <w:szCs w:val="19"/>
              </w:rPr>
              <w:t>Finanziamento per il Lascito</w:t>
            </w:r>
          </w:p>
        </w:tc>
      </w:tr>
      <w:tr w:rsidR="00EE6FAE" w14:paraId="0D12175E" w14:textId="77777777">
        <w:tc>
          <w:tcPr>
            <w:tcW w:w="758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9DAF6" w14:textId="77777777" w:rsidR="00EE6FAE" w:rsidRDefault="00EE6FAE">
            <w:pPr>
              <w:spacing w:after="220"/>
            </w:pPr>
          </w:p>
        </w:tc>
      </w:tr>
      <w:tr w:rsidR="00EE6FAE" w14:paraId="303A9179" w14:textId="77777777">
        <w:tc>
          <w:tcPr>
            <w:tcW w:w="3663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A171857" w14:textId="4BA2A681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9"/>
                <w:szCs w:val="19"/>
              </w:rPr>
              <w:t>Finanziamento a Impatto Strategico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D7502" w14:textId="77777777" w:rsidR="00EE6FAE" w:rsidRDefault="00EE6FAE"/>
        </w:tc>
        <w:tc>
          <w:tcPr>
            <w:tcW w:w="3663" w:type="dxa"/>
            <w:tcBorders>
              <w:top w:val="single" w:sz="4" w:space="0" w:color="A8A296"/>
              <w:left w:val="single" w:sz="4" w:space="0" w:color="A8A296"/>
              <w:bottom w:val="single" w:sz="4" w:space="0" w:color="A8A296"/>
              <w:right w:val="single" w:sz="4" w:space="0" w:color="A8A296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64E986F" w14:textId="106A1A7C" w:rsidR="00EE6FAE" w:rsidRDefault="00E1540F">
            <w:pPr>
              <w:spacing w:line="300" w:lineRule="auto"/>
              <w:jc w:val="center"/>
            </w:pPr>
            <w:r>
              <w:rPr>
                <w:rFonts w:ascii="Avenir" w:eastAsia="Avenir" w:hAnsi="Avenir" w:cs="Avenir"/>
                <w:color w:val="262624"/>
                <w:sz w:val="19"/>
                <w:szCs w:val="19"/>
              </w:rPr>
              <w:t>Finanziamento Trasformativo</w:t>
            </w:r>
          </w:p>
        </w:tc>
      </w:tr>
    </w:tbl>
    <w:p w14:paraId="51EB9CCF" w14:textId="77777777" w:rsidR="00EE6FAE" w:rsidRDefault="00EE6FAE">
      <w:pPr>
        <w:spacing w:after="320"/>
      </w:pPr>
    </w:p>
    <w:p w14:paraId="56EB8079" w14:textId="3A1B87EE" w:rsidR="00EE6FAE" w:rsidRDefault="00E1540F">
      <w:pPr>
        <w:spacing w:after="220" w:line="340" w:lineRule="auto"/>
        <w:jc w:val="center"/>
      </w:pPr>
      <w:r>
        <w:rPr>
          <w:rFonts w:ascii="Avenir" w:eastAsia="Avenir" w:hAnsi="Avenir" w:cs="Avenir"/>
          <w:i/>
          <w:iCs/>
          <w:color w:val="A8A296"/>
          <w:sz w:val="22"/>
          <w:szCs w:val="22"/>
        </w:rPr>
        <w:t>Un Patron può contribuire con una, più o tutte queste forme di finanziamento.</w:t>
      </w:r>
    </w:p>
    <w:p w14:paraId="23AC828B" w14:textId="77777777" w:rsidR="00EE6FAE" w:rsidRDefault="00FA2AB0">
      <w:r>
        <w:br w:type="page"/>
      </w:r>
    </w:p>
    <w:p w14:paraId="2C18C725" w14:textId="77777777" w:rsidR="00EE6FAE" w:rsidRDefault="00EE6FAE">
      <w:pPr>
        <w:spacing w:after="500"/>
      </w:pPr>
    </w:p>
    <w:p w14:paraId="4D9C9634" w14:textId="56D559F8" w:rsidR="00EE6FAE" w:rsidRDefault="00E1540F">
      <w:pPr>
        <w:keepNext/>
        <w:spacing w:after="340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FATTORI DI MERCATO A LUNGO TERMINE</w:t>
      </w:r>
    </w:p>
    <w:p w14:paraId="0B3B38D6" w14:textId="7FE03C2C" w:rsidR="00EE6FAE" w:rsidRDefault="00E1540F">
      <w:pPr>
        <w:spacing w:after="460" w:line="380" w:lineRule="auto"/>
      </w:pPr>
      <w:r>
        <w:rPr>
          <w:rFonts w:ascii="Avenir" w:eastAsia="Avenir" w:hAnsi="Avenir" w:cs="Avenir"/>
          <w:color w:val="262624"/>
          <w:sz w:val="24"/>
          <w:szCs w:val="24"/>
        </w:rPr>
        <w:t>La domanda a lungo termine di protezione e rigenerazione ambientale è guidata da rischi globali strutturali, piuttosto che da cicli di mercato di breve termine.</w:t>
      </w:r>
    </w:p>
    <w:p w14:paraId="7A002B73" w14:textId="13539DA3" w:rsidR="00EE6FAE" w:rsidRDefault="00E1540F">
      <w:pPr>
        <w:keepNext/>
        <w:spacing w:after="130"/>
      </w:pPr>
      <w:r>
        <w:rPr>
          <w:rFonts w:ascii="Cormorant Garamond" w:eastAsia="Cormorant Garamond" w:hAnsi="Cormorant Garamond" w:cs="Cormorant Garamond"/>
          <w:color w:val="1E2B20"/>
          <w:sz w:val="24"/>
          <w:szCs w:val="24"/>
        </w:rPr>
        <w:t>Clima</w:t>
      </w:r>
    </w:p>
    <w:p w14:paraId="738FE671" w14:textId="03F3687D" w:rsidR="00EE6FAE" w:rsidRDefault="00E1540F">
      <w:pPr>
        <w:spacing w:line="300" w:lineRule="auto"/>
      </w:pPr>
      <w:r>
        <w:rPr>
          <w:rFonts w:ascii="Avenir" w:eastAsia="Avenir" w:hAnsi="Avenir" w:cs="Avenir"/>
          <w:color w:val="262624"/>
          <w:sz w:val="22"/>
          <w:szCs w:val="22"/>
        </w:rPr>
        <w:t>Crescente frequenza e gravità degli eventi ambientali legati al clima.</w:t>
      </w:r>
    </w:p>
    <w:p w14:paraId="72886D11" w14:textId="033A7204" w:rsidR="00EE6FAE" w:rsidRDefault="00E1540F">
      <w:pPr>
        <w:keepNext/>
        <w:spacing w:after="130"/>
      </w:pPr>
      <w:r>
        <w:rPr>
          <w:rFonts w:ascii="Cormorant Garamond" w:eastAsia="Cormorant Garamond" w:hAnsi="Cormorant Garamond" w:cs="Cormorant Garamond"/>
          <w:color w:val="1E2B20"/>
          <w:sz w:val="24"/>
          <w:szCs w:val="24"/>
        </w:rPr>
        <w:t>Investimenti</w:t>
      </w:r>
    </w:p>
    <w:p w14:paraId="76CD144B" w14:textId="24384733" w:rsidR="00EE6FAE" w:rsidRDefault="00E1540F">
      <w:pPr>
        <w:spacing w:line="300" w:lineRule="auto"/>
      </w:pPr>
      <w:r>
        <w:rPr>
          <w:rFonts w:ascii="Avenir" w:eastAsia="Avenir" w:hAnsi="Avenir" w:cs="Avenir"/>
          <w:color w:val="262624"/>
          <w:sz w:val="22"/>
          <w:szCs w:val="22"/>
        </w:rPr>
        <w:t>Investimenti crescenti in prevenzione, resilienza e rigenerazione.</w:t>
      </w:r>
    </w:p>
    <w:p w14:paraId="34906979" w14:textId="6E9F9210" w:rsidR="00EE6FAE" w:rsidRDefault="00E1540F">
      <w:pPr>
        <w:keepNext/>
        <w:spacing w:after="130"/>
      </w:pPr>
      <w:r>
        <w:rPr>
          <w:rFonts w:ascii="Cormorant Garamond" w:eastAsia="Cormorant Garamond" w:hAnsi="Cormorant Garamond" w:cs="Cormorant Garamond"/>
          <w:color w:val="1E2B20"/>
          <w:sz w:val="24"/>
          <w:szCs w:val="24"/>
        </w:rPr>
        <w:t>Capacità Operativa</w:t>
      </w:r>
    </w:p>
    <w:p w14:paraId="232B13E9" w14:textId="506FE01D" w:rsidR="00EE6FAE" w:rsidRDefault="00E1540F">
      <w:pPr>
        <w:spacing w:line="300" w:lineRule="auto"/>
      </w:pPr>
      <w:r>
        <w:rPr>
          <w:rFonts w:ascii="Avenir" w:eastAsia="Avenir" w:hAnsi="Avenir" w:cs="Avenir"/>
          <w:color w:val="262624"/>
          <w:sz w:val="22"/>
          <w:szCs w:val="22"/>
        </w:rPr>
        <w:t>Crescente consapevolezza che l'attuale capacità operativa è sempre più insufficiente a rispondere alla portata, alla velocità e alla complessità delle future sfide ambientali.</w:t>
      </w:r>
    </w:p>
    <w:p w14:paraId="46A79A06" w14:textId="5F72EDBC" w:rsidR="00EE6FAE" w:rsidRDefault="00E1540F">
      <w:pPr>
        <w:keepNext/>
        <w:spacing w:after="130"/>
      </w:pPr>
      <w:r>
        <w:rPr>
          <w:rFonts w:ascii="Cormorant Garamond" w:eastAsia="Cormorant Garamond" w:hAnsi="Cormorant Garamond" w:cs="Cormorant Garamond"/>
          <w:color w:val="1E2B20"/>
          <w:sz w:val="24"/>
          <w:szCs w:val="24"/>
        </w:rPr>
        <w:t>Domanda</w:t>
      </w:r>
    </w:p>
    <w:p w14:paraId="26CCC3DA" w14:textId="2D34D1D6" w:rsidR="00EE6FAE" w:rsidRDefault="00E1540F">
      <w:pPr>
        <w:spacing w:line="300" w:lineRule="auto"/>
      </w:pPr>
      <w:r>
        <w:rPr>
          <w:rFonts w:ascii="Avenir" w:eastAsia="Avenir" w:hAnsi="Avenir" w:cs="Avenir"/>
          <w:color w:val="262624"/>
          <w:sz w:val="22"/>
          <w:szCs w:val="22"/>
        </w:rPr>
        <w:t>Domanda internazionale in espansione per soluzioni ambientali pratiche, scalabili ed esportabili.</w:t>
      </w:r>
    </w:p>
    <w:p w14:paraId="18825CB6" w14:textId="77777777" w:rsidR="00EE6FAE" w:rsidRDefault="00EE6FAE">
      <w:pPr>
        <w:spacing w:after="460"/>
      </w:pPr>
    </w:p>
    <w:p w14:paraId="5C2B75C7" w14:textId="0F60F1B8" w:rsidR="00EE6FAE" w:rsidRDefault="00E1540F">
      <w:pPr>
        <w:pBdr>
          <w:left w:val="single" w:sz="6" w:space="12" w:color="A8A296"/>
        </w:pBdr>
        <w:spacing w:line="380" w:lineRule="auto"/>
        <w:ind w:left="340"/>
      </w:pPr>
      <w:r>
        <w:rPr>
          <w:rFonts w:ascii="Cormorant Garamond" w:eastAsia="Cormorant Garamond" w:hAnsi="Cormorant Garamond" w:cs="Cormorant Garamond"/>
          <w:i/>
          <w:iCs/>
          <w:color w:val="1E2B20"/>
          <w:sz w:val="26"/>
          <w:szCs w:val="26"/>
        </w:rPr>
        <w:t>Insieme, questi fattori strutturali generano una domanda internazionale sostenuta di soluzioni ambientali pratiche, scalabili ed esportabili.</w:t>
      </w:r>
    </w:p>
    <w:p w14:paraId="0A522DF6" w14:textId="77777777" w:rsidR="00EE6FAE" w:rsidRDefault="00FA2AB0">
      <w:r>
        <w:br w:type="page"/>
      </w:r>
    </w:p>
    <w:p w14:paraId="0DB9E19B" w14:textId="77777777" w:rsidR="00EE6FAE" w:rsidRDefault="00EE6FAE">
      <w:pPr>
        <w:spacing w:after="1300"/>
      </w:pPr>
    </w:p>
    <w:p w14:paraId="2F10A35E" w14:textId="6A369F48" w:rsidR="00EE6FAE" w:rsidRDefault="00E1540F">
      <w:pPr>
        <w:keepNext/>
        <w:spacing w:after="380"/>
        <w:jc w:val="center"/>
      </w:pPr>
      <w:r>
        <w:rPr>
          <w:rFonts w:ascii="Cormorant Garamond" w:eastAsia="Cormorant Garamond" w:hAnsi="Cormorant Garamond" w:cs="Cormorant Garamond"/>
          <w:color w:val="1E2B20"/>
          <w:spacing w:val="40"/>
          <w:sz w:val="28"/>
          <w:szCs w:val="28"/>
        </w:rPr>
        <w:t>UNA DECISIONE STRATEGICA DETERMINANTE</w:t>
      </w:r>
    </w:p>
    <w:p w14:paraId="2C581F7F" w14:textId="52ADA35A" w:rsidR="00EE6FAE" w:rsidRDefault="00E1540F">
      <w:pPr>
        <w:spacing w:after="640" w:line="360" w:lineRule="auto"/>
        <w:jc w:val="center"/>
      </w:pPr>
      <w:r>
        <w:rPr>
          <w:rFonts w:ascii="Avenir" w:eastAsia="Avenir" w:hAnsi="Avenir" w:cs="Avenir"/>
          <w:color w:val="A8A296"/>
          <w:sz w:val="22"/>
          <w:szCs w:val="22"/>
        </w:rPr>
        <w:t>Ogni Consiglio di Amministrazione, in ultima analisi, si pone le stesse domande prima di prendere una decisione strategica determinante.</w:t>
      </w:r>
    </w:p>
    <w:p w14:paraId="4BBD1684" w14:textId="18F3E679" w:rsidR="00EE6FAE" w:rsidRDefault="00E1540F">
      <w:pPr>
        <w:spacing w:after="420"/>
        <w:jc w:val="center"/>
      </w:pPr>
      <w:r>
        <w:rPr>
          <w:rFonts w:ascii="Cormorant Garamond" w:eastAsia="Cormorant Garamond" w:hAnsi="Cormorant Garamond" w:cs="Cormorant Garamond"/>
          <w:color w:val="262624"/>
          <w:sz w:val="32"/>
          <w:szCs w:val="32"/>
        </w:rPr>
        <w:t>Questo rafforza la nostra posizione a lungo termine?</w:t>
      </w:r>
    </w:p>
    <w:p w14:paraId="30159574" w14:textId="4DE88C37" w:rsidR="00EE6FAE" w:rsidRDefault="00E1540F">
      <w:pPr>
        <w:spacing w:after="420"/>
        <w:jc w:val="center"/>
      </w:pPr>
      <w:r>
        <w:rPr>
          <w:rFonts w:ascii="Cormorant Garamond" w:eastAsia="Cormorant Garamond" w:hAnsi="Cormorant Garamond" w:cs="Cormorant Garamond"/>
          <w:color w:val="262624"/>
          <w:sz w:val="32"/>
          <w:szCs w:val="32"/>
        </w:rPr>
        <w:t>Questo crea nuove opportunità strategiche?</w:t>
      </w:r>
    </w:p>
    <w:p w14:paraId="47135244" w14:textId="649E7506" w:rsidR="00EE6FAE" w:rsidRDefault="00E1540F">
      <w:pPr>
        <w:jc w:val="center"/>
      </w:pPr>
      <w:r>
        <w:rPr>
          <w:rFonts w:ascii="Cormorant Garamond" w:eastAsia="Cormorant Garamond" w:hAnsi="Cormorant Garamond" w:cs="Cormorant Garamond"/>
          <w:color w:val="262624"/>
          <w:sz w:val="32"/>
          <w:szCs w:val="32"/>
        </w:rPr>
        <w:t>Questo ci distingue dai nostri pari?</w:t>
      </w:r>
    </w:p>
    <w:sectPr w:rsidR="00EE6FAE">
      <w:footerReference w:type="default" r:id="rId7"/>
      <w:pgSz w:w="11906" w:h="16838"/>
      <w:pgMar w:top="2160" w:right="2160" w:bottom="216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12B6AB" w14:textId="77777777" w:rsidR="00FA2AB0" w:rsidRDefault="00FA2AB0">
      <w:r>
        <w:separator/>
      </w:r>
    </w:p>
  </w:endnote>
  <w:endnote w:type="continuationSeparator" w:id="0">
    <w:p w14:paraId="140AA931" w14:textId="77777777" w:rsidR="00FA2AB0" w:rsidRDefault="00FA2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Aveni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FF6E9" w14:textId="77777777" w:rsidR="00EE6FAE" w:rsidRDefault="00FA2AB0">
    <w:pPr>
      <w:jc w:val="center"/>
    </w:pPr>
    <w:r>
      <w:rPr>
        <w:rFonts w:ascii="Avenir" w:eastAsia="Avenir" w:hAnsi="Avenir" w:cs="Avenir"/>
        <w:color w:val="A8A296"/>
        <w:sz w:val="15"/>
        <w:szCs w:val="15"/>
      </w:rPr>
      <w:fldChar w:fldCharType="begin"/>
    </w:r>
    <w:r>
      <w:rPr>
        <w:rFonts w:ascii="Avenir" w:eastAsia="Avenir" w:hAnsi="Avenir" w:cs="Avenir"/>
        <w:color w:val="A8A296"/>
        <w:sz w:val="15"/>
        <w:szCs w:val="15"/>
      </w:rPr>
      <w:instrText>PAGE</w:instrText>
    </w:r>
    <w:r>
      <w:rPr>
        <w:rFonts w:ascii="Avenir" w:eastAsia="Avenir" w:hAnsi="Avenir" w:cs="Avenir"/>
        <w:color w:val="A8A296"/>
        <w:sz w:val="15"/>
        <w:szCs w:val="15"/>
      </w:rPr>
      <w:fldChar w:fldCharType="separate"/>
    </w:r>
    <w:r>
      <w:rPr>
        <w:rFonts w:ascii="Avenir" w:eastAsia="Avenir" w:hAnsi="Avenir" w:cs="Avenir"/>
        <w:noProof/>
        <w:color w:val="A8A296"/>
        <w:sz w:val="15"/>
        <w:szCs w:val="15"/>
      </w:rPr>
      <w:t>1</w:t>
    </w:r>
    <w:r>
      <w:rPr>
        <w:rFonts w:ascii="Avenir" w:eastAsia="Avenir" w:hAnsi="Avenir" w:cs="Avenir"/>
        <w:color w:val="A8A29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DB696" w14:textId="77777777" w:rsidR="00FA2AB0" w:rsidRDefault="00FA2AB0">
      <w:r>
        <w:separator/>
      </w:r>
    </w:p>
  </w:footnote>
  <w:footnote w:type="continuationSeparator" w:id="0">
    <w:p w14:paraId="6293E6D9" w14:textId="77777777" w:rsidR="00FA2AB0" w:rsidRDefault="00FA2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6C4801"/>
    <w:multiLevelType w:val="hybridMultilevel"/>
    <w:tmpl w:val="FFFFFFFF"/>
    <w:lvl w:ilvl="0" w:tplc="163EA944">
      <w:start w:val="1"/>
      <w:numFmt w:val="bullet"/>
      <w:lvlText w:val="●"/>
      <w:lvlJc w:val="left"/>
      <w:pPr>
        <w:ind w:left="720" w:hanging="360"/>
      </w:pPr>
    </w:lvl>
    <w:lvl w:ilvl="1" w:tplc="385A65FA">
      <w:start w:val="1"/>
      <w:numFmt w:val="bullet"/>
      <w:lvlText w:val="○"/>
      <w:lvlJc w:val="left"/>
      <w:pPr>
        <w:ind w:left="1440" w:hanging="360"/>
      </w:pPr>
    </w:lvl>
    <w:lvl w:ilvl="2" w:tplc="943688A4">
      <w:start w:val="1"/>
      <w:numFmt w:val="bullet"/>
      <w:lvlText w:val="■"/>
      <w:lvlJc w:val="left"/>
      <w:pPr>
        <w:ind w:left="2160" w:hanging="360"/>
      </w:pPr>
    </w:lvl>
    <w:lvl w:ilvl="3" w:tplc="748222B8">
      <w:start w:val="1"/>
      <w:numFmt w:val="bullet"/>
      <w:lvlText w:val="●"/>
      <w:lvlJc w:val="left"/>
      <w:pPr>
        <w:ind w:left="2880" w:hanging="360"/>
      </w:pPr>
    </w:lvl>
    <w:lvl w:ilvl="4" w:tplc="3C7CE9E4">
      <w:start w:val="1"/>
      <w:numFmt w:val="bullet"/>
      <w:lvlText w:val="○"/>
      <w:lvlJc w:val="left"/>
      <w:pPr>
        <w:ind w:left="3600" w:hanging="360"/>
      </w:pPr>
    </w:lvl>
    <w:lvl w:ilvl="5" w:tplc="93AEF5F0">
      <w:start w:val="1"/>
      <w:numFmt w:val="bullet"/>
      <w:lvlText w:val="■"/>
      <w:lvlJc w:val="left"/>
      <w:pPr>
        <w:ind w:left="4320" w:hanging="360"/>
      </w:pPr>
    </w:lvl>
    <w:lvl w:ilvl="6" w:tplc="B1AA3D16">
      <w:start w:val="1"/>
      <w:numFmt w:val="bullet"/>
      <w:lvlText w:val="●"/>
      <w:lvlJc w:val="left"/>
      <w:pPr>
        <w:ind w:left="5040" w:hanging="360"/>
      </w:pPr>
    </w:lvl>
    <w:lvl w:ilvl="7" w:tplc="E13C3CA6">
      <w:start w:val="1"/>
      <w:numFmt w:val="bullet"/>
      <w:lvlText w:val="●"/>
      <w:lvlJc w:val="left"/>
      <w:pPr>
        <w:ind w:left="5760" w:hanging="360"/>
      </w:pPr>
    </w:lvl>
    <w:lvl w:ilvl="8" w:tplc="000AD7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FAE"/>
    <w:rsid w:val="003D75A4"/>
    <w:rsid w:val="007802EC"/>
    <w:rsid w:val="00CB4AA7"/>
    <w:rsid w:val="00E1540F"/>
    <w:rsid w:val="00EE6FAE"/>
    <w:rsid w:val="00FA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210F"/>
  <w15:docId w15:val="{B71E8813-9877-8945-91AD-C3E56C0F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Utente</cp:lastModifiedBy>
  <cp:revision>3</cp:revision>
  <dcterms:created xsi:type="dcterms:W3CDTF">2026-07-15T13:15:00Z</dcterms:created>
  <dcterms:modified xsi:type="dcterms:W3CDTF">2026-07-16T11:08:00Z</dcterms:modified>
</cp:coreProperties>
</file>