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ackground w:color="FAF8F3"/>
  <w:body>
    <w:p w:rsidR="008D0BF6" w:rsidRDefault="008D0BF6">
      <w:pPr>
        <w:spacing w:after="1500"/>
      </w:pPr>
      <w:bookmarkStart w:id="0" w:name="_GoBack"/>
      <w:bookmarkEnd w:id="0"/>
    </w:p>
    <w:p w:rsidR="008D0BF6" w:rsidRDefault="00E821E8">
      <w:pPr>
        <w:spacing w:after="210"/>
        <w:jc w:val="center"/>
      </w:pPr>
      <w:r>
        <w:rPr>
          <w:rFonts w:ascii="Cormorant Garamond" w:eastAsia="Cormorant Garamond" w:hAnsi="Cormorant Garamond" w:cs="Cormorant Garamond"/>
          <w:color w:val="262624"/>
          <w:sz w:val="60"/>
          <w:szCs w:val="60"/>
        </w:rPr>
        <w:t>Un Invito a Diventare Patron</w:t>
      </w:r>
    </w:p>
    <w:p w:rsidR="008D0BF6" w:rsidRDefault="00A1443F">
      <w:pPr>
        <w:spacing w:after="720"/>
        <w:jc w:val="center"/>
      </w:pPr>
      <w:r>
        <w:rPr>
          <w:rFonts w:ascii="Cormorant Garamond" w:eastAsia="Cormorant Garamond" w:hAnsi="Cormorant Garamond" w:cs="Cormorant Garamond"/>
          <w:i/>
          <w:iCs/>
          <w:color w:val="A8A296"/>
          <w:sz w:val="26"/>
          <w:szCs w:val="26"/>
        </w:rPr>
        <w:t>From Wildfires to Regeneration</w:t>
      </w:r>
    </w:p>
    <w:p w:rsidR="008D0BF6" w:rsidRDefault="008D0BF6">
      <w:pPr>
        <w:pBdr>
          <w:top w:val="single" w:sz="4" w:space="12" w:color="A8A296"/>
        </w:pBdr>
        <w:spacing w:before="200"/>
        <w:jc w:val="center"/>
      </w:pPr>
    </w:p>
    <w:p w:rsidR="008D0BF6" w:rsidRDefault="008D0BF6">
      <w:pPr>
        <w:spacing w:after="560"/>
      </w:pPr>
    </w:p>
    <w:p w:rsidR="008D0BF6" w:rsidRDefault="00E821E8">
      <w:pPr>
        <w:spacing w:after="130"/>
        <w:jc w:val="center"/>
      </w:pPr>
      <w:r>
        <w:rPr>
          <w:rFonts w:ascii="Cormorant Garamond" w:eastAsia="Cormorant Garamond" w:hAnsi="Cormorant Garamond" w:cs="Cormorant Garamond"/>
          <w:b/>
          <w:bCs/>
          <w:color w:val="262624"/>
          <w:sz w:val="27"/>
          <w:szCs w:val="27"/>
        </w:rPr>
        <w:t>Non perché ne hai la possibilità.</w:t>
      </w:r>
    </w:p>
    <w:p w:rsidR="008D0BF6" w:rsidRDefault="00E821E8">
      <w:pPr>
        <w:ind w:left="800" w:right="800"/>
        <w:jc w:val="center"/>
      </w:pPr>
      <w:r>
        <w:rPr>
          <w:rFonts w:ascii="Cormorant Garamond" w:eastAsia="Cormorant Garamond" w:hAnsi="Cormorant Garamond" w:cs="Cormorant Garamond"/>
          <w:i/>
          <w:iCs/>
          <w:color w:val="1E2B20"/>
          <w:sz w:val="24"/>
          <w:szCs w:val="24"/>
        </w:rPr>
        <w:t>Ma perché sei nella posizione di fare una differenza duratura — proprio ora, quando conta di più.</w:t>
      </w:r>
    </w:p>
    <w:p w:rsidR="008D0BF6" w:rsidRDefault="008D0BF6">
      <w:pPr>
        <w:pageBreakBefore/>
      </w:pPr>
    </w:p>
    <w:p w:rsidR="008D0BF6" w:rsidRDefault="008D0BF6">
      <w:pPr>
        <w:spacing w:after="260"/>
      </w:pPr>
    </w:p>
    <w:p w:rsidR="008D0BF6" w:rsidRDefault="00E821E8">
      <w:pPr>
        <w:spacing w:after="200" w:line="360" w:lineRule="auto"/>
      </w:pPr>
      <w:r>
        <w:rPr>
          <w:rFonts w:ascii="Avenir" w:eastAsia="Avenir" w:hAnsi="Avenir" w:cs="Avenir"/>
          <w:color w:val="262624"/>
          <w:sz w:val="24"/>
          <w:szCs w:val="24"/>
        </w:rPr>
        <w:t>Il Salento sta affrontando una delle minacce di incendio boschivo più gravi della sua storia.</w:t>
      </w:r>
    </w:p>
    <w:p w:rsidR="008D0BF6" w:rsidRDefault="00E821E8">
      <w:pPr>
        <w:spacing w:after="620" w:line="360" w:lineRule="auto"/>
      </w:pPr>
      <w:r>
        <w:rPr>
          <w:rFonts w:ascii="Avenir" w:eastAsia="Avenir" w:hAnsi="Avenir" w:cs="Avenir"/>
          <w:color w:val="1E2B20"/>
          <w:sz w:val="24"/>
          <w:szCs w:val="24"/>
        </w:rPr>
        <w:t>Il tuo contributo avrà un effetto immediato — proteggendo e rigenerando il Salento non solo per i nostri figli, ma per le generazioni che erediteranno questo territorio dopo di loro.</w:t>
      </w:r>
    </w:p>
    <w:p w:rsidR="008D0BF6" w:rsidRDefault="00E821E8">
      <w:pPr>
        <w:keepNext/>
        <w:spacing w:after="220"/>
      </w:pPr>
      <w:r>
        <w:rPr>
          <w:rFonts w:ascii="Cormorant Garamond" w:eastAsia="Cormorant Garamond" w:hAnsi="Cormorant Garamond" w:cs="Cormorant Garamond"/>
          <w:color w:val="1E2B20"/>
          <w:spacing w:val="8"/>
          <w:sz w:val="36"/>
          <w:szCs w:val="36"/>
        </w:rPr>
        <w:t>Proteggi e Rigenera il Salento</w:t>
      </w:r>
    </w:p>
    <w:p w:rsidR="008D0BF6" w:rsidRDefault="00E821E8">
      <w:pPr>
        <w:keepNext/>
        <w:spacing w:after="220" w:line="360" w:lineRule="auto"/>
      </w:pPr>
      <w:r>
        <w:rPr>
          <w:rFonts w:ascii="Avenir" w:eastAsia="Avenir" w:hAnsi="Avenir" w:cs="Avenir"/>
          <w:color w:val="262624"/>
          <w:sz w:val="22"/>
          <w:szCs w:val="22"/>
        </w:rPr>
        <w:t>Sostieni la creazione di una capacità operativa integrata per la prevenzione degli incendi, l'individuazione precoce e la risposta rapida — contribuendo a proteggere e rigenerare il Salento.</w:t>
      </w:r>
    </w:p>
    <w:p w:rsidR="008D0BF6" w:rsidRDefault="00E821E8">
      <w:pPr>
        <w:spacing w:after="110" w:line="300" w:lineRule="auto"/>
      </w:pPr>
      <w:r>
        <w:rPr>
          <w:rFonts w:ascii="Avenir" w:eastAsia="Avenir" w:hAnsi="Avenir" w:cs="Avenir"/>
          <w:color w:val="A8A296"/>
          <w:sz w:val="22"/>
          <w:szCs w:val="22"/>
        </w:rPr>
        <w:t>— Drone di sorveglianza termica</w:t>
      </w:r>
    </w:p>
    <w:p w:rsidR="008D0BF6" w:rsidRDefault="00E821E8">
      <w:pPr>
        <w:spacing w:after="110" w:line="300" w:lineRule="auto"/>
      </w:pPr>
      <w:r>
        <w:rPr>
          <w:rFonts w:ascii="Avenir" w:eastAsia="Avenir" w:hAnsi="Avenir" w:cs="Avenir"/>
          <w:color w:val="A8A296"/>
          <w:sz w:val="22"/>
          <w:szCs w:val="22"/>
        </w:rPr>
        <w:t>— Punto fisso di rilevamento termico</w:t>
      </w:r>
    </w:p>
    <w:p w:rsidR="008D0BF6" w:rsidRDefault="00E821E8">
      <w:pPr>
        <w:spacing w:after="110" w:line="300" w:lineRule="auto"/>
      </w:pPr>
      <w:r>
        <w:rPr>
          <w:rFonts w:ascii="Avenir" w:eastAsia="Avenir" w:hAnsi="Avenir" w:cs="Avenir"/>
          <w:color w:val="A8A296"/>
          <w:sz w:val="22"/>
          <w:szCs w:val="22"/>
        </w:rPr>
        <w:t>— Rapid Response Kit</w:t>
      </w:r>
    </w:p>
    <w:p w:rsidR="008D0BF6" w:rsidRDefault="00E821E8">
      <w:pPr>
        <w:spacing w:after="260" w:line="300" w:lineRule="auto"/>
      </w:pPr>
      <w:r>
        <w:rPr>
          <w:rFonts w:ascii="Avenir" w:eastAsia="Avenir" w:hAnsi="Avenir" w:cs="Avenir"/>
          <w:color w:val="A8A296"/>
          <w:sz w:val="22"/>
          <w:szCs w:val="22"/>
        </w:rPr>
        <w:t>— Attrezzatura di risposta rapida</w:t>
      </w:r>
    </w:p>
    <w:p w:rsidR="008D0BF6" w:rsidRDefault="00E821E8">
      <w:pPr>
        <w:keepNext/>
        <w:keepLines/>
        <w:spacing w:after="170"/>
      </w:pPr>
      <w:r>
        <w:rPr>
          <w:rFonts w:ascii="Avenir" w:eastAsia="Avenir" w:hAnsi="Avenir" w:cs="Avenir"/>
          <w:color w:val="A8A296"/>
          <w:spacing w:val="12"/>
          <w:sz w:val="15"/>
          <w:szCs w:val="15"/>
        </w:rPr>
        <w:t>COPERTURA≈ 50 km²</w:t>
      </w:r>
    </w:p>
    <w:p w:rsidR="008D0BF6" w:rsidRDefault="00E821E8">
      <w:pPr>
        <w:keepNext/>
        <w:keepLines/>
        <w:spacing w:after="170"/>
      </w:pPr>
      <w:r>
        <w:rPr>
          <w:rFonts w:ascii="Avenir" w:eastAsia="Avenir" w:hAnsi="Avenir" w:cs="Avenir"/>
          <w:color w:val="A8A296"/>
          <w:spacing w:val="12"/>
          <w:sz w:val="15"/>
          <w:szCs w:val="15"/>
        </w:rPr>
        <w:t>CONTRIBUTO INIZIALE≈ €62.000*</w:t>
      </w:r>
    </w:p>
    <w:p w:rsidR="008D0BF6" w:rsidRDefault="00E821E8">
      <w:pPr>
        <w:keepNext/>
        <w:keepLines/>
      </w:pPr>
      <w:r>
        <w:rPr>
          <w:rFonts w:ascii="Avenir" w:eastAsia="Avenir" w:hAnsi="Avenir" w:cs="Avenir"/>
          <w:color w:val="A8A296"/>
          <w:spacing w:val="12"/>
          <w:sz w:val="15"/>
          <w:szCs w:val="15"/>
        </w:rPr>
        <w:t>SUPPORTO ANNUALE≈ €6.000*/anno (≈ €500/mese, manutenzione dell'attrezzatura inclusa)</w:t>
      </w:r>
    </w:p>
    <w:p w:rsidR="008D0BF6" w:rsidRDefault="008D0BF6">
      <w:pPr>
        <w:pageBreakBefore/>
      </w:pPr>
    </w:p>
    <w:p w:rsidR="008D0BF6" w:rsidRDefault="008D0BF6">
      <w:pPr>
        <w:spacing w:after="300"/>
      </w:pPr>
    </w:p>
    <w:p w:rsidR="008D0BF6" w:rsidRDefault="00E821E8">
      <w:pPr>
        <w:keepNext/>
        <w:spacing w:after="200"/>
      </w:pPr>
      <w:r>
        <w:rPr>
          <w:rFonts w:ascii="Cormorant Garamond" w:eastAsia="Cormorant Garamond" w:hAnsi="Cormorant Garamond" w:cs="Cormorant Garamond"/>
          <w:color w:val="1E2B20"/>
          <w:spacing w:val="8"/>
          <w:sz w:val="36"/>
          <w:szCs w:val="36"/>
        </w:rPr>
        <w:t>Early Detection Node</w:t>
      </w:r>
    </w:p>
    <w:p w:rsidR="008D0BF6" w:rsidRDefault="00E821E8">
      <w:pPr>
        <w:spacing w:after="110" w:line="300" w:lineRule="auto"/>
      </w:pPr>
      <w:r>
        <w:rPr>
          <w:rFonts w:ascii="Avenir" w:eastAsia="Avenir" w:hAnsi="Avenir" w:cs="Avenir"/>
          <w:color w:val="A8A296"/>
          <w:sz w:val="22"/>
          <w:szCs w:val="22"/>
        </w:rPr>
        <w:t>— Drone professionale con camera termica</w:t>
      </w:r>
    </w:p>
    <w:p w:rsidR="008D0BF6" w:rsidRDefault="00E821E8">
      <w:pPr>
        <w:spacing w:after="110" w:line="300" w:lineRule="auto"/>
      </w:pPr>
      <w:r>
        <w:rPr>
          <w:rFonts w:ascii="Avenir" w:eastAsia="Avenir" w:hAnsi="Avenir" w:cs="Avenir"/>
          <w:color w:val="A8A296"/>
          <w:sz w:val="22"/>
          <w:szCs w:val="22"/>
        </w:rPr>
        <w:t>— Comunicazioni operative integrate</w:t>
      </w:r>
    </w:p>
    <w:p w:rsidR="008D0BF6" w:rsidRDefault="00E821E8">
      <w:pPr>
        <w:spacing w:after="240" w:line="300" w:lineRule="auto"/>
      </w:pPr>
      <w:r>
        <w:rPr>
          <w:rFonts w:ascii="Avenir" w:eastAsia="Avenir" w:hAnsi="Avenir" w:cs="Avenir"/>
          <w:color w:val="A8A296"/>
          <w:sz w:val="22"/>
          <w:szCs w:val="22"/>
        </w:rPr>
        <w:t>— Stazione di ricarica</w:t>
      </w:r>
    </w:p>
    <w:p w:rsidR="008D0BF6" w:rsidRDefault="00E821E8">
      <w:pPr>
        <w:keepNext/>
        <w:keepLines/>
        <w:spacing w:after="170"/>
      </w:pPr>
      <w:r>
        <w:rPr>
          <w:rFonts w:ascii="Avenir" w:eastAsia="Avenir" w:hAnsi="Avenir" w:cs="Avenir"/>
          <w:color w:val="A8A296"/>
          <w:spacing w:val="12"/>
          <w:sz w:val="15"/>
          <w:szCs w:val="15"/>
        </w:rPr>
        <w:t>COPERTURA≈ 50 km²</w:t>
      </w:r>
    </w:p>
    <w:p w:rsidR="008D0BF6" w:rsidRDefault="00E821E8">
      <w:pPr>
        <w:keepNext/>
        <w:keepLines/>
        <w:spacing w:after="170"/>
      </w:pPr>
      <w:r>
        <w:rPr>
          <w:rFonts w:ascii="Avenir" w:eastAsia="Avenir" w:hAnsi="Avenir" w:cs="Avenir"/>
          <w:color w:val="A8A296"/>
          <w:spacing w:val="12"/>
          <w:sz w:val="15"/>
          <w:szCs w:val="15"/>
        </w:rPr>
        <w:t>CONTRIBUTO INIZIALE≈ €30.000*</w:t>
      </w:r>
    </w:p>
    <w:p w:rsidR="008D0BF6" w:rsidRDefault="00E821E8">
      <w:pPr>
        <w:keepNext/>
        <w:keepLines/>
      </w:pPr>
      <w:r>
        <w:rPr>
          <w:rFonts w:ascii="Avenir" w:eastAsia="Avenir" w:hAnsi="Avenir" w:cs="Avenir"/>
          <w:color w:val="A8A296"/>
          <w:spacing w:val="12"/>
          <w:sz w:val="15"/>
          <w:szCs w:val="15"/>
        </w:rPr>
        <w:t>SUPPORTO ANNUALE≈ €6.000*/anno (≈ €500/mese)</w:t>
      </w:r>
    </w:p>
    <w:p w:rsidR="008D0BF6" w:rsidRDefault="008D0BF6">
      <w:pPr>
        <w:spacing w:after="560"/>
      </w:pPr>
    </w:p>
    <w:p w:rsidR="008D0BF6" w:rsidRDefault="00E821E8">
      <w:pPr>
        <w:keepNext/>
        <w:spacing w:after="200"/>
      </w:pPr>
      <w:r>
        <w:rPr>
          <w:rFonts w:ascii="Cormorant Garamond" w:eastAsia="Cormorant Garamond" w:hAnsi="Cormorant Garamond" w:cs="Cormorant Garamond"/>
          <w:color w:val="1E2B20"/>
          <w:spacing w:val="8"/>
          <w:sz w:val="36"/>
          <w:szCs w:val="36"/>
        </w:rPr>
        <w:t>Observation Station Fissa</w:t>
      </w:r>
    </w:p>
    <w:p w:rsidR="008D0BF6" w:rsidRDefault="00E821E8">
      <w:pPr>
        <w:spacing w:after="110" w:line="300" w:lineRule="auto"/>
      </w:pPr>
      <w:r>
        <w:rPr>
          <w:rFonts w:ascii="Avenir" w:eastAsia="Avenir" w:hAnsi="Avenir" w:cs="Avenir"/>
          <w:color w:val="A8A296"/>
          <w:sz w:val="22"/>
          <w:szCs w:val="22"/>
        </w:rPr>
        <w:t>— Camera termica professionale</w:t>
      </w:r>
    </w:p>
    <w:p w:rsidR="008D0BF6" w:rsidRDefault="00E821E8">
      <w:pPr>
        <w:spacing w:after="110" w:line="300" w:lineRule="auto"/>
      </w:pPr>
      <w:r>
        <w:rPr>
          <w:rFonts w:ascii="Avenir" w:eastAsia="Avenir" w:hAnsi="Avenir" w:cs="Avenir"/>
          <w:color w:val="A8A296"/>
          <w:sz w:val="22"/>
          <w:szCs w:val="22"/>
        </w:rPr>
        <w:t>— Monitoraggio assistito da intelligenza artificiale</w:t>
      </w:r>
    </w:p>
    <w:p w:rsidR="008D0BF6" w:rsidRDefault="00E821E8">
      <w:pPr>
        <w:spacing w:after="240" w:line="300" w:lineRule="auto"/>
      </w:pPr>
      <w:r>
        <w:rPr>
          <w:rFonts w:ascii="Avenir" w:eastAsia="Avenir" w:hAnsi="Avenir" w:cs="Avenir"/>
          <w:color w:val="A8A296"/>
          <w:sz w:val="22"/>
          <w:szCs w:val="22"/>
        </w:rPr>
        <w:t>— Collegamento operativo dedicato</w:t>
      </w:r>
    </w:p>
    <w:p w:rsidR="008D0BF6" w:rsidRDefault="00E821E8">
      <w:pPr>
        <w:keepNext/>
        <w:keepLines/>
        <w:spacing w:after="170"/>
      </w:pPr>
      <w:r>
        <w:rPr>
          <w:rFonts w:ascii="Avenir" w:eastAsia="Avenir" w:hAnsi="Avenir" w:cs="Avenir"/>
          <w:color w:val="A8A296"/>
          <w:spacing w:val="12"/>
          <w:sz w:val="15"/>
          <w:szCs w:val="15"/>
        </w:rPr>
        <w:t>COPERTURAArea strategica ad alto rischio</w:t>
      </w:r>
    </w:p>
    <w:p w:rsidR="008D0BF6" w:rsidRDefault="00E821E8">
      <w:pPr>
        <w:keepNext/>
        <w:keepLines/>
        <w:spacing w:after="170"/>
      </w:pPr>
      <w:r>
        <w:rPr>
          <w:rFonts w:ascii="Avenir" w:eastAsia="Avenir" w:hAnsi="Avenir" w:cs="Avenir"/>
          <w:color w:val="A8A296"/>
          <w:spacing w:val="12"/>
          <w:sz w:val="15"/>
          <w:szCs w:val="15"/>
        </w:rPr>
        <w:t>CONTRIBUTO INIZIALE≈ €22.000*</w:t>
      </w:r>
    </w:p>
    <w:p w:rsidR="008D0BF6" w:rsidRDefault="00E821E8">
      <w:pPr>
        <w:keepNext/>
        <w:keepLines/>
      </w:pPr>
      <w:r>
        <w:rPr>
          <w:rFonts w:ascii="Avenir" w:eastAsia="Avenir" w:hAnsi="Avenir" w:cs="Avenir"/>
          <w:color w:val="A8A296"/>
          <w:spacing w:val="12"/>
          <w:sz w:val="15"/>
          <w:szCs w:val="15"/>
        </w:rPr>
        <w:t>SUPPORTO ANNUALE≈ €1.200*/anno</w:t>
      </w:r>
    </w:p>
    <w:p w:rsidR="008D0BF6" w:rsidRDefault="008D0BF6">
      <w:pPr>
        <w:pageBreakBefore/>
      </w:pPr>
    </w:p>
    <w:p w:rsidR="008D0BF6" w:rsidRDefault="008D0BF6">
      <w:pPr>
        <w:spacing w:after="300"/>
      </w:pPr>
    </w:p>
    <w:p w:rsidR="008D0BF6" w:rsidRDefault="00E821E8">
      <w:pPr>
        <w:keepNext/>
        <w:spacing w:after="200"/>
      </w:pPr>
      <w:r>
        <w:rPr>
          <w:rFonts w:ascii="Cormorant Garamond" w:eastAsia="Cormorant Garamond" w:hAnsi="Cormorant Garamond" w:cs="Cormorant Garamond"/>
          <w:color w:val="1E2B20"/>
          <w:spacing w:val="8"/>
          <w:sz w:val="36"/>
          <w:szCs w:val="36"/>
        </w:rPr>
        <w:t>Rapid Response Kit</w:t>
      </w:r>
    </w:p>
    <w:p w:rsidR="008D0BF6" w:rsidRDefault="00E821E8">
      <w:pPr>
        <w:spacing w:after="110" w:line="300" w:lineRule="auto"/>
      </w:pPr>
      <w:r>
        <w:rPr>
          <w:rFonts w:ascii="Avenir" w:eastAsia="Avenir" w:hAnsi="Avenir" w:cs="Avenir"/>
          <w:color w:val="A8A296"/>
          <w:sz w:val="22"/>
          <w:szCs w:val="22"/>
        </w:rPr>
        <w:t>— Rimorchio con serbatoio d'acqua da 500–600 litri</w:t>
      </w:r>
    </w:p>
    <w:p w:rsidR="008D0BF6" w:rsidRDefault="00E821E8">
      <w:pPr>
        <w:spacing w:after="110" w:line="300" w:lineRule="auto"/>
      </w:pPr>
      <w:r>
        <w:rPr>
          <w:rFonts w:ascii="Avenir" w:eastAsia="Avenir" w:hAnsi="Avenir" w:cs="Avenir"/>
          <w:color w:val="A8A296"/>
          <w:sz w:val="22"/>
          <w:szCs w:val="22"/>
        </w:rPr>
        <w:t>— Sistema di pompaggio e manichette</w:t>
      </w:r>
    </w:p>
    <w:p w:rsidR="008D0BF6" w:rsidRDefault="00E821E8">
      <w:pPr>
        <w:spacing w:after="110" w:line="300" w:lineRule="auto"/>
      </w:pPr>
      <w:r>
        <w:rPr>
          <w:rFonts w:ascii="Avenir" w:eastAsia="Avenir" w:hAnsi="Avenir" w:cs="Avenir"/>
          <w:color w:val="A8A296"/>
          <w:sz w:val="22"/>
          <w:szCs w:val="22"/>
        </w:rPr>
        <w:t>— Attrezzatura di risposta rapida</w:t>
      </w:r>
    </w:p>
    <w:p w:rsidR="008D0BF6" w:rsidRDefault="00E821E8">
      <w:pPr>
        <w:spacing w:after="240" w:line="300" w:lineRule="auto"/>
      </w:pPr>
      <w:r>
        <w:rPr>
          <w:rFonts w:ascii="Avenir" w:eastAsia="Avenir" w:hAnsi="Avenir" w:cs="Avenir"/>
          <w:color w:val="A8A296"/>
          <w:sz w:val="22"/>
          <w:szCs w:val="22"/>
        </w:rPr>
        <w:t>— Comunicazioni operative</w:t>
      </w:r>
    </w:p>
    <w:p w:rsidR="008D0BF6" w:rsidRDefault="00E821E8">
      <w:pPr>
        <w:keepNext/>
        <w:keepLines/>
        <w:spacing w:after="170"/>
      </w:pPr>
      <w:r>
        <w:rPr>
          <w:rFonts w:ascii="Avenir" w:eastAsia="Avenir" w:hAnsi="Avenir" w:cs="Avenir"/>
          <w:color w:val="A8A296"/>
          <w:spacing w:val="12"/>
          <w:sz w:val="15"/>
          <w:szCs w:val="15"/>
        </w:rPr>
        <w:t>CONTRIBUTO INIZIALE≈ €10.000*</w:t>
      </w:r>
    </w:p>
    <w:p w:rsidR="008D0BF6" w:rsidRDefault="00E821E8">
      <w:pPr>
        <w:keepNext/>
        <w:keepLines/>
      </w:pPr>
      <w:r>
        <w:rPr>
          <w:rFonts w:ascii="Avenir" w:eastAsia="Avenir" w:hAnsi="Avenir" w:cs="Avenir"/>
          <w:color w:val="A8A296"/>
          <w:spacing w:val="12"/>
          <w:sz w:val="15"/>
          <w:szCs w:val="15"/>
        </w:rPr>
        <w:t>SUPPORTO ANNUALE≈ €750*/anno</w:t>
      </w:r>
    </w:p>
    <w:p w:rsidR="008D0BF6" w:rsidRDefault="008D0BF6">
      <w:pPr>
        <w:spacing w:after="560"/>
      </w:pPr>
    </w:p>
    <w:p w:rsidR="008D0BF6" w:rsidRDefault="00E821E8">
      <w:pPr>
        <w:keepNext/>
        <w:spacing w:after="200"/>
      </w:pPr>
      <w:r>
        <w:rPr>
          <w:rFonts w:ascii="Cormorant Garamond" w:eastAsia="Cormorant Garamond" w:hAnsi="Cormorant Garamond" w:cs="Cormorant Garamond"/>
          <w:color w:val="1E2B20"/>
          <w:spacing w:val="8"/>
          <w:sz w:val="36"/>
          <w:szCs w:val="36"/>
        </w:rPr>
        <w:t>Observation Station</w:t>
      </w:r>
    </w:p>
    <w:p w:rsidR="008D0BF6" w:rsidRDefault="00E821E8">
      <w:pPr>
        <w:spacing w:after="110" w:line="300" w:lineRule="auto"/>
      </w:pPr>
      <w:r>
        <w:rPr>
          <w:rFonts w:ascii="Avenir" w:eastAsia="Avenir" w:hAnsi="Avenir" w:cs="Avenir"/>
          <w:color w:val="A8A296"/>
          <w:sz w:val="22"/>
          <w:szCs w:val="22"/>
        </w:rPr>
        <w:t>— Punto di osservazione elevato con alloggio</w:t>
      </w:r>
    </w:p>
    <w:p w:rsidR="008D0BF6" w:rsidRDefault="00E821E8">
      <w:pPr>
        <w:spacing w:after="110" w:line="300" w:lineRule="auto"/>
      </w:pPr>
      <w:r>
        <w:rPr>
          <w:rFonts w:ascii="Avenir" w:eastAsia="Avenir" w:hAnsi="Avenir" w:cs="Avenir"/>
          <w:color w:val="A8A296"/>
          <w:sz w:val="22"/>
          <w:szCs w:val="22"/>
        </w:rPr>
        <w:t>— Collegamento operativo</w:t>
      </w:r>
    </w:p>
    <w:p w:rsidR="008D0BF6" w:rsidRDefault="00E821E8">
      <w:pPr>
        <w:spacing w:after="110" w:line="300" w:lineRule="auto"/>
      </w:pPr>
      <w:r>
        <w:rPr>
          <w:rFonts w:ascii="Avenir" w:eastAsia="Avenir" w:hAnsi="Avenir" w:cs="Avenir"/>
          <w:color w:val="A8A296"/>
          <w:sz w:val="22"/>
          <w:szCs w:val="22"/>
        </w:rPr>
        <w:t>— Alimentazione solare</w:t>
      </w:r>
    </w:p>
    <w:p w:rsidR="008D0BF6" w:rsidRDefault="00E821E8">
      <w:pPr>
        <w:spacing w:after="240" w:line="300" w:lineRule="auto"/>
      </w:pPr>
      <w:r>
        <w:rPr>
          <w:rFonts w:ascii="Avenir" w:eastAsia="Avenir" w:hAnsi="Avenir" w:cs="Avenir"/>
          <w:color w:val="A8A296"/>
          <w:sz w:val="22"/>
          <w:szCs w:val="22"/>
        </w:rPr>
        <w:t>— Capacità di impiego drone</w:t>
      </w:r>
    </w:p>
    <w:p w:rsidR="008D0BF6" w:rsidRDefault="00E821E8">
      <w:pPr>
        <w:keepNext/>
        <w:keepLines/>
        <w:spacing w:after="170"/>
      </w:pPr>
      <w:r>
        <w:rPr>
          <w:rFonts w:ascii="Avenir" w:eastAsia="Avenir" w:hAnsi="Avenir" w:cs="Avenir"/>
          <w:color w:val="A8A296"/>
          <w:spacing w:val="12"/>
          <w:sz w:val="15"/>
          <w:szCs w:val="15"/>
        </w:rPr>
        <w:t>CONTRIBUTO INIZIALE≈ €120.000*</w:t>
      </w:r>
    </w:p>
    <w:p w:rsidR="008D0BF6" w:rsidRDefault="00E821E8">
      <w:pPr>
        <w:keepNext/>
        <w:keepLines/>
      </w:pPr>
      <w:r>
        <w:rPr>
          <w:rFonts w:ascii="Avenir" w:eastAsia="Avenir" w:hAnsi="Avenir" w:cs="Avenir"/>
          <w:color w:val="A8A296"/>
          <w:spacing w:val="12"/>
          <w:sz w:val="15"/>
          <w:szCs w:val="15"/>
        </w:rPr>
        <w:t>SUPPORTO ANNUALE≈ €5.000*/anno</w:t>
      </w:r>
    </w:p>
    <w:p w:rsidR="008D0BF6" w:rsidRDefault="008D0BF6">
      <w:pPr>
        <w:pageBreakBefore/>
      </w:pPr>
    </w:p>
    <w:p w:rsidR="008D0BF6" w:rsidRDefault="008D0BF6">
      <w:pPr>
        <w:spacing w:after="280"/>
      </w:pPr>
    </w:p>
    <w:p w:rsidR="008D0BF6" w:rsidRDefault="00E821E8">
      <w:pPr>
        <w:keepNext/>
        <w:spacing w:after="200"/>
      </w:pPr>
      <w:r>
        <w:rPr>
          <w:rFonts w:ascii="Cormorant Garamond" w:eastAsia="Cormorant Garamond" w:hAnsi="Cormorant Garamond" w:cs="Cormorant Garamond"/>
          <w:color w:val="1E2B20"/>
          <w:spacing w:val="8"/>
          <w:sz w:val="36"/>
          <w:szCs w:val="36"/>
        </w:rPr>
        <w:t>Coordinamento Operativo</w:t>
      </w:r>
    </w:p>
    <w:p w:rsidR="008D0BF6" w:rsidRDefault="00E821E8">
      <w:pPr>
        <w:keepNext/>
        <w:spacing w:after="180" w:line="370" w:lineRule="auto"/>
      </w:pPr>
      <w:r>
        <w:rPr>
          <w:rFonts w:ascii="Avenir" w:eastAsia="Avenir" w:hAnsi="Avenir" w:cs="Avenir"/>
          <w:color w:val="262624"/>
          <w:sz w:val="22"/>
          <w:szCs w:val="22"/>
        </w:rPr>
        <w:t>Il coordinamento operativo è ciò che trasforma attrezzature, persone e risorse in una reale capacità d'azione. Senza di esso, nessuno degli elementi descritti sopra può essere implementato, coordinato o sostenuto nel tempo.</w:t>
      </w:r>
    </w:p>
    <w:p w:rsidR="008D0BF6" w:rsidRDefault="00E821E8">
      <w:pPr>
        <w:keepNext/>
        <w:spacing w:after="260" w:line="370" w:lineRule="auto"/>
      </w:pPr>
      <w:r>
        <w:rPr>
          <w:rFonts w:ascii="Avenir" w:eastAsia="Avenir" w:hAnsi="Avenir" w:cs="Avenir"/>
          <w:color w:val="262624"/>
          <w:sz w:val="22"/>
          <w:szCs w:val="22"/>
        </w:rPr>
        <w:t>Un Patron fa molto più che finanziare attrezzature o singoli progetti. Un Patron contribuisce a garantire che personale locale adeguatamente formato sia presente proprio quando il territorio ne ha più bisogno. Nei periodi di minor rischio di incendio, le stesse persone passano dal proteggere il territorio al rigenerarlo — ripristinando gli ecosistemi, rafforzando la resilienza ambientale e costruendo un modello duraturo di gestione responsabile del territorio per le generazioni future.</w:t>
      </w:r>
    </w:p>
    <w:tbl>
      <w:tblPr>
        <w:tblW w:w="7700" w:type="dxa"/>
        <w:tblBorders>
          <w:top w:val="none" w:sz="0" w:space="0" w:color="FAF8F3"/>
          <w:left w:val="none" w:sz="0" w:space="0" w:color="FAF8F3"/>
          <w:bottom w:val="none" w:sz="0" w:space="0" w:color="FAF8F3"/>
          <w:right w:val="none" w:sz="0" w:space="0" w:color="FAF8F3"/>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600"/>
        <w:gridCol w:w="2100"/>
      </w:tblGrid>
      <w:tr w:rsidR="008D0BF6">
        <w:trPr>
          <w:cantSplit/>
        </w:trPr>
        <w:tc>
          <w:tcPr>
            <w:tcW w:w="5600" w:type="dxa"/>
            <w:tcBorders>
              <w:top w:val="none" w:sz="0" w:space="0" w:color="FAF8F3"/>
              <w:left w:val="none" w:sz="0" w:space="0" w:color="FAF8F3"/>
              <w:bottom w:val="none" w:sz="0" w:space="0" w:color="FAF8F3"/>
              <w:right w:val="none" w:sz="0" w:space="0" w:color="FAF8F3"/>
            </w:tcBorders>
            <w:tcMar>
              <w:top w:w="90" w:type="dxa"/>
              <w:left w:w="0" w:type="dxa"/>
              <w:bottom w:w="90" w:type="dxa"/>
              <w:right w:w="200" w:type="dxa"/>
            </w:tcMar>
          </w:tcPr>
          <w:p w:rsidR="008D0BF6" w:rsidRDefault="00E821E8">
            <w:r>
              <w:rPr>
                <w:rFonts w:ascii="Avenir" w:eastAsia="Avenir" w:hAnsi="Avenir" w:cs="Avenir"/>
                <w:color w:val="262624"/>
              </w:rPr>
              <w:t>Coordinamento del Programma — Tempo pieno</w:t>
            </w:r>
          </w:p>
        </w:tc>
        <w:tc>
          <w:tcPr>
            <w:tcW w:w="2100" w:type="dxa"/>
            <w:tcBorders>
              <w:top w:val="none" w:sz="0" w:space="0" w:color="FAF8F3"/>
              <w:left w:val="none" w:sz="0" w:space="0" w:color="FAF8F3"/>
              <w:bottom w:val="none" w:sz="0" w:space="0" w:color="FAF8F3"/>
              <w:right w:val="none" w:sz="0" w:space="0" w:color="FAF8F3"/>
            </w:tcBorders>
            <w:tcMar>
              <w:top w:w="90" w:type="dxa"/>
              <w:left w:w="0" w:type="dxa"/>
              <w:bottom w:w="90" w:type="dxa"/>
              <w:right w:w="0" w:type="dxa"/>
            </w:tcMar>
          </w:tcPr>
          <w:p w:rsidR="008D0BF6" w:rsidRDefault="00E821E8">
            <w:r>
              <w:rPr>
                <w:rFonts w:ascii="Avenir" w:eastAsia="Avenir" w:hAnsi="Avenir" w:cs="Avenir"/>
                <w:color w:val="262624"/>
              </w:rPr>
              <w:t>≈ €3.300*/mese</w:t>
            </w:r>
          </w:p>
        </w:tc>
      </w:tr>
      <w:tr w:rsidR="008D0BF6">
        <w:trPr>
          <w:cantSplit/>
        </w:trPr>
        <w:tc>
          <w:tcPr>
            <w:tcW w:w="5600" w:type="dxa"/>
            <w:tcBorders>
              <w:top w:val="none" w:sz="0" w:space="0" w:color="FAF8F3"/>
              <w:left w:val="none" w:sz="0" w:space="0" w:color="FAF8F3"/>
              <w:bottom w:val="none" w:sz="0" w:space="0" w:color="FAF8F3"/>
              <w:right w:val="none" w:sz="0" w:space="0" w:color="FAF8F3"/>
            </w:tcBorders>
            <w:tcMar>
              <w:top w:w="90" w:type="dxa"/>
              <w:left w:w="0" w:type="dxa"/>
              <w:bottom w:w="90" w:type="dxa"/>
              <w:right w:w="200" w:type="dxa"/>
            </w:tcMar>
          </w:tcPr>
          <w:p w:rsidR="008D0BF6" w:rsidRDefault="00E821E8">
            <w:r>
              <w:rPr>
                <w:rFonts w:ascii="Avenir" w:eastAsia="Avenir" w:hAnsi="Avenir" w:cs="Avenir"/>
                <w:color w:val="262624"/>
              </w:rPr>
              <w:t>Gestione delle Operazioni — Part-time / Consulenza</w:t>
            </w:r>
          </w:p>
        </w:tc>
        <w:tc>
          <w:tcPr>
            <w:tcW w:w="2100" w:type="dxa"/>
            <w:tcBorders>
              <w:top w:val="none" w:sz="0" w:space="0" w:color="FAF8F3"/>
              <w:left w:val="none" w:sz="0" w:space="0" w:color="FAF8F3"/>
              <w:bottom w:val="none" w:sz="0" w:space="0" w:color="FAF8F3"/>
              <w:right w:val="none" w:sz="0" w:space="0" w:color="FAF8F3"/>
            </w:tcBorders>
            <w:tcMar>
              <w:top w:w="90" w:type="dxa"/>
              <w:left w:w="0" w:type="dxa"/>
              <w:bottom w:w="90" w:type="dxa"/>
              <w:right w:w="0" w:type="dxa"/>
            </w:tcMar>
          </w:tcPr>
          <w:p w:rsidR="008D0BF6" w:rsidRDefault="00E821E8">
            <w:r>
              <w:rPr>
                <w:rFonts w:ascii="Avenir" w:eastAsia="Avenir" w:hAnsi="Avenir" w:cs="Avenir"/>
                <w:color w:val="262624"/>
              </w:rPr>
              <w:t>≈ €1.700*/mese</w:t>
            </w:r>
          </w:p>
        </w:tc>
      </w:tr>
      <w:tr w:rsidR="008D0BF6">
        <w:trPr>
          <w:cantSplit/>
        </w:trPr>
        <w:tc>
          <w:tcPr>
            <w:tcW w:w="5600" w:type="dxa"/>
            <w:tcBorders>
              <w:top w:val="none" w:sz="0" w:space="0" w:color="FAF8F3"/>
              <w:left w:val="none" w:sz="0" w:space="0" w:color="FAF8F3"/>
              <w:bottom w:val="none" w:sz="0" w:space="0" w:color="FAF8F3"/>
              <w:right w:val="none" w:sz="0" w:space="0" w:color="FAF8F3"/>
            </w:tcBorders>
            <w:tcMar>
              <w:top w:w="90" w:type="dxa"/>
              <w:left w:w="0" w:type="dxa"/>
              <w:bottom w:w="90" w:type="dxa"/>
              <w:right w:w="200" w:type="dxa"/>
            </w:tcMar>
          </w:tcPr>
          <w:p w:rsidR="008D0BF6" w:rsidRDefault="00E821E8">
            <w:r>
              <w:rPr>
                <w:rFonts w:ascii="Avenir" w:eastAsia="Avenir" w:hAnsi="Avenir" w:cs="Avenir"/>
                <w:color w:val="262624"/>
              </w:rPr>
              <w:t>Coordinamento Logistica e Operazioni — Part-time</w:t>
            </w:r>
          </w:p>
        </w:tc>
        <w:tc>
          <w:tcPr>
            <w:tcW w:w="2100" w:type="dxa"/>
            <w:tcBorders>
              <w:top w:val="none" w:sz="0" w:space="0" w:color="FAF8F3"/>
              <w:left w:val="none" w:sz="0" w:space="0" w:color="FAF8F3"/>
              <w:bottom w:val="none" w:sz="0" w:space="0" w:color="FAF8F3"/>
              <w:right w:val="none" w:sz="0" w:space="0" w:color="FAF8F3"/>
            </w:tcBorders>
            <w:tcMar>
              <w:top w:w="90" w:type="dxa"/>
              <w:left w:w="0" w:type="dxa"/>
              <w:bottom w:w="90" w:type="dxa"/>
              <w:right w:w="0" w:type="dxa"/>
            </w:tcMar>
          </w:tcPr>
          <w:p w:rsidR="008D0BF6" w:rsidRDefault="00E821E8">
            <w:r>
              <w:rPr>
                <w:rFonts w:ascii="Avenir" w:eastAsia="Avenir" w:hAnsi="Avenir" w:cs="Avenir"/>
                <w:color w:val="262624"/>
              </w:rPr>
              <w:t>≈ €1.500*/mese</w:t>
            </w:r>
          </w:p>
        </w:tc>
      </w:tr>
      <w:tr w:rsidR="008D0BF6">
        <w:trPr>
          <w:cantSplit/>
        </w:trPr>
        <w:tc>
          <w:tcPr>
            <w:tcW w:w="5600" w:type="dxa"/>
            <w:tcBorders>
              <w:top w:val="none" w:sz="0" w:space="0" w:color="FAF8F3"/>
              <w:left w:val="none" w:sz="0" w:space="0" w:color="FAF8F3"/>
              <w:bottom w:val="none" w:sz="0" w:space="0" w:color="FAF8F3"/>
              <w:right w:val="none" w:sz="0" w:space="0" w:color="FAF8F3"/>
            </w:tcBorders>
            <w:tcMar>
              <w:top w:w="90" w:type="dxa"/>
              <w:left w:w="0" w:type="dxa"/>
              <w:bottom w:w="90" w:type="dxa"/>
              <w:right w:w="200" w:type="dxa"/>
            </w:tcMar>
          </w:tcPr>
          <w:p w:rsidR="008D0BF6" w:rsidRDefault="00E821E8">
            <w:r>
              <w:rPr>
                <w:rFonts w:ascii="Avenir" w:eastAsia="Avenir" w:hAnsi="Avenir" w:cs="Avenir"/>
                <w:color w:val="262624"/>
              </w:rPr>
              <w:t>Coordinamento dei Volontari — Part-time (in espansione progressiva secondo necessità)</w:t>
            </w:r>
          </w:p>
        </w:tc>
        <w:tc>
          <w:tcPr>
            <w:tcW w:w="2100" w:type="dxa"/>
            <w:tcBorders>
              <w:top w:val="none" w:sz="0" w:space="0" w:color="FAF8F3"/>
              <w:left w:val="none" w:sz="0" w:space="0" w:color="FAF8F3"/>
              <w:bottom w:val="none" w:sz="0" w:space="0" w:color="FAF8F3"/>
              <w:right w:val="none" w:sz="0" w:space="0" w:color="FAF8F3"/>
            </w:tcBorders>
            <w:tcMar>
              <w:top w:w="90" w:type="dxa"/>
              <w:left w:w="0" w:type="dxa"/>
              <w:bottom w:w="90" w:type="dxa"/>
              <w:right w:w="0" w:type="dxa"/>
            </w:tcMar>
          </w:tcPr>
          <w:p w:rsidR="008D0BF6" w:rsidRDefault="00E821E8">
            <w:r>
              <w:rPr>
                <w:rFonts w:ascii="Avenir" w:eastAsia="Avenir" w:hAnsi="Avenir" w:cs="Avenir"/>
                <w:color w:val="262624"/>
              </w:rPr>
              <w:t>≈ €1.500*/mese</w:t>
            </w:r>
          </w:p>
        </w:tc>
      </w:tr>
      <w:tr w:rsidR="008D0BF6">
        <w:trPr>
          <w:cantSplit/>
        </w:trPr>
        <w:tc>
          <w:tcPr>
            <w:tcW w:w="5600" w:type="dxa"/>
            <w:tcBorders>
              <w:top w:val="none" w:sz="0" w:space="0" w:color="FAF8F3"/>
              <w:left w:val="none" w:sz="0" w:space="0" w:color="FAF8F3"/>
              <w:bottom w:val="none" w:sz="0" w:space="0" w:color="FAF8F3"/>
              <w:right w:val="none" w:sz="0" w:space="0" w:color="FAF8F3"/>
            </w:tcBorders>
            <w:tcMar>
              <w:top w:w="90" w:type="dxa"/>
              <w:left w:w="0" w:type="dxa"/>
              <w:bottom w:w="90" w:type="dxa"/>
              <w:right w:w="200" w:type="dxa"/>
            </w:tcMar>
          </w:tcPr>
          <w:p w:rsidR="008D0BF6" w:rsidRDefault="00E821E8">
            <w:r>
              <w:rPr>
                <w:rFonts w:ascii="Avenir" w:eastAsia="Avenir" w:hAnsi="Avenir" w:cs="Avenir"/>
                <w:color w:val="262624"/>
              </w:rPr>
              <w:t>Supporto Amministrativo — Secondo necessità</w:t>
            </w:r>
          </w:p>
        </w:tc>
        <w:tc>
          <w:tcPr>
            <w:tcW w:w="2100" w:type="dxa"/>
            <w:tcBorders>
              <w:top w:val="none" w:sz="0" w:space="0" w:color="FAF8F3"/>
              <w:left w:val="none" w:sz="0" w:space="0" w:color="FAF8F3"/>
              <w:bottom w:val="none" w:sz="0" w:space="0" w:color="FAF8F3"/>
              <w:right w:val="none" w:sz="0" w:space="0" w:color="FAF8F3"/>
            </w:tcBorders>
            <w:tcMar>
              <w:top w:w="90" w:type="dxa"/>
              <w:left w:w="0" w:type="dxa"/>
              <w:bottom w:w="90" w:type="dxa"/>
              <w:right w:w="0" w:type="dxa"/>
            </w:tcMar>
          </w:tcPr>
          <w:p w:rsidR="008D0BF6" w:rsidRDefault="00E821E8">
            <w:r>
              <w:rPr>
                <w:rFonts w:ascii="Avenir" w:eastAsia="Avenir" w:hAnsi="Avenir" w:cs="Avenir"/>
                <w:color w:val="262624"/>
              </w:rPr>
              <w:t>≈ €700*/mese</w:t>
            </w:r>
          </w:p>
        </w:tc>
      </w:tr>
      <w:tr w:rsidR="008D0BF6">
        <w:trPr>
          <w:cantSplit/>
        </w:trPr>
        <w:tc>
          <w:tcPr>
            <w:tcW w:w="5600" w:type="dxa"/>
            <w:tcBorders>
              <w:top w:val="single" w:sz="5" w:space="4" w:color="A8A296"/>
              <w:left w:val="none" w:sz="0" w:space="0" w:color="FAF8F3"/>
              <w:bottom w:val="none" w:sz="0" w:space="0" w:color="FAF8F3"/>
              <w:right w:val="none" w:sz="0" w:space="0" w:color="FAF8F3"/>
            </w:tcBorders>
            <w:tcMar>
              <w:top w:w="140" w:type="dxa"/>
              <w:left w:w="0" w:type="dxa"/>
              <w:bottom w:w="40" w:type="dxa"/>
              <w:right w:w="200" w:type="dxa"/>
            </w:tcMar>
          </w:tcPr>
          <w:p w:rsidR="008D0BF6" w:rsidRDefault="00E821E8">
            <w:r>
              <w:rPr>
                <w:rFonts w:ascii="Avenir" w:eastAsia="Avenir" w:hAnsi="Avenir" w:cs="Avenir"/>
                <w:b/>
                <w:bCs/>
                <w:color w:val="262624"/>
                <w:sz w:val="21"/>
                <w:szCs w:val="21"/>
              </w:rPr>
              <w:t>Coordinamento Operativo Completo</w:t>
            </w:r>
          </w:p>
        </w:tc>
        <w:tc>
          <w:tcPr>
            <w:tcW w:w="2100" w:type="dxa"/>
            <w:tcBorders>
              <w:top w:val="single" w:sz="5" w:space="4" w:color="A8A296"/>
              <w:left w:val="none" w:sz="0" w:space="0" w:color="FAF8F3"/>
              <w:bottom w:val="none" w:sz="0" w:space="0" w:color="FAF8F3"/>
              <w:right w:val="none" w:sz="0" w:space="0" w:color="FAF8F3"/>
            </w:tcBorders>
            <w:tcMar>
              <w:top w:w="140" w:type="dxa"/>
              <w:left w:w="0" w:type="dxa"/>
              <w:bottom w:w="40" w:type="dxa"/>
              <w:right w:w="0" w:type="dxa"/>
            </w:tcMar>
          </w:tcPr>
          <w:p w:rsidR="008D0BF6" w:rsidRDefault="00E821E8">
            <w:r>
              <w:rPr>
                <w:rFonts w:ascii="Avenir" w:eastAsia="Avenir" w:hAnsi="Avenir" w:cs="Avenir"/>
                <w:b/>
                <w:bCs/>
                <w:color w:val="1E2B20"/>
                <w:sz w:val="21"/>
                <w:szCs w:val="21"/>
              </w:rPr>
              <w:t>≈ €8.700*/mese</w:t>
            </w:r>
          </w:p>
        </w:tc>
      </w:tr>
    </w:tbl>
    <w:p w:rsidR="008D0BF6" w:rsidRDefault="008D0BF6">
      <w:pPr>
        <w:spacing w:after="280"/>
      </w:pPr>
    </w:p>
    <w:p w:rsidR="008D0BF6" w:rsidRDefault="00E821E8">
      <w:pPr>
        <w:keepNext/>
        <w:spacing w:after="220"/>
      </w:pPr>
      <w:r>
        <w:rPr>
          <w:rFonts w:ascii="Cormorant Garamond" w:eastAsia="Cormorant Garamond" w:hAnsi="Cormorant Garamond" w:cs="Cormorant Garamond"/>
          <w:color w:val="1E2B20"/>
          <w:spacing w:val="26"/>
          <w:sz w:val="24"/>
          <w:szCs w:val="24"/>
        </w:rPr>
        <w:t>RICONOSCIMENTO DEL LASCITO</w:t>
      </w:r>
    </w:p>
    <w:p w:rsidR="008D0BF6" w:rsidRDefault="00E821E8">
      <w:pPr>
        <w:keepNext/>
        <w:spacing w:after="200" w:line="370" w:lineRule="auto"/>
      </w:pPr>
      <w:r>
        <w:rPr>
          <w:rFonts w:ascii="Avenir" w:eastAsia="Avenir" w:hAnsi="Avenir" w:cs="Avenir"/>
          <w:color w:val="262624"/>
          <w:sz w:val="22"/>
          <w:szCs w:val="22"/>
        </w:rPr>
        <w:t>Ogni capacità operativa finanziata — dai droni di sorveglianza termica e i Rapid Response Kit alle Observation Station e ai progetti di rigenerazione — può essere dedicata al tuo nome, al nome della tua famiglia o fondazione, oppure in onore di una persona di tua scelta.</w:t>
      </w:r>
    </w:p>
    <w:p w:rsidR="008D0BF6" w:rsidRDefault="00E821E8">
      <w:pPr>
        <w:spacing w:after="200" w:line="370" w:lineRule="auto"/>
      </w:pPr>
      <w:r>
        <w:rPr>
          <w:rFonts w:ascii="Avenir" w:eastAsia="Avenir" w:hAnsi="Avenir" w:cs="Avenir"/>
          <w:color w:val="262624"/>
          <w:sz w:val="22"/>
          <w:szCs w:val="22"/>
        </w:rPr>
        <w:t>Il tuo esempio può incoraggiare altri Patron — famiglie, fondazioni, family office e organizzazioni filantropiche — a sostenere la protezione e la rigenerazione del Salento, estendendo l'impatto del Framework alle generazioni future.</w:t>
      </w:r>
    </w:p>
    <w:p w:rsidR="008D0BF6" w:rsidRDefault="008D0BF6">
      <w:pPr>
        <w:pageBreakBefore/>
      </w:pPr>
    </w:p>
    <w:p w:rsidR="008D0BF6" w:rsidRDefault="008D0BF6">
      <w:pPr>
        <w:spacing w:after="1300"/>
      </w:pPr>
    </w:p>
    <w:p w:rsidR="008D0BF6" w:rsidRDefault="00E821E8">
      <w:pPr>
        <w:spacing w:line="400" w:lineRule="auto"/>
        <w:ind w:left="500" w:right="500"/>
        <w:jc w:val="center"/>
      </w:pPr>
      <w:r>
        <w:rPr>
          <w:rFonts w:ascii="Cormorant Garamond" w:eastAsia="Cormorant Garamond" w:hAnsi="Cormorant Garamond" w:cs="Cormorant Garamond"/>
          <w:i/>
          <w:iCs/>
          <w:color w:val="262624"/>
          <w:sz w:val="27"/>
          <w:szCs w:val="27"/>
        </w:rPr>
        <w:t>Immagina i bambini che crescono nel Salento, che vengono a conoscere la visione e la generosità di chi ha scelto di agire quando contava di più — proteggendo e rigenerando il territorio che hanno il privilegio di chiamare casa.</w:t>
      </w:r>
    </w:p>
    <w:p w:rsidR="008D0BF6" w:rsidRDefault="008D0BF6">
      <w:pPr>
        <w:pageBreakBefore/>
      </w:pPr>
    </w:p>
    <w:p w:rsidR="008D0BF6" w:rsidRDefault="008D0BF6">
      <w:pPr>
        <w:spacing w:after="2600"/>
      </w:pPr>
    </w:p>
    <w:p w:rsidR="008D0BF6" w:rsidRDefault="00E821E8">
      <w:pPr>
        <w:spacing w:after="200" w:line="400" w:lineRule="auto"/>
        <w:ind w:left="400" w:right="400"/>
        <w:jc w:val="center"/>
      </w:pPr>
      <w:r>
        <w:rPr>
          <w:rFonts w:ascii="Cormorant Garamond" w:eastAsia="Cormorant Garamond" w:hAnsi="Cormorant Garamond" w:cs="Cormorant Garamond"/>
          <w:i/>
          <w:iCs/>
          <w:color w:val="262624"/>
          <w:sz w:val="27"/>
          <w:szCs w:val="27"/>
        </w:rPr>
        <w:t>Alcune opportunità si definiscono per l'entità dell'investimento che richiedono.</w:t>
      </w:r>
    </w:p>
    <w:p w:rsidR="008D0BF6" w:rsidRDefault="00E821E8">
      <w:pPr>
        <w:spacing w:line="400" w:lineRule="auto"/>
        <w:ind w:left="400" w:right="400"/>
        <w:jc w:val="center"/>
      </w:pPr>
      <w:r>
        <w:rPr>
          <w:rFonts w:ascii="Cormorant Garamond" w:eastAsia="Cormorant Garamond" w:hAnsi="Cormorant Garamond" w:cs="Cormorant Garamond"/>
          <w:i/>
          <w:iCs/>
          <w:color w:val="262624"/>
          <w:sz w:val="27"/>
          <w:szCs w:val="27"/>
        </w:rPr>
        <w:t>Altre si definiscono per il significato del momento in cui si presentano.</w:t>
      </w:r>
    </w:p>
    <w:sectPr w:rsidR="008D0BF6">
      <w:headerReference w:type="even" r:id="rId7"/>
      <w:headerReference w:type="default" r:id="rId8"/>
      <w:footerReference w:type="even" r:id="rId9"/>
      <w:footerReference w:type="default" r:id="rId10"/>
      <w:headerReference w:type="first" r:id="rId11"/>
      <w:footerReference w:type="first" r:id="rId12"/>
      <w:pgSz w:w="11906" w:h="16838"/>
      <w:pgMar w:top="2016" w:right="2016" w:bottom="2016" w:left="2016"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A1443F" w:rsidRDefault="00A1443F">
      <w:r>
        <w:separator/>
      </w:r>
    </w:p>
  </w:endnote>
  <w:endnote w:type="continuationSeparator" w:id="0">
    <w:p w:rsidR="00A1443F" w:rsidRDefault="00A14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ormorant Garamond">
    <w:altName w:val="Cambria"/>
    <w:panose1 w:val="00000000000000000000"/>
    <w:charset w:val="00"/>
    <w:family w:val="roman"/>
    <w:notTrueType/>
    <w:pitch w:val="default"/>
  </w:font>
  <w:font w:name="Avenir">
    <w:altName w:val="Cambria"/>
    <w:panose1 w:val="00000000000000000000"/>
    <w:charset w:val="00"/>
    <w:family w:val="roman"/>
    <w:notTrueType/>
    <w:pitch w:val="default"/>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216C" w:rsidRDefault="00EA216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8D0BF6" w:rsidRDefault="00A1443F">
    <w:pPr>
      <w:jc w:val="center"/>
    </w:pPr>
    <w:r>
      <w:rPr>
        <w:rFonts w:ascii="Avenir" w:eastAsia="Avenir" w:hAnsi="Avenir" w:cs="Avenir"/>
        <w:color w:val="A8A296"/>
        <w:spacing w:val="10"/>
        <w:sz w:val="14"/>
        <w:szCs w:val="14"/>
      </w:rPr>
      <w:t xml:space="preserve">A PATRON INVITATION   ·   FROM WILDFIRES TO REGENERATION   ·   </w:t>
    </w:r>
    <w:r>
      <w:rPr>
        <w:rFonts w:ascii="Avenir" w:eastAsia="Avenir" w:hAnsi="Avenir" w:cs="Avenir"/>
        <w:color w:val="A8A296"/>
        <w:sz w:val="14"/>
        <w:szCs w:val="14"/>
      </w:rPr>
      <w:fldChar w:fldCharType="begin"/>
    </w:r>
    <w:r>
      <w:rPr>
        <w:rFonts w:ascii="Avenir" w:eastAsia="Avenir" w:hAnsi="Avenir" w:cs="Avenir"/>
        <w:color w:val="A8A296"/>
        <w:sz w:val="14"/>
        <w:szCs w:val="14"/>
      </w:rPr>
      <w:instrText>PAGE</w:instrText>
    </w:r>
    <w:r w:rsidR="00E821E8">
      <w:rPr>
        <w:rFonts w:ascii="Avenir" w:eastAsia="Avenir" w:hAnsi="Avenir" w:cs="Avenir"/>
        <w:color w:val="A8A296"/>
        <w:sz w:val="14"/>
        <w:szCs w:val="14"/>
      </w:rPr>
      <w:fldChar w:fldCharType="separate"/>
    </w:r>
    <w:r w:rsidR="00E821E8">
      <w:rPr>
        <w:rFonts w:ascii="Avenir" w:eastAsia="Avenir" w:hAnsi="Avenir" w:cs="Avenir"/>
        <w:noProof/>
        <w:color w:val="A8A296"/>
        <w:sz w:val="14"/>
        <w:szCs w:val="14"/>
      </w:rPr>
      <w:t>1</w:t>
    </w:r>
    <w:r>
      <w:rPr>
        <w:rFonts w:ascii="Avenir" w:eastAsia="Avenir" w:hAnsi="Avenir" w:cs="Avenir"/>
        <w:color w:val="A8A296"/>
        <w:sz w:val="14"/>
        <w:szCs w:val="1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216C" w:rsidRDefault="00EA216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A1443F" w:rsidRDefault="00A1443F">
      <w:r>
        <w:separator/>
      </w:r>
    </w:p>
  </w:footnote>
  <w:footnote w:type="continuationSeparator" w:id="0">
    <w:p w:rsidR="00A1443F" w:rsidRDefault="00A144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216C" w:rsidRDefault="00EA216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216C" w:rsidRDefault="00EA216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EA216C" w:rsidRDefault="00EA216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425C1"/>
    <w:multiLevelType w:val="hybridMultilevel"/>
    <w:tmpl w:val="FFFFFFFF"/>
    <w:lvl w:ilvl="0" w:tplc="23CA4C48">
      <w:start w:val="1"/>
      <w:numFmt w:val="bullet"/>
      <w:lvlText w:val="●"/>
      <w:lvlJc w:val="left"/>
      <w:pPr>
        <w:ind w:left="720" w:hanging="360"/>
      </w:pPr>
    </w:lvl>
    <w:lvl w:ilvl="1" w:tplc="FE2A47C4">
      <w:start w:val="1"/>
      <w:numFmt w:val="bullet"/>
      <w:lvlText w:val="○"/>
      <w:lvlJc w:val="left"/>
      <w:pPr>
        <w:ind w:left="1440" w:hanging="360"/>
      </w:pPr>
    </w:lvl>
    <w:lvl w:ilvl="2" w:tplc="94285794">
      <w:start w:val="1"/>
      <w:numFmt w:val="bullet"/>
      <w:lvlText w:val="■"/>
      <w:lvlJc w:val="left"/>
      <w:pPr>
        <w:ind w:left="2160" w:hanging="360"/>
      </w:pPr>
    </w:lvl>
    <w:lvl w:ilvl="3" w:tplc="3BF0C9C6">
      <w:start w:val="1"/>
      <w:numFmt w:val="bullet"/>
      <w:lvlText w:val="●"/>
      <w:lvlJc w:val="left"/>
      <w:pPr>
        <w:ind w:left="2880" w:hanging="360"/>
      </w:pPr>
    </w:lvl>
    <w:lvl w:ilvl="4" w:tplc="328A24D4">
      <w:start w:val="1"/>
      <w:numFmt w:val="bullet"/>
      <w:lvlText w:val="○"/>
      <w:lvlJc w:val="left"/>
      <w:pPr>
        <w:ind w:left="3600" w:hanging="360"/>
      </w:pPr>
    </w:lvl>
    <w:lvl w:ilvl="5" w:tplc="3DE61866">
      <w:start w:val="1"/>
      <w:numFmt w:val="bullet"/>
      <w:lvlText w:val="■"/>
      <w:lvlJc w:val="left"/>
      <w:pPr>
        <w:ind w:left="4320" w:hanging="360"/>
      </w:pPr>
    </w:lvl>
    <w:lvl w:ilvl="6" w:tplc="7A3477BC">
      <w:start w:val="1"/>
      <w:numFmt w:val="bullet"/>
      <w:lvlText w:val="●"/>
      <w:lvlJc w:val="left"/>
      <w:pPr>
        <w:ind w:left="5040" w:hanging="360"/>
      </w:pPr>
    </w:lvl>
    <w:lvl w:ilvl="7" w:tplc="ED84A368">
      <w:start w:val="1"/>
      <w:numFmt w:val="bullet"/>
      <w:lvlText w:val="●"/>
      <w:lvlJc w:val="left"/>
      <w:pPr>
        <w:ind w:left="5760" w:hanging="360"/>
      </w:pPr>
    </w:lvl>
    <w:lvl w:ilvl="8" w:tplc="45E6F63A">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0BF6"/>
    <w:rsid w:val="001035A0"/>
    <w:rsid w:val="008D0BF6"/>
    <w:rsid w:val="00A1443F"/>
    <w:rsid w:val="00E821E8"/>
    <w:rsid w:val="00EA216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5:docId w15:val="{0C6E06D7-CC1D-A347-9366-EC0286058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EA216C"/>
    <w:pPr>
      <w:tabs>
        <w:tab w:val="center" w:pos="4680"/>
        <w:tab w:val="right" w:pos="9360"/>
      </w:tabs>
    </w:pPr>
  </w:style>
  <w:style w:type="character" w:customStyle="1" w:styleId="HeaderChar">
    <w:name w:val="Header Char"/>
    <w:basedOn w:val="DefaultParagraphFont"/>
    <w:link w:val="Header"/>
    <w:uiPriority w:val="99"/>
    <w:rsid w:val="00EA216C"/>
  </w:style>
  <w:style w:type="paragraph" w:styleId="Footer">
    <w:name w:val="footer"/>
    <w:basedOn w:val="Normal"/>
    <w:link w:val="FooterChar"/>
    <w:uiPriority w:val="99"/>
    <w:unhideWhenUsed/>
    <w:rsid w:val="00EA216C"/>
    <w:pPr>
      <w:tabs>
        <w:tab w:val="center" w:pos="4680"/>
        <w:tab w:val="right" w:pos="9360"/>
      </w:tabs>
    </w:pPr>
  </w:style>
  <w:style w:type="character" w:customStyle="1" w:styleId="FooterChar">
    <w:name w:val="Footer Char"/>
    <w:basedOn w:val="DefaultParagraphFont"/>
    <w:link w:val="Footer"/>
    <w:uiPriority w:val="99"/>
    <w:rsid w:val="00EA21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583</Words>
  <Characters>3325</Characters>
  <Application>Microsoft Office Word</Application>
  <DocSecurity>0</DocSecurity>
  <Lines>27</Lines>
  <Paragraphs>7</Paragraphs>
  <ScaleCrop>false</ScaleCrop>
  <Company/>
  <LinksUpToDate>false</LinksUpToDate>
  <CharactersWithSpaces>3901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Utente</cp:lastModifiedBy>
  <cp:revision>3</cp:revision>
  <dcterms:created xsi:type="dcterms:W3CDTF">2026-07-15T09:33:00Z</dcterms:created>
  <dcterms:modified xsi:type="dcterms:W3CDTF">2026-07-16T11:08:00Z</dcterms:modified>
</cp:coreProperties>
</file>