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AF8F3"/>
  <w:body>
    <w:p w:rsidR="00233B89" w:rsidRDefault="00233B89">
      <w:pPr>
        <w:spacing w:after="500"/>
      </w:pPr>
      <w:bookmarkStart w:id="0" w:name="_GoBack"/>
      <w:bookmarkEnd w:id="0"/>
    </w:p>
    <w:p w:rsidR="00233B89" w:rsidRDefault="009F510C">
      <w:pPr>
        <w:spacing w:after="130"/>
      </w:pPr>
      <w:r>
        <w:rPr>
          <w:rFonts w:ascii="Cormorant Garamond" w:eastAsia="Cormorant Garamond" w:hAnsi="Cormorant Garamond" w:cs="Cormorant Garamond"/>
          <w:color w:val="262624"/>
          <w:sz w:val="52"/>
          <w:szCs w:val="52"/>
        </w:rPr>
        <w:t>Registro delle Capacità del Framework</w:t>
      </w:r>
    </w:p>
    <w:p w:rsidR="00233B89" w:rsidRDefault="009F510C">
      <w:pPr>
        <w:spacing w:after="70"/>
      </w:pPr>
      <w:r>
        <w:rPr>
          <w:rFonts w:ascii="Avenir" w:eastAsia="Avenir" w:hAnsi="Avenir" w:cs="Avenir"/>
          <w:color w:val="A8A296"/>
          <w:spacing w:val="10"/>
          <w:sz w:val="16"/>
          <w:szCs w:val="16"/>
        </w:rPr>
        <w:t>Versione 1.0</w:t>
      </w:r>
    </w:p>
    <w:p w:rsidR="00233B89" w:rsidRDefault="009F510C">
      <w:pPr>
        <w:spacing w:after="480"/>
      </w:pPr>
      <w:r>
        <w:rPr>
          <w:rFonts w:ascii="Avenir" w:eastAsia="Avenir" w:hAnsi="Avenir" w:cs="Avenir"/>
          <w:color w:val="1E2B20"/>
          <w:sz w:val="21"/>
          <w:szCs w:val="21"/>
        </w:rPr>
        <w:t>Strategic Partner Richiesti per il Primo Dispiegamento del Framework</w:t>
      </w:r>
    </w:p>
    <w:p w:rsidR="00233B89" w:rsidRDefault="009F510C">
      <w:pPr>
        <w:spacing w:after="210" w:line="380" w:lineRule="auto"/>
        <w:jc w:val="both"/>
      </w:pPr>
      <w:r>
        <w:rPr>
          <w:rFonts w:ascii="Avenir" w:eastAsia="Avenir" w:hAnsi="Avenir" w:cs="Avenir"/>
          <w:color w:val="262624"/>
          <w:sz w:val="24"/>
          <w:szCs w:val="24"/>
        </w:rPr>
        <w:t>Sostenere il Framework richiede più di una semplice sponsorizzazione finanziaria. Richiede una rete accuratamente selezionata di Strategic Partner in grado di fornire la competenza specialistica, l'ingegneria, la tecnologia, i prodotti e la capacità operativa necessari per realizzare il primo dispiegamento pienamente integrato.</w:t>
      </w:r>
    </w:p>
    <w:p w:rsidR="00233B89" w:rsidRDefault="009F510C">
      <w:pPr>
        <w:spacing w:after="210" w:line="380" w:lineRule="auto"/>
        <w:jc w:val="both"/>
      </w:pPr>
      <w:r>
        <w:rPr>
          <w:rFonts w:ascii="Avenir" w:eastAsia="Avenir" w:hAnsi="Avenir" w:cs="Avenir"/>
          <w:color w:val="262624"/>
          <w:sz w:val="24"/>
          <w:szCs w:val="24"/>
        </w:rPr>
        <w:t>Nessuna singola organizzazione può realizzare il Framework in autonomia. Tuttavia, collettivamente, le organizzazioni individuate in questo registro forniscono le competenze fondamentali necessarie per passare dal concetto all'implementazione.</w:t>
      </w:r>
    </w:p>
    <w:p w:rsidR="00233B89" w:rsidRDefault="009F510C">
      <w:pPr>
        <w:spacing w:after="210" w:line="380" w:lineRule="auto"/>
        <w:jc w:val="both"/>
      </w:pPr>
      <w:r>
        <w:rPr>
          <w:rFonts w:ascii="Avenir" w:eastAsia="Avenir" w:hAnsi="Avenir" w:cs="Avenir"/>
          <w:color w:val="262624"/>
          <w:sz w:val="24"/>
          <w:szCs w:val="24"/>
        </w:rPr>
        <w:t>Ciascuna organizzazione è stata selezionata non solo per la propria capacità tecnica, ma anche per la propria visione di lungo periodo, i valori organizzativi, l'eccellenza ingegneristica e la capacità di contribuire in modo significativo al Framework al di là della sponsorizzazione convenzionale.</w:t>
      </w:r>
    </w:p>
    <w:p w:rsidR="00233B89" w:rsidRDefault="009F510C">
      <w:pPr>
        <w:spacing w:line="380" w:lineRule="auto"/>
        <w:jc w:val="both"/>
      </w:pPr>
      <w:r>
        <w:rPr>
          <w:rFonts w:ascii="Avenir" w:eastAsia="Avenir" w:hAnsi="Avenir" w:cs="Avenir"/>
          <w:color w:val="262624"/>
          <w:sz w:val="24"/>
          <w:szCs w:val="24"/>
        </w:rPr>
        <w:t>Insieme, questi Strategic Partner rappresentano le fondamenta su cui può essere realizzato il primo dispiegamento operativo.</w:t>
      </w:r>
    </w:p>
    <w:p w:rsidR="00233B89" w:rsidRDefault="00233B89">
      <w:pPr>
        <w:pBdr>
          <w:bottom w:val="single" w:sz="3" w:space="1" w:color="A8A296"/>
        </w:pBdr>
        <w:spacing w:before="420" w:after="340"/>
      </w:pPr>
    </w:p>
    <w:p w:rsidR="00233B89" w:rsidRDefault="00450FB8">
      <w:pPr>
        <w:keepNext/>
        <w:spacing w:after="40"/>
      </w:pPr>
      <w:r>
        <w:rPr>
          <w:rFonts w:ascii="Avenir" w:eastAsia="Avenir" w:hAnsi="Avenir" w:cs="Avenir"/>
          <w:b/>
          <w:bCs/>
          <w:color w:val="1E2B20"/>
          <w:spacing w:val="16"/>
          <w:sz w:val="17"/>
          <w:szCs w:val="17"/>
        </w:rPr>
        <w:lastRenderedPageBreak/>
        <w:t>01</w:t>
      </w:r>
    </w:p>
    <w:p w:rsidR="00233B89" w:rsidRDefault="009F510C">
      <w:pPr>
        <w:keepNext/>
        <w:spacing w:after="220"/>
      </w:pPr>
      <w:r>
        <w:rPr>
          <w:rFonts w:ascii="Cormorant Garamond" w:eastAsia="Cormorant Garamond" w:hAnsi="Cormorant Garamond" w:cs="Cormorant Garamond"/>
          <w:color w:val="262624"/>
          <w:spacing w:val="4"/>
          <w:sz w:val="34"/>
          <w:szCs w:val="34"/>
        </w:rPr>
        <w:t>Intelligenza Ambientale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CMCC Foundation</w:t>
      </w:r>
    </w:p>
    <w:p w:rsidR="00233B89" w:rsidRDefault="009F510C">
      <w:pPr>
        <w:keepNext/>
        <w:keepLines/>
        <w:spacing w:after="145"/>
      </w:pPr>
      <w:r>
        <w:rPr>
          <w:rFonts w:ascii="Avenir" w:eastAsia="Avenir" w:hAnsi="Avenir" w:cs="Avenir"/>
          <w:b/>
          <w:bCs/>
          <w:color w:val="1E2B20"/>
          <w:spacing w:val="14"/>
          <w:sz w:val="15"/>
          <w:szCs w:val="15"/>
        </w:rPr>
        <w:t>SEDELecce, Puglia, Italia</w:t>
      </w:r>
    </w:p>
    <w:p w:rsidR="00233B89" w:rsidRDefault="009F510C">
      <w:pPr>
        <w:keepNext/>
        <w:keepLines/>
        <w:spacing w:after="145"/>
      </w:pPr>
      <w:r>
        <w:rPr>
          <w:rFonts w:ascii="Avenir" w:eastAsia="Avenir" w:hAnsi="Avenir" w:cs="Avenir"/>
          <w:b/>
          <w:bCs/>
          <w:color w:val="1E2B20"/>
          <w:spacing w:val="14"/>
          <w:sz w:val="15"/>
          <w:szCs w:val="15"/>
        </w:rPr>
        <w:t>PROPRIETÀFondazione</w:t>
      </w:r>
    </w:p>
    <w:p w:rsidR="00233B89" w:rsidRDefault="009F510C">
      <w:pPr>
        <w:keepNext/>
        <w:keepLines/>
        <w:spacing w:after="210"/>
      </w:pPr>
      <w:r>
        <w:rPr>
          <w:rFonts w:ascii="Avenir" w:eastAsia="Avenir" w:hAnsi="Avenir" w:cs="Avenir"/>
          <w:b/>
          <w:bCs/>
          <w:color w:val="1E2B20"/>
          <w:spacing w:val="14"/>
          <w:sz w:val="15"/>
          <w:szCs w:val="15"/>
        </w:rPr>
        <w:t>DIMENSIONE APPROSSIMATIVACirca 700 dipendenti.</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CMCC è riconosciuta a livello internazionale per la propria competenza in scienza del clima, modellazione degli incendi boschivi e intelligenza ambientale. La sua presenza a Lecce offre al Framework un'immediata credibilità scientifica, mantenendo al contempo un forte legame con il territorio. Sebbene non sia un'organizzazione commerciale, il contributo di CMCC è considerato fondamentale per l'integrità scientifica del Framework.</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Modellazione climatica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Previsione degli incendi boschivi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Intelligenza ambientale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Validazione scientifica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Analisi dei dati</w:t>
      </w:r>
    </w:p>
    <w:p w:rsidR="00233B89" w:rsidRDefault="009F510C">
      <w:pPr>
        <w:pStyle w:val="ListParagraph"/>
        <w:numPr>
          <w:ilvl w:val="0"/>
          <w:numId w:val="2"/>
        </w:numPr>
        <w:spacing w:after="100" w:line="300" w:lineRule="auto"/>
      </w:pPr>
      <w:r>
        <w:rPr>
          <w:rFonts w:ascii="Avenir" w:eastAsia="Avenir" w:hAnsi="Avenir" w:cs="Avenir"/>
          <w:color w:val="262624"/>
          <w:sz w:val="22"/>
          <w:szCs w:val="22"/>
        </w:rPr>
        <w:t>Monitoraggio ambientale di lungo periodo</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02</w:t>
      </w:r>
    </w:p>
    <w:p w:rsidR="00233B89" w:rsidRDefault="009F510C">
      <w:pPr>
        <w:keepNext/>
        <w:spacing w:after="220"/>
      </w:pPr>
      <w:r>
        <w:rPr>
          <w:rFonts w:ascii="Cormorant Garamond" w:eastAsia="Cormorant Garamond" w:hAnsi="Cormorant Garamond" w:cs="Cormorant Garamond"/>
          <w:color w:val="262624"/>
          <w:spacing w:val="4"/>
          <w:sz w:val="34"/>
          <w:szCs w:val="34"/>
        </w:rPr>
        <w:t>Sistemi di Individuazione Precoce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Dryad Networks</w:t>
      </w:r>
    </w:p>
    <w:p w:rsidR="00233B89" w:rsidRDefault="009F510C">
      <w:pPr>
        <w:keepNext/>
        <w:keepLines/>
        <w:spacing w:after="145"/>
      </w:pPr>
      <w:r>
        <w:rPr>
          <w:rFonts w:ascii="Avenir" w:eastAsia="Avenir" w:hAnsi="Avenir" w:cs="Avenir"/>
          <w:b/>
          <w:bCs/>
          <w:color w:val="1E2B20"/>
          <w:spacing w:val="14"/>
          <w:sz w:val="15"/>
          <w:szCs w:val="15"/>
        </w:rPr>
        <w:t>SEDEBerlino, Germania</w:t>
      </w:r>
    </w:p>
    <w:p w:rsidR="00233B89" w:rsidRDefault="009F510C">
      <w:pPr>
        <w:keepNext/>
        <w:keepLines/>
        <w:spacing w:after="145"/>
      </w:pPr>
      <w:r>
        <w:rPr>
          <w:rFonts w:ascii="Avenir" w:eastAsia="Avenir" w:hAnsi="Avenir" w:cs="Avenir"/>
          <w:b/>
          <w:bCs/>
          <w:color w:val="1E2B20"/>
          <w:spacing w:val="14"/>
          <w:sz w:val="15"/>
          <w:szCs w:val="15"/>
        </w:rPr>
        <w:t>PROPRIETÀPrivata</w:t>
      </w:r>
    </w:p>
    <w:p w:rsidR="00233B89" w:rsidRDefault="009F510C">
      <w:pPr>
        <w:keepNext/>
        <w:keepLines/>
        <w:spacing w:after="210"/>
      </w:pPr>
      <w:r>
        <w:rPr>
          <w:rFonts w:ascii="Avenir" w:eastAsia="Avenir" w:hAnsi="Avenir" w:cs="Avenir"/>
          <w:b/>
          <w:bCs/>
          <w:color w:val="1E2B20"/>
          <w:spacing w:val="14"/>
          <w:sz w:val="15"/>
          <w:szCs w:val="15"/>
        </w:rPr>
        <w:t>DIMENSIONE APPROSSIMATIVACirca 100 dipendenti.</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 xml:space="preserve">Dryad Networks ha sviluppato uno dei sistemi di individuazione precoce degli incendi boschivi basati su intelligenza artificiale più avanzati al mondo. La loro tecnologia si allinea direttamente con la filosofia preventiva del Framework, consentendo di </w:t>
      </w:r>
      <w:r>
        <w:rPr>
          <w:rFonts w:ascii="Avenir" w:eastAsia="Avenir" w:hAnsi="Avenir" w:cs="Avenir"/>
          <w:color w:val="262624"/>
          <w:sz w:val="22"/>
          <w:szCs w:val="22"/>
        </w:rPr>
        <w:lastRenderedPageBreak/>
        <w:t>individuare gli incendi nella fase più precoce possibile, prima che si sviluppino in eventi di grande portata.</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Individuazione degli incendi tramite IA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Reti di sensori autonomi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Rilevamento termico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Monitoraggio ambientale</w:t>
      </w:r>
    </w:p>
    <w:p w:rsidR="00233B89" w:rsidRDefault="009F510C">
      <w:pPr>
        <w:pStyle w:val="ListParagraph"/>
        <w:numPr>
          <w:ilvl w:val="0"/>
          <w:numId w:val="2"/>
        </w:numPr>
        <w:spacing w:after="100" w:line="300" w:lineRule="auto"/>
      </w:pPr>
      <w:r>
        <w:rPr>
          <w:rFonts w:ascii="Avenir" w:eastAsia="Avenir" w:hAnsi="Avenir" w:cs="Avenir"/>
          <w:color w:val="262624"/>
          <w:sz w:val="22"/>
          <w:szCs w:val="22"/>
        </w:rPr>
        <w:t>Sistemi di allerta precoce</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03</w:t>
      </w:r>
    </w:p>
    <w:p w:rsidR="00233B89" w:rsidRDefault="009F510C">
      <w:pPr>
        <w:keepNext/>
        <w:spacing w:after="220"/>
      </w:pPr>
      <w:r>
        <w:rPr>
          <w:rFonts w:ascii="Cormorant Garamond" w:eastAsia="Cormorant Garamond" w:hAnsi="Cormorant Garamond" w:cs="Cormorant Garamond"/>
          <w:color w:val="262624"/>
          <w:spacing w:val="4"/>
          <w:sz w:val="34"/>
          <w:szCs w:val="34"/>
        </w:rPr>
        <w:t>Sistemi Drone per gli Incendi Boschivi</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Hightek</w:t>
      </w:r>
    </w:p>
    <w:p w:rsidR="00233B89" w:rsidRDefault="009F510C">
      <w:pPr>
        <w:keepNext/>
        <w:keepLines/>
        <w:spacing w:after="145"/>
      </w:pPr>
      <w:r>
        <w:rPr>
          <w:rFonts w:ascii="Avenir" w:eastAsia="Avenir" w:hAnsi="Avenir" w:cs="Avenir"/>
          <w:b/>
          <w:bCs/>
          <w:color w:val="1E2B20"/>
          <w:spacing w:val="14"/>
          <w:sz w:val="15"/>
          <w:szCs w:val="15"/>
        </w:rPr>
        <w:t>SEDECastel San Giorgio (Salerno), Italia</w:t>
      </w:r>
    </w:p>
    <w:p w:rsidR="00233B89" w:rsidRDefault="009F510C">
      <w:pPr>
        <w:keepNext/>
        <w:keepLines/>
        <w:spacing w:after="145"/>
      </w:pPr>
      <w:r>
        <w:rPr>
          <w:rFonts w:ascii="Avenir" w:eastAsia="Avenir" w:hAnsi="Avenir" w:cs="Avenir"/>
          <w:b/>
          <w:bCs/>
          <w:color w:val="1E2B20"/>
          <w:spacing w:val="14"/>
          <w:sz w:val="15"/>
          <w:szCs w:val="15"/>
        </w:rPr>
        <w:t>PROPRIETÀPrivata</w:t>
      </w:r>
    </w:p>
    <w:p w:rsidR="00233B89" w:rsidRDefault="009F510C">
      <w:pPr>
        <w:keepNext/>
        <w:keepLines/>
        <w:spacing w:after="210"/>
      </w:pPr>
      <w:r>
        <w:rPr>
          <w:rFonts w:ascii="Avenir" w:eastAsia="Avenir" w:hAnsi="Avenir" w:cs="Avenir"/>
          <w:b/>
          <w:bCs/>
          <w:color w:val="1E2B20"/>
          <w:spacing w:val="14"/>
          <w:sz w:val="15"/>
          <w:szCs w:val="15"/>
        </w:rPr>
        <w:t>DIMENSIONE APPROSSIMATIVASocietà di ingegneria specializzata.</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Hightek sviluppa tecnologia operativa specificamente dedicata alla risposta agli incendi boschivi, anziché applicazioni generiche per droni. La loro piattaforma Q.Fly integra imaging termico, mappatura operativa in tempo reale e intelligence sugli incendi, offrendo una capacità aerea altamente adattabile in grado di continuare a evolversi insieme al Framework.</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Tecnologia drone per incendi boschivi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Imaging termico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Mappatura operativa in tempo reale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Intelligence sugli incendi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Supporto operativo aereo</w:t>
      </w:r>
    </w:p>
    <w:p w:rsidR="00233B89" w:rsidRDefault="009F510C">
      <w:pPr>
        <w:pStyle w:val="ListParagraph"/>
        <w:numPr>
          <w:ilvl w:val="0"/>
          <w:numId w:val="2"/>
        </w:numPr>
        <w:spacing w:after="100" w:line="300" w:lineRule="auto"/>
      </w:pPr>
      <w:r>
        <w:rPr>
          <w:rFonts w:ascii="Avenir" w:eastAsia="Avenir" w:hAnsi="Avenir" w:cs="Avenir"/>
          <w:color w:val="262624"/>
          <w:sz w:val="22"/>
          <w:szCs w:val="22"/>
        </w:rPr>
        <w:t>Futura integrazione con ulteriori piattaforme aeree</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04</w:t>
      </w:r>
    </w:p>
    <w:p w:rsidR="00233B89" w:rsidRDefault="009F510C">
      <w:pPr>
        <w:keepNext/>
        <w:spacing w:after="220"/>
      </w:pPr>
      <w:r>
        <w:rPr>
          <w:rFonts w:ascii="Cormorant Garamond" w:eastAsia="Cormorant Garamond" w:hAnsi="Cormorant Garamond" w:cs="Cormorant Garamond"/>
          <w:color w:val="262624"/>
          <w:spacing w:val="4"/>
          <w:sz w:val="34"/>
          <w:szCs w:val="34"/>
        </w:rPr>
        <w:t>Strutture di Osservazione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Rubner Group</w:t>
      </w:r>
    </w:p>
    <w:p w:rsidR="00233B89" w:rsidRDefault="009F510C">
      <w:pPr>
        <w:keepNext/>
        <w:keepLines/>
        <w:spacing w:after="145"/>
      </w:pPr>
      <w:r>
        <w:rPr>
          <w:rFonts w:ascii="Avenir" w:eastAsia="Avenir" w:hAnsi="Avenir" w:cs="Avenir"/>
          <w:b/>
          <w:bCs/>
          <w:color w:val="1E2B20"/>
          <w:spacing w:val="14"/>
          <w:sz w:val="15"/>
          <w:szCs w:val="15"/>
        </w:rPr>
        <w:t>SEDEChienes (Kiens), Alto Adige, Italia</w:t>
      </w:r>
    </w:p>
    <w:p w:rsidR="00233B89" w:rsidRDefault="009F510C">
      <w:pPr>
        <w:keepNext/>
        <w:keepLines/>
        <w:spacing w:after="145"/>
      </w:pPr>
      <w:r>
        <w:rPr>
          <w:rFonts w:ascii="Avenir" w:eastAsia="Avenir" w:hAnsi="Avenir" w:cs="Avenir"/>
          <w:b/>
          <w:bCs/>
          <w:color w:val="1E2B20"/>
          <w:spacing w:val="14"/>
          <w:sz w:val="15"/>
          <w:szCs w:val="15"/>
        </w:rPr>
        <w:t>PROPRIETÀPrivata – A Conduzione Familiare</w:t>
      </w:r>
    </w:p>
    <w:p w:rsidR="00233B89" w:rsidRDefault="009F510C">
      <w:pPr>
        <w:keepNext/>
        <w:keepLines/>
        <w:spacing w:after="210"/>
      </w:pPr>
      <w:r>
        <w:rPr>
          <w:rFonts w:ascii="Avenir" w:eastAsia="Avenir" w:hAnsi="Avenir" w:cs="Avenir"/>
          <w:b/>
          <w:bCs/>
          <w:color w:val="1E2B20"/>
          <w:spacing w:val="14"/>
          <w:sz w:val="15"/>
          <w:szCs w:val="15"/>
        </w:rPr>
        <w:t>DIMENSIONE APPROSSIMATIVACirca 1.500 dipendenti. Fatturato annuo di circa 417 milioni di euro.</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Rubner rappresenta uno degli Strategic Partner più significativi del Framework. La loro competenza va oltre la costruzione in legno, includendo architettura, ingegneria strutturale, produzione e costruzioni chiavi in mano. La loro proprietà familiare di lungo corso, l'eccellenza ingegneristica e l'impegno per l'edilizia sostenibile li rendono una scelta eccellente sotto il profilo culturale e tecnico.</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Progettazione di torri di osservazione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Ingegneria strutturale del legno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Sistemi di costruzione sostenibile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Strutture prefabbricate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Produzione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Supporto architettonico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Competenza ingegneristica</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Rubner ha il potenziale per diventare il Signature Infrastructure Partner del Framework, realizzando le strutture fisiche che diventano l'identità visibile del progetto.</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05</w:t>
      </w:r>
    </w:p>
    <w:p w:rsidR="00233B89" w:rsidRDefault="009F510C">
      <w:pPr>
        <w:keepNext/>
        <w:spacing w:after="220"/>
      </w:pPr>
      <w:r>
        <w:rPr>
          <w:rFonts w:ascii="Cormorant Garamond" w:eastAsia="Cormorant Garamond" w:hAnsi="Cormorant Garamond" w:cs="Cormorant Garamond"/>
          <w:color w:val="262624"/>
          <w:spacing w:val="4"/>
          <w:sz w:val="34"/>
          <w:szCs w:val="34"/>
        </w:rPr>
        <w:t>Ingegneria Strutturale e Acciaio</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Marcegaglia</w:t>
      </w:r>
    </w:p>
    <w:p w:rsidR="00233B89" w:rsidRDefault="009F510C">
      <w:pPr>
        <w:keepNext/>
        <w:keepLines/>
        <w:spacing w:after="145"/>
      </w:pPr>
      <w:r>
        <w:rPr>
          <w:rFonts w:ascii="Avenir" w:eastAsia="Avenir" w:hAnsi="Avenir" w:cs="Avenir"/>
          <w:b/>
          <w:bCs/>
          <w:color w:val="1E2B20"/>
          <w:spacing w:val="14"/>
          <w:sz w:val="15"/>
          <w:szCs w:val="15"/>
        </w:rPr>
        <w:t>SEDESede centrale: Gazoldo degli Ippoliti (Mantova), Italia. Principali operazioni: Taranto, Puglia</w:t>
      </w:r>
    </w:p>
    <w:p w:rsidR="00233B89" w:rsidRDefault="009F510C">
      <w:pPr>
        <w:keepNext/>
        <w:keepLines/>
        <w:spacing w:after="145"/>
      </w:pPr>
      <w:r>
        <w:rPr>
          <w:rFonts w:ascii="Avenir" w:eastAsia="Avenir" w:hAnsi="Avenir" w:cs="Avenir"/>
          <w:b/>
          <w:bCs/>
          <w:color w:val="1E2B20"/>
          <w:spacing w:val="14"/>
          <w:sz w:val="15"/>
          <w:szCs w:val="15"/>
        </w:rPr>
        <w:t>PROPRIETÀPrivata – A Conduzione Familiare</w:t>
      </w:r>
    </w:p>
    <w:p w:rsidR="00233B89" w:rsidRDefault="009F510C">
      <w:pPr>
        <w:keepNext/>
        <w:keepLines/>
        <w:spacing w:after="210"/>
      </w:pPr>
      <w:r>
        <w:rPr>
          <w:rFonts w:ascii="Avenir" w:eastAsia="Avenir" w:hAnsi="Avenir" w:cs="Avenir"/>
          <w:b/>
          <w:bCs/>
          <w:color w:val="1E2B20"/>
          <w:spacing w:val="14"/>
          <w:sz w:val="15"/>
          <w:szCs w:val="15"/>
        </w:rPr>
        <w:t>DIMENSIONE APPROSSIMATIVACirca 7.800 dipendenti. Fatturato annuo di circa 7,5 miliardi di euro.</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Marcegaglia unisce una capacità ingegneristica di livello mondiale all'agilità e alla visione di lungo periodo di un'azienda familiare a conduzione privata. La loro capacità produttiva, la competenza ingegneristica e la presenza significativa nel sud Italia li rendono uno Strategic Partner ideale per le infrastrutture strutturali.</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Acciaio strutturale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Lavorazione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Ingegneria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Componenti infrastrutturali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Supporto alla produzione</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Marcegaglia fornisce la capacità di ingegneria strutturale necessaria a sostenere infrastrutture su larga scala in tutto il Framework.</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06</w:t>
      </w:r>
    </w:p>
    <w:p w:rsidR="00233B89" w:rsidRDefault="009F510C">
      <w:pPr>
        <w:keepNext/>
        <w:spacing w:after="220"/>
      </w:pPr>
      <w:r>
        <w:rPr>
          <w:rFonts w:ascii="Cormorant Garamond" w:eastAsia="Cormorant Garamond" w:hAnsi="Cormorant Garamond" w:cs="Cormorant Garamond"/>
          <w:color w:val="262624"/>
          <w:spacing w:val="4"/>
          <w:sz w:val="34"/>
          <w:szCs w:val="34"/>
        </w:rPr>
        <w:t>Infrastrutture di Comunicazione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SIAE Microelettronica</w:t>
      </w:r>
    </w:p>
    <w:p w:rsidR="00233B89" w:rsidRDefault="009F510C">
      <w:pPr>
        <w:keepNext/>
        <w:keepLines/>
        <w:spacing w:after="145"/>
      </w:pPr>
      <w:r>
        <w:rPr>
          <w:rFonts w:ascii="Avenir" w:eastAsia="Avenir" w:hAnsi="Avenir" w:cs="Avenir"/>
          <w:b/>
          <w:bCs/>
          <w:color w:val="1E2B20"/>
          <w:spacing w:val="14"/>
          <w:sz w:val="15"/>
          <w:szCs w:val="15"/>
        </w:rPr>
        <w:t>SEDECologno Monzese (Milano), Italia</w:t>
      </w:r>
    </w:p>
    <w:p w:rsidR="00233B89" w:rsidRDefault="009F510C">
      <w:pPr>
        <w:keepNext/>
        <w:keepLines/>
        <w:spacing w:after="145"/>
      </w:pPr>
      <w:r>
        <w:rPr>
          <w:rFonts w:ascii="Avenir" w:eastAsia="Avenir" w:hAnsi="Avenir" w:cs="Avenir"/>
          <w:b/>
          <w:bCs/>
          <w:color w:val="1E2B20"/>
          <w:spacing w:val="14"/>
          <w:sz w:val="15"/>
          <w:szCs w:val="15"/>
        </w:rPr>
        <w:t>PROPRIETÀPrivata</w:t>
      </w:r>
    </w:p>
    <w:p w:rsidR="00233B89" w:rsidRDefault="009F510C">
      <w:pPr>
        <w:keepNext/>
        <w:keepLines/>
        <w:spacing w:after="210"/>
      </w:pPr>
      <w:r>
        <w:rPr>
          <w:rFonts w:ascii="Avenir" w:eastAsia="Avenir" w:hAnsi="Avenir" w:cs="Avenir"/>
          <w:b/>
          <w:bCs/>
          <w:color w:val="1E2B20"/>
          <w:spacing w:val="14"/>
          <w:sz w:val="15"/>
          <w:szCs w:val="15"/>
        </w:rPr>
        <w:t>DIMENSIONE APPROSSIMATIVACirca 500–1.000 dipendenti.</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SIAE Microelettronica è un'azienda di ingegneria di riconosciuta reputazione internazionale, specializzata in infrastrutture di comunicazione wireless resilienti. La loro competenza fornisce le comunicazioni operative sicure necessarie a sostenere una rete distribuita di protezione ambientale.</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Comunicazioni mission-critical</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Infrastrutture wireless</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Connettività remota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Comunicazioni operative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Resilienza di rete</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SIAE fornisce il backbone di comunicazione che consente a ogni componente operativa del Framework di funzionare come un sistema unico e integrato.</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07</w:t>
      </w:r>
    </w:p>
    <w:p w:rsidR="00233B89" w:rsidRDefault="009F510C">
      <w:pPr>
        <w:keepNext/>
        <w:spacing w:after="220"/>
      </w:pPr>
      <w:r>
        <w:rPr>
          <w:rFonts w:ascii="Cormorant Garamond" w:eastAsia="Cormorant Garamond" w:hAnsi="Cormorant Garamond" w:cs="Cormorant Garamond"/>
          <w:color w:val="262624"/>
          <w:spacing w:val="4"/>
          <w:sz w:val="34"/>
          <w:szCs w:val="34"/>
        </w:rPr>
        <w:t>Gestione del Territorio e Rigenerazione Ecologica</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Technoforest</w:t>
      </w:r>
    </w:p>
    <w:p w:rsidR="00233B89" w:rsidRDefault="009F510C">
      <w:pPr>
        <w:keepNext/>
        <w:keepLines/>
        <w:spacing w:after="145"/>
      </w:pPr>
      <w:r>
        <w:rPr>
          <w:rFonts w:ascii="Avenir" w:eastAsia="Avenir" w:hAnsi="Avenir" w:cs="Avenir"/>
          <w:b/>
          <w:bCs/>
          <w:color w:val="1E2B20"/>
          <w:spacing w:val="14"/>
          <w:sz w:val="15"/>
          <w:szCs w:val="15"/>
        </w:rPr>
        <w:t>SEDEZanica (Bergamo), Italia</w:t>
      </w:r>
    </w:p>
    <w:p w:rsidR="00233B89" w:rsidRDefault="009F510C">
      <w:pPr>
        <w:keepNext/>
        <w:keepLines/>
        <w:spacing w:after="145"/>
      </w:pPr>
      <w:r>
        <w:rPr>
          <w:rFonts w:ascii="Avenir" w:eastAsia="Avenir" w:hAnsi="Avenir" w:cs="Avenir"/>
          <w:b/>
          <w:bCs/>
          <w:color w:val="1E2B20"/>
          <w:spacing w:val="14"/>
          <w:sz w:val="15"/>
          <w:szCs w:val="15"/>
        </w:rPr>
        <w:t>PROPRIETÀPrivata – A Conduzione Familiare</w:t>
      </w:r>
    </w:p>
    <w:p w:rsidR="00233B89" w:rsidRDefault="009F510C">
      <w:pPr>
        <w:keepNext/>
        <w:keepLines/>
        <w:spacing w:after="210"/>
      </w:pPr>
      <w:r>
        <w:rPr>
          <w:rFonts w:ascii="Avenir" w:eastAsia="Avenir" w:hAnsi="Avenir" w:cs="Avenir"/>
          <w:b/>
          <w:bCs/>
          <w:color w:val="1E2B20"/>
          <w:spacing w:val="14"/>
          <w:sz w:val="15"/>
          <w:szCs w:val="15"/>
        </w:rPr>
        <w:t>DIMENSIONE APPROSSIMATIVASocietà di ingegneria specializzata.</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Technoforest unisce competenza ecologica pratica a un'esperienza di lungo periodo nella gestione del territorio. Il loro know-how sostiene i principi rigenerativi del Framework, fornendo al contempo metodologie pratiche per il ripristino del territorio e la resilienza ambientale.</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Progettazione hugelkultur</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Realizzazione hugelkultur</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Rigenerazione del territorio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Gestione della vegetazione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Metodologia di ripristino ecologico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Trasferimento di know-how tecnico</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Technoforest fornisce la competenza necessaria per realizzare sistemi territoriali rigenerativi, prima che il know-how venga progressivamente trasferito ai team locali di implementazione.</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08</w:t>
      </w:r>
    </w:p>
    <w:p w:rsidR="00233B89" w:rsidRDefault="009F510C">
      <w:pPr>
        <w:keepNext/>
        <w:spacing w:after="220"/>
      </w:pPr>
      <w:r>
        <w:rPr>
          <w:rFonts w:ascii="Cormorant Garamond" w:eastAsia="Cormorant Garamond" w:hAnsi="Cormorant Garamond" w:cs="Cormorant Garamond"/>
          <w:color w:val="262624"/>
          <w:spacing w:val="4"/>
          <w:sz w:val="34"/>
          <w:szCs w:val="34"/>
        </w:rPr>
        <w:t>Energia Rinnovabile e Alimentazione Off-Grid</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Victron Energy</w:t>
      </w:r>
    </w:p>
    <w:p w:rsidR="00233B89" w:rsidRDefault="009F510C">
      <w:pPr>
        <w:keepNext/>
        <w:keepLines/>
        <w:spacing w:after="145"/>
      </w:pPr>
      <w:r>
        <w:rPr>
          <w:rFonts w:ascii="Avenir" w:eastAsia="Avenir" w:hAnsi="Avenir" w:cs="Avenir"/>
          <w:b/>
          <w:bCs/>
          <w:color w:val="1E2B20"/>
          <w:spacing w:val="14"/>
          <w:sz w:val="15"/>
          <w:szCs w:val="15"/>
        </w:rPr>
        <w:t>SEDEAlmere, Paesi Bassi</w:t>
      </w:r>
    </w:p>
    <w:p w:rsidR="00233B89" w:rsidRDefault="009F510C">
      <w:pPr>
        <w:keepNext/>
        <w:keepLines/>
        <w:spacing w:after="145"/>
      </w:pPr>
      <w:r>
        <w:rPr>
          <w:rFonts w:ascii="Avenir" w:eastAsia="Avenir" w:hAnsi="Avenir" w:cs="Avenir"/>
          <w:b/>
          <w:bCs/>
          <w:color w:val="1E2B20"/>
          <w:spacing w:val="14"/>
          <w:sz w:val="15"/>
          <w:szCs w:val="15"/>
        </w:rPr>
        <w:t>PROPRIETÀPrivata</w:t>
      </w:r>
    </w:p>
    <w:p w:rsidR="00233B89" w:rsidRDefault="009F510C">
      <w:pPr>
        <w:keepNext/>
        <w:keepLines/>
        <w:spacing w:after="210"/>
      </w:pPr>
      <w:r>
        <w:rPr>
          <w:rFonts w:ascii="Avenir" w:eastAsia="Avenir" w:hAnsi="Avenir" w:cs="Avenir"/>
          <w:b/>
          <w:bCs/>
          <w:color w:val="1E2B20"/>
          <w:spacing w:val="14"/>
          <w:sz w:val="15"/>
          <w:szCs w:val="15"/>
        </w:rPr>
        <w:t>DIMENSIONE APPROSSIMATIVAAzienda di ingegneria internazionale.</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Victron Energy è riconosciuta a livello internazionale per sistemi energetici off-grid affidabili, operativi in condizioni ambientali difficili. I loro prodotti forniscono l'infrastruttura energetica resiliente necessaria a sostenere installazioni autonome in tutto il Framework.</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Integrazione solare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Accumulo a batteria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Sistemi di alimentazione remota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Resilienza energetica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Infrastrutture off-grid</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Victron Energy consente al Framework di operare in autonomia dalle infrastrutture convenzionali ove necessario.</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09</w:t>
      </w:r>
    </w:p>
    <w:p w:rsidR="00233B89" w:rsidRDefault="009F510C">
      <w:pPr>
        <w:keepNext/>
        <w:spacing w:after="220"/>
      </w:pPr>
      <w:r>
        <w:rPr>
          <w:rFonts w:ascii="Cormorant Garamond" w:eastAsia="Cormorant Garamond" w:hAnsi="Cormorant Garamond" w:cs="Cormorant Garamond"/>
          <w:color w:val="262624"/>
          <w:spacing w:val="4"/>
          <w:sz w:val="34"/>
          <w:szCs w:val="34"/>
        </w:rPr>
        <w:t>Sistemi Idrici e Infrastrutture di Pompaggio</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Xylem</w:t>
      </w:r>
    </w:p>
    <w:p w:rsidR="00233B89" w:rsidRDefault="009F510C">
      <w:pPr>
        <w:keepNext/>
        <w:keepLines/>
        <w:spacing w:after="145"/>
      </w:pPr>
      <w:r>
        <w:rPr>
          <w:rFonts w:ascii="Avenir" w:eastAsia="Avenir" w:hAnsi="Avenir" w:cs="Avenir"/>
          <w:b/>
          <w:bCs/>
          <w:color w:val="1E2B20"/>
          <w:spacing w:val="14"/>
          <w:sz w:val="15"/>
          <w:szCs w:val="15"/>
        </w:rPr>
        <w:t>SEDEOperazioni Europee</w:t>
      </w:r>
    </w:p>
    <w:p w:rsidR="00233B89" w:rsidRDefault="009F510C">
      <w:pPr>
        <w:keepNext/>
        <w:keepLines/>
        <w:spacing w:after="145"/>
      </w:pPr>
      <w:r>
        <w:rPr>
          <w:rFonts w:ascii="Avenir" w:eastAsia="Avenir" w:hAnsi="Avenir" w:cs="Avenir"/>
          <w:b/>
          <w:bCs/>
          <w:color w:val="1E2B20"/>
          <w:spacing w:val="14"/>
          <w:sz w:val="15"/>
          <w:szCs w:val="15"/>
        </w:rPr>
        <w:t>PROPRIETÀQuotata in borsa</w:t>
      </w:r>
    </w:p>
    <w:p w:rsidR="00233B89" w:rsidRDefault="009F510C">
      <w:pPr>
        <w:keepNext/>
        <w:keepLines/>
        <w:spacing w:after="210"/>
      </w:pPr>
      <w:r>
        <w:rPr>
          <w:rFonts w:ascii="Avenir" w:eastAsia="Avenir" w:hAnsi="Avenir" w:cs="Avenir"/>
          <w:b/>
          <w:bCs/>
          <w:color w:val="1E2B20"/>
          <w:spacing w:val="14"/>
          <w:sz w:val="15"/>
          <w:szCs w:val="15"/>
        </w:rPr>
        <w:t>DIMENSIONE APPROSSIMATIVAOrganizzazione di ingegneria globale.</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Sebbene quotata in borsa, Xylem rimane una delle principali aziende di ingegneria a livello mondiale specializzate nella gestione delle risorse idriche. La loro competenza fornisce la capacità necessaria a sviluppare infrastrutture idriche resilienti, a supporto sia della prevenzione degli incendi sia della risposta operativa.</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Accumulo idrico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Sistemi di pompaggio</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Infrastrutture idriche remote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Ingegneria idrica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Gestione dei fluidi</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Xylem fornisce la capacità di gestione idrica che sostiene la resilienza di lungo periodo in tutto il Framework.</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10</w:t>
      </w:r>
    </w:p>
    <w:p w:rsidR="00233B89" w:rsidRDefault="009F510C">
      <w:pPr>
        <w:keepNext/>
        <w:spacing w:after="220"/>
      </w:pPr>
      <w:r>
        <w:rPr>
          <w:rFonts w:ascii="Cormorant Garamond" w:eastAsia="Cormorant Garamond" w:hAnsi="Cormorant Garamond" w:cs="Cormorant Garamond"/>
          <w:color w:val="262624"/>
          <w:spacing w:val="4"/>
          <w:sz w:val="34"/>
          <w:szCs w:val="34"/>
        </w:rPr>
        <w:t>Materiali da Costruzione Naturali</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CELENIT S.p.A.</w:t>
      </w:r>
    </w:p>
    <w:p w:rsidR="00233B89" w:rsidRDefault="009F510C">
      <w:pPr>
        <w:keepNext/>
        <w:keepLines/>
        <w:spacing w:after="145"/>
      </w:pPr>
      <w:r>
        <w:rPr>
          <w:rFonts w:ascii="Avenir" w:eastAsia="Avenir" w:hAnsi="Avenir" w:cs="Avenir"/>
          <w:b/>
          <w:bCs/>
          <w:color w:val="1E2B20"/>
          <w:spacing w:val="14"/>
          <w:sz w:val="15"/>
          <w:szCs w:val="15"/>
        </w:rPr>
        <w:t>SEDETombolo (Padova), Italia</w:t>
      </w:r>
    </w:p>
    <w:p w:rsidR="00233B89" w:rsidRDefault="009F510C">
      <w:pPr>
        <w:keepNext/>
        <w:keepLines/>
        <w:spacing w:after="145"/>
      </w:pPr>
      <w:r>
        <w:rPr>
          <w:rFonts w:ascii="Avenir" w:eastAsia="Avenir" w:hAnsi="Avenir" w:cs="Avenir"/>
          <w:b/>
          <w:bCs/>
          <w:color w:val="1E2B20"/>
          <w:spacing w:val="14"/>
          <w:sz w:val="15"/>
          <w:szCs w:val="15"/>
        </w:rPr>
        <w:t>PROPRIETÀPrivata</w:t>
      </w:r>
    </w:p>
    <w:p w:rsidR="00233B89" w:rsidRDefault="009F510C">
      <w:pPr>
        <w:keepNext/>
        <w:keepLines/>
        <w:spacing w:after="210"/>
      </w:pPr>
      <w:r>
        <w:rPr>
          <w:rFonts w:ascii="Avenir" w:eastAsia="Avenir" w:hAnsi="Avenir" w:cs="Avenir"/>
          <w:b/>
          <w:bCs/>
          <w:color w:val="1E2B20"/>
          <w:spacing w:val="14"/>
          <w:sz w:val="15"/>
          <w:szCs w:val="15"/>
        </w:rPr>
        <w:t>DIMENSIONE APPROSSIMATIVAProduttore internazionale consolidato.</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CELENIT è un produttore italiano di lunga tradizione, specializzato in materiali da costruzione sostenibili e sistemi di isolamento ecologico. La loro capacità industriale, la qualità produttiva e l'impegno per un'edilizia responsabile dal punto di vista ambientale li rendono uno Strategic Partner ideale.</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Materiali da costruzione naturali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Sistemi di isolamento sostenibile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Prodotti edili ecologici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Produzione industriale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Supporto all'edilizia sostenibile</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CELENIT fornisce i materiali da costruzione sostenibili necessari a garantire che il Framework rimanga responsabile dal punto di vista ambientale lungo tutto il suo sviluppo fisico.</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11</w:t>
      </w:r>
    </w:p>
    <w:p w:rsidR="00233B89" w:rsidRDefault="009F510C">
      <w:pPr>
        <w:keepNext/>
        <w:spacing w:after="220"/>
      </w:pPr>
      <w:r>
        <w:rPr>
          <w:rFonts w:ascii="Cormorant Garamond" w:eastAsia="Cormorant Garamond" w:hAnsi="Cormorant Garamond" w:cs="Cormorant Garamond"/>
          <w:color w:val="262624"/>
          <w:spacing w:val="4"/>
          <w:sz w:val="34"/>
          <w:szCs w:val="34"/>
        </w:rPr>
        <w:t>Piattaforma di Comando e Controllo</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Hexagon Safety, Infrastructure &amp; Geospatial</w:t>
      </w:r>
    </w:p>
    <w:p w:rsidR="00233B89" w:rsidRDefault="009F510C">
      <w:pPr>
        <w:keepNext/>
        <w:keepLines/>
        <w:spacing w:after="145"/>
      </w:pPr>
      <w:r>
        <w:rPr>
          <w:rFonts w:ascii="Avenir" w:eastAsia="Avenir" w:hAnsi="Avenir" w:cs="Avenir"/>
          <w:b/>
          <w:bCs/>
          <w:color w:val="1E2B20"/>
          <w:spacing w:val="14"/>
          <w:sz w:val="15"/>
          <w:szCs w:val="15"/>
        </w:rPr>
        <w:t>SEDEOperazioni Europee</w:t>
      </w:r>
    </w:p>
    <w:p w:rsidR="00233B89" w:rsidRDefault="009F510C">
      <w:pPr>
        <w:keepNext/>
        <w:keepLines/>
        <w:spacing w:after="145"/>
      </w:pPr>
      <w:r>
        <w:rPr>
          <w:rFonts w:ascii="Avenir" w:eastAsia="Avenir" w:hAnsi="Avenir" w:cs="Avenir"/>
          <w:b/>
          <w:bCs/>
          <w:color w:val="1E2B20"/>
          <w:spacing w:val="14"/>
          <w:sz w:val="15"/>
          <w:szCs w:val="15"/>
        </w:rPr>
        <w:t>PROPRIETÀQuotata in borsa</w:t>
      </w:r>
    </w:p>
    <w:p w:rsidR="00233B89" w:rsidRDefault="009F510C">
      <w:pPr>
        <w:keepNext/>
        <w:keepLines/>
        <w:spacing w:after="210"/>
      </w:pPr>
      <w:r>
        <w:rPr>
          <w:rFonts w:ascii="Avenir" w:eastAsia="Avenir" w:hAnsi="Avenir" w:cs="Avenir"/>
          <w:b/>
          <w:bCs/>
          <w:color w:val="1E2B20"/>
          <w:spacing w:val="14"/>
          <w:sz w:val="15"/>
          <w:szCs w:val="15"/>
        </w:rPr>
        <w:t>DIMENSIONE APPROSSIMATIVAGruppo tecnologico internazionale.</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Hexagon sviluppa piattaforme di comando, controllo e gestione operativa riconosciute a livello internazionale, utilizzate nelle infrastrutture critiche e negli scenari di risposta alle emergenze. La loro tecnologia ha il potenziale per diventare il backbone operativo digitale del Framework.</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Gestione degli incidenti</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Dashboard operativa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Coordinamento delle risorse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Gestione della flotta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Supporto decisionale</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Hexagon consente al Framework di coordinare persone, infrastrutture e risorse operative attraverso un'unica piattaforma di gestione integrata.</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12</w:t>
      </w:r>
    </w:p>
    <w:p w:rsidR="00233B89" w:rsidRDefault="009F510C">
      <w:pPr>
        <w:keepNext/>
        <w:spacing w:after="220"/>
      </w:pPr>
      <w:r>
        <w:rPr>
          <w:rFonts w:ascii="Cormorant Garamond" w:eastAsia="Cormorant Garamond" w:hAnsi="Cormorant Garamond" w:cs="Cormorant Garamond"/>
          <w:color w:val="262624"/>
          <w:spacing w:val="4"/>
          <w:sz w:val="34"/>
          <w:szCs w:val="34"/>
        </w:rPr>
        <w:t>GIS e Mappatura Ambientale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Esri Italia</w:t>
      </w:r>
    </w:p>
    <w:p w:rsidR="00233B89" w:rsidRDefault="009F510C">
      <w:pPr>
        <w:keepNext/>
        <w:keepLines/>
        <w:spacing w:after="145"/>
      </w:pPr>
      <w:r>
        <w:rPr>
          <w:rFonts w:ascii="Avenir" w:eastAsia="Avenir" w:hAnsi="Avenir" w:cs="Avenir"/>
          <w:b/>
          <w:bCs/>
          <w:color w:val="1E2B20"/>
          <w:spacing w:val="14"/>
          <w:sz w:val="15"/>
          <w:szCs w:val="15"/>
        </w:rPr>
        <w:t>SEDERoma, Italia</w:t>
      </w:r>
    </w:p>
    <w:p w:rsidR="00233B89" w:rsidRDefault="009F510C">
      <w:pPr>
        <w:keepNext/>
        <w:keepLines/>
        <w:spacing w:after="145"/>
      </w:pPr>
      <w:r>
        <w:rPr>
          <w:rFonts w:ascii="Avenir" w:eastAsia="Avenir" w:hAnsi="Avenir" w:cs="Avenir"/>
          <w:b/>
          <w:bCs/>
          <w:color w:val="1E2B20"/>
          <w:spacing w:val="14"/>
          <w:sz w:val="15"/>
          <w:szCs w:val="15"/>
        </w:rPr>
        <w:t>PROPRIETÀPrivata</w:t>
      </w:r>
    </w:p>
    <w:p w:rsidR="00233B89" w:rsidRDefault="009F510C">
      <w:pPr>
        <w:keepNext/>
        <w:keepLines/>
        <w:spacing w:after="210"/>
      </w:pPr>
      <w:r>
        <w:rPr>
          <w:rFonts w:ascii="Avenir" w:eastAsia="Avenir" w:hAnsi="Avenir" w:cs="Avenir"/>
          <w:b/>
          <w:bCs/>
          <w:color w:val="1E2B20"/>
          <w:spacing w:val="14"/>
          <w:sz w:val="15"/>
          <w:szCs w:val="15"/>
        </w:rPr>
        <w:t>DIMENSIONE APPROSSIMATIVAOrganizzazione leader nel settore GIS.</w:t>
      </w:r>
    </w:p>
    <w:p w:rsidR="00233B89" w:rsidRDefault="009F510C">
      <w:pPr>
        <w:keepNext/>
        <w:spacing w:after="40"/>
      </w:pPr>
      <w:r>
        <w:rPr>
          <w:rFonts w:ascii="Avenir" w:eastAsia="Avenir" w:hAnsi="Avenir" w:cs="Avenir"/>
          <w:b/>
          <w:bCs/>
          <w:color w:val="1E2B20"/>
          <w:spacing w:val="14"/>
          <w:sz w:val="15"/>
          <w:szCs w:val="15"/>
        </w:rPr>
        <w:t>PERCHÉ SELEZIONATA</w:t>
      </w:r>
    </w:p>
    <w:p w:rsidR="00233B89" w:rsidRDefault="009F510C">
      <w:pPr>
        <w:keepNext/>
        <w:spacing w:after="240" w:line="370" w:lineRule="auto"/>
        <w:jc w:val="both"/>
      </w:pPr>
      <w:r>
        <w:rPr>
          <w:rFonts w:ascii="Avenir" w:eastAsia="Avenir" w:hAnsi="Avenir" w:cs="Avenir"/>
          <w:color w:val="262624"/>
          <w:sz w:val="22"/>
          <w:szCs w:val="22"/>
        </w:rPr>
        <w:t>Esri Italia fornisce tecnologia di sistemi informativi geografici (GIS) leader a livello mondiale. La mappatura interattiva diventerà centrale per la pianificazione operativa, il monitoraggio degli incendi, l'analisi ambientale e la misurazione di lungo periodo della rigenerazione in tutto il Framework.</w:t>
      </w:r>
    </w:p>
    <w:p w:rsidR="00233B89" w:rsidRDefault="009F510C">
      <w:pPr>
        <w:keepNext/>
        <w:spacing w:after="100"/>
      </w:pPr>
      <w:r>
        <w:rPr>
          <w:rFonts w:ascii="Avenir" w:eastAsia="Avenir" w:hAnsi="Avenir" w:cs="Avenir"/>
          <w:b/>
          <w:bCs/>
          <w:color w:val="1E2B20"/>
          <w:spacing w:val="14"/>
          <w:sz w:val="15"/>
          <w:szCs w:val="15"/>
        </w:rPr>
        <w:t>COMPETENZE NEL FRAMEWORK</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GIS</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Mappatura interattiva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Pianificazione operativa</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Visualizzazione ambientale</w:t>
      </w:r>
    </w:p>
    <w:p w:rsidR="00233B89" w:rsidRDefault="009F510C">
      <w:pPr>
        <w:pStyle w:val="ListParagraph"/>
        <w:keepNext/>
        <w:numPr>
          <w:ilvl w:val="0"/>
          <w:numId w:val="2"/>
        </w:numPr>
        <w:spacing w:after="100" w:line="300" w:lineRule="auto"/>
      </w:pPr>
      <w:r>
        <w:rPr>
          <w:rFonts w:ascii="Avenir" w:eastAsia="Avenir" w:hAnsi="Avenir" w:cs="Avenir"/>
          <w:color w:val="262624"/>
          <w:sz w:val="22"/>
          <w:szCs w:val="22"/>
        </w:rPr>
        <w:t>Monitoraggio della rigenerazione</w:t>
      </w:r>
    </w:p>
    <w:p w:rsidR="00233B89" w:rsidRDefault="00233B89">
      <w:pPr>
        <w:pBdr>
          <w:bottom w:val="single" w:sz="2" w:space="1" w:color="A8A296"/>
        </w:pBdr>
        <w:spacing w:before="320" w:after="220"/>
      </w:pPr>
    </w:p>
    <w:p w:rsidR="00233B89" w:rsidRDefault="009F510C">
      <w:pPr>
        <w:keepNext/>
        <w:spacing w:after="110"/>
        <w:ind w:left="220"/>
      </w:pPr>
      <w:r>
        <w:rPr>
          <w:rFonts w:ascii="Cormorant Garamond" w:eastAsia="Cormorant Garamond" w:hAnsi="Cormorant Garamond" w:cs="Cormorant Garamond"/>
          <w:i/>
          <w:iCs/>
          <w:color w:val="1E2B20"/>
          <w:sz w:val="22"/>
          <w:szCs w:val="22"/>
        </w:rPr>
        <w:t>Contributo Strategico</w:t>
      </w:r>
    </w:p>
    <w:p w:rsidR="00233B89" w:rsidRDefault="009F510C">
      <w:pPr>
        <w:spacing w:line="370" w:lineRule="auto"/>
        <w:ind w:left="220"/>
        <w:jc w:val="both"/>
      </w:pPr>
      <w:r>
        <w:rPr>
          <w:rFonts w:ascii="Avenir" w:eastAsia="Avenir" w:hAnsi="Avenir" w:cs="Avenir"/>
          <w:color w:val="262624"/>
          <w:sz w:val="22"/>
          <w:szCs w:val="22"/>
        </w:rPr>
        <w:t>Esri consente al Framework di visualizzare, analizzare e comunicare informazioni ambientali attraverso un'unica piattaforma di mappatura intelligente.</w:t>
      </w:r>
    </w:p>
    <w:p w:rsidR="00233B89" w:rsidRDefault="00233B89">
      <w:pPr>
        <w:pBdr>
          <w:bottom w:val="single" w:sz="3" w:space="1" w:color="A8A296"/>
        </w:pBdr>
        <w:spacing w:before="360"/>
      </w:pPr>
    </w:p>
    <w:p w:rsidR="00233B89" w:rsidRDefault="00233B89">
      <w:pPr>
        <w:spacing w:after="520"/>
      </w:pPr>
    </w:p>
    <w:p w:rsidR="00233B89" w:rsidRDefault="009F510C">
      <w:pPr>
        <w:keepNext/>
        <w:spacing w:after="300"/>
      </w:pPr>
      <w:r>
        <w:rPr>
          <w:rFonts w:ascii="Avenir" w:eastAsia="Avenir" w:hAnsi="Avenir" w:cs="Avenir"/>
          <w:b/>
          <w:bCs/>
          <w:color w:val="1E2B20"/>
          <w:spacing w:val="16"/>
          <w:sz w:val="17"/>
          <w:szCs w:val="17"/>
        </w:rPr>
        <w:t>CONCLUSIONE</w:t>
      </w:r>
    </w:p>
    <w:p w:rsidR="00233B89" w:rsidRDefault="009F510C">
      <w:pPr>
        <w:spacing w:after="220" w:line="380" w:lineRule="auto"/>
        <w:jc w:val="both"/>
      </w:pPr>
      <w:r>
        <w:rPr>
          <w:rFonts w:ascii="Avenir" w:eastAsia="Avenir" w:hAnsi="Avenir" w:cs="Avenir"/>
          <w:color w:val="262624"/>
          <w:sz w:val="24"/>
          <w:szCs w:val="24"/>
        </w:rPr>
        <w:t>Collettivamente, questi Strategic Partner forniscono le competenze principali necessarie a realizzare il primo dispiegamento operativo del Framework.</w:t>
      </w:r>
    </w:p>
    <w:p w:rsidR="00233B89" w:rsidRDefault="009F510C">
      <w:pPr>
        <w:spacing w:after="220" w:line="380" w:lineRule="auto"/>
        <w:jc w:val="both"/>
      </w:pPr>
      <w:r>
        <w:rPr>
          <w:rFonts w:ascii="Avenir" w:eastAsia="Avenir" w:hAnsi="Avenir" w:cs="Avenir"/>
          <w:color w:val="262624"/>
          <w:sz w:val="24"/>
          <w:szCs w:val="24"/>
        </w:rPr>
        <w:t>Anziché operare come fornitori indipendenti, ciascuna organizzazione contribuisce con una competenza specialistica che rafforza un sistema operativo integrato.</w:t>
      </w:r>
    </w:p>
    <w:p w:rsidR="00233B89" w:rsidRDefault="009F510C">
      <w:pPr>
        <w:spacing w:after="220" w:line="380" w:lineRule="auto"/>
        <w:jc w:val="both"/>
      </w:pPr>
      <w:r>
        <w:rPr>
          <w:rFonts w:ascii="Avenir" w:eastAsia="Avenir" w:hAnsi="Avenir" w:cs="Avenir"/>
          <w:color w:val="262624"/>
          <w:sz w:val="24"/>
          <w:szCs w:val="24"/>
        </w:rPr>
        <w:t>Insieme forniscono l'ingegneria, la tecnologia, la competenza ambientale, le infrastrutture, le comunicazioni e la capacità operativa necessarie a trasformare il Framework da concetto a implementazione.</w:t>
      </w:r>
    </w:p>
    <w:p w:rsidR="00233B89" w:rsidRDefault="009F510C">
      <w:pPr>
        <w:spacing w:after="380" w:line="380" w:lineRule="auto"/>
        <w:jc w:val="both"/>
      </w:pPr>
      <w:r>
        <w:rPr>
          <w:rFonts w:ascii="Avenir" w:eastAsia="Avenir" w:hAnsi="Avenir" w:cs="Avenir"/>
          <w:color w:val="262624"/>
          <w:sz w:val="24"/>
          <w:szCs w:val="24"/>
        </w:rPr>
        <w:t>Il Framework non è quindi definito da una singola organizzazione, ma dalla forza delle competenze che esse contribuiscono collettivamente.</w:t>
      </w:r>
    </w:p>
    <w:p w:rsidR="00233B89" w:rsidRDefault="00233B89">
      <w:pPr>
        <w:pBdr>
          <w:bottom w:val="single" w:sz="3" w:space="1" w:color="A8A296"/>
        </w:pBdr>
      </w:pPr>
    </w:p>
    <w:sectPr w:rsidR="00233B89">
      <w:headerReference w:type="even" r:id="rId7"/>
      <w:headerReference w:type="default" r:id="rId8"/>
      <w:footerReference w:type="even" r:id="rId9"/>
      <w:footerReference w:type="default" r:id="rId10"/>
      <w:headerReference w:type="first" r:id="rId11"/>
      <w:footerReference w:type="first" r:id="rId12"/>
      <w:pgSz w:w="11906" w:h="16838"/>
      <w:pgMar w:top="1872" w:right="1872" w:bottom="1872" w:left="187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0FB8" w:rsidRDefault="00450FB8">
      <w:r>
        <w:separator/>
      </w:r>
    </w:p>
  </w:endnote>
  <w:endnote w:type="continuationSeparator" w:id="0">
    <w:p w:rsidR="00450FB8" w:rsidRDefault="00450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veni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0FB8" w:rsidRDefault="00450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3B89" w:rsidRDefault="00450FB8">
    <w:pPr>
      <w:jc w:val="center"/>
    </w:pPr>
    <w:r>
      <w:rPr>
        <w:rFonts w:ascii="Avenir" w:eastAsia="Avenir" w:hAnsi="Avenir" w:cs="Avenir"/>
        <w:color w:val="A8A296"/>
        <w:spacing w:val="10"/>
        <w:sz w:val="14"/>
        <w:szCs w:val="14"/>
      </w:rPr>
      <w:t xml:space="preserve">FRAMEWORK CAPABILITY REGISTER   ·   </w:t>
    </w:r>
    <w:r>
      <w:rPr>
        <w:rFonts w:ascii="Avenir" w:eastAsia="Avenir" w:hAnsi="Avenir" w:cs="Avenir"/>
        <w:color w:val="A8A296"/>
        <w:sz w:val="14"/>
        <w:szCs w:val="14"/>
      </w:rPr>
      <w:fldChar w:fldCharType="begin"/>
    </w:r>
    <w:r>
      <w:rPr>
        <w:rFonts w:ascii="Avenir" w:eastAsia="Avenir" w:hAnsi="Avenir" w:cs="Avenir"/>
        <w:color w:val="A8A296"/>
        <w:sz w:val="14"/>
        <w:szCs w:val="14"/>
      </w:rPr>
      <w:instrText>PAGE</w:instrText>
    </w:r>
    <w:r>
      <w:rPr>
        <w:rFonts w:ascii="Avenir" w:eastAsia="Avenir" w:hAnsi="Avenir" w:cs="Avenir"/>
        <w:color w:val="A8A296"/>
        <w:sz w:val="14"/>
        <w:szCs w:val="14"/>
      </w:rPr>
      <w:fldChar w:fldCharType="separate"/>
    </w:r>
    <w:r>
      <w:rPr>
        <w:rFonts w:ascii="Avenir" w:eastAsia="Avenir" w:hAnsi="Avenir" w:cs="Avenir"/>
        <w:noProof/>
        <w:color w:val="A8A296"/>
        <w:sz w:val="14"/>
        <w:szCs w:val="14"/>
      </w:rPr>
      <w:t>1</w:t>
    </w:r>
    <w:r>
      <w:rPr>
        <w:rFonts w:ascii="Avenir" w:eastAsia="Avenir" w:hAnsi="Avenir" w:cs="Avenir"/>
        <w:color w:val="A8A296"/>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0FB8" w:rsidRDefault="00450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0FB8" w:rsidRDefault="00450FB8">
      <w:r>
        <w:separator/>
      </w:r>
    </w:p>
  </w:footnote>
  <w:footnote w:type="continuationSeparator" w:id="0">
    <w:p w:rsidR="00450FB8" w:rsidRDefault="00450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0FB8" w:rsidRDefault="00450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0FB8" w:rsidRDefault="00450F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0FB8" w:rsidRDefault="00450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A6EB9"/>
    <w:multiLevelType w:val="hybridMultilevel"/>
    <w:tmpl w:val="FFFFFFFF"/>
    <w:lvl w:ilvl="0" w:tplc="E3C0F64E">
      <w:start w:val="1"/>
      <w:numFmt w:val="bullet"/>
      <w:lvlText w:val="●"/>
      <w:lvlJc w:val="left"/>
      <w:pPr>
        <w:ind w:left="720" w:hanging="360"/>
      </w:pPr>
    </w:lvl>
    <w:lvl w:ilvl="1" w:tplc="99B418B6">
      <w:start w:val="1"/>
      <w:numFmt w:val="bullet"/>
      <w:lvlText w:val="○"/>
      <w:lvlJc w:val="left"/>
      <w:pPr>
        <w:ind w:left="1440" w:hanging="360"/>
      </w:pPr>
    </w:lvl>
    <w:lvl w:ilvl="2" w:tplc="6A5A8E36">
      <w:start w:val="1"/>
      <w:numFmt w:val="bullet"/>
      <w:lvlText w:val="■"/>
      <w:lvlJc w:val="left"/>
      <w:pPr>
        <w:ind w:left="2160" w:hanging="360"/>
      </w:pPr>
    </w:lvl>
    <w:lvl w:ilvl="3" w:tplc="21762B6C">
      <w:start w:val="1"/>
      <w:numFmt w:val="bullet"/>
      <w:lvlText w:val="●"/>
      <w:lvlJc w:val="left"/>
      <w:pPr>
        <w:ind w:left="2880" w:hanging="360"/>
      </w:pPr>
    </w:lvl>
    <w:lvl w:ilvl="4" w:tplc="4148E4E4">
      <w:start w:val="1"/>
      <w:numFmt w:val="bullet"/>
      <w:lvlText w:val="○"/>
      <w:lvlJc w:val="left"/>
      <w:pPr>
        <w:ind w:left="3600" w:hanging="360"/>
      </w:pPr>
    </w:lvl>
    <w:lvl w:ilvl="5" w:tplc="B2807900">
      <w:start w:val="1"/>
      <w:numFmt w:val="bullet"/>
      <w:lvlText w:val="■"/>
      <w:lvlJc w:val="left"/>
      <w:pPr>
        <w:ind w:left="4320" w:hanging="360"/>
      </w:pPr>
    </w:lvl>
    <w:lvl w:ilvl="6" w:tplc="84FA01A6">
      <w:start w:val="1"/>
      <w:numFmt w:val="bullet"/>
      <w:lvlText w:val="●"/>
      <w:lvlJc w:val="left"/>
      <w:pPr>
        <w:ind w:left="5040" w:hanging="360"/>
      </w:pPr>
    </w:lvl>
    <w:lvl w:ilvl="7" w:tplc="83A61C9A">
      <w:start w:val="1"/>
      <w:numFmt w:val="bullet"/>
      <w:lvlText w:val="●"/>
      <w:lvlJc w:val="left"/>
      <w:pPr>
        <w:ind w:left="5760" w:hanging="360"/>
      </w:pPr>
    </w:lvl>
    <w:lvl w:ilvl="8" w:tplc="80F485B8">
      <w:start w:val="1"/>
      <w:numFmt w:val="bullet"/>
      <w:lvlText w:val="●"/>
      <w:lvlJc w:val="left"/>
      <w:pPr>
        <w:ind w:left="6480" w:hanging="360"/>
      </w:pPr>
    </w:lvl>
  </w:abstractNum>
  <w:abstractNum w:abstractNumId="1" w15:restartNumberingAfterBreak="0">
    <w:nsid w:val="5D1F3F23"/>
    <w:multiLevelType w:val="hybridMultilevel"/>
    <w:tmpl w:val="FFFFFFFF"/>
    <w:lvl w:ilvl="0" w:tplc="EA8E028C">
      <w:start w:val="1"/>
      <w:numFmt w:val="bullet"/>
      <w:lvlText w:val="–"/>
      <w:lvlJc w:val="left"/>
      <w:pPr>
        <w:ind w:left="420" w:hanging="260"/>
      </w:pPr>
      <w:rPr>
        <w:rFonts w:ascii="Avenir" w:eastAsia="Avenir" w:hAnsi="Avenir" w:cs="Avenir"/>
        <w:color w:val="A8A296"/>
      </w:rPr>
    </w:lvl>
    <w:lvl w:ilvl="1" w:tplc="3372F3F0">
      <w:numFmt w:val="decimal"/>
      <w:lvlText w:val=""/>
      <w:lvlJc w:val="left"/>
    </w:lvl>
    <w:lvl w:ilvl="2" w:tplc="C6DC9818">
      <w:numFmt w:val="decimal"/>
      <w:lvlText w:val=""/>
      <w:lvlJc w:val="left"/>
    </w:lvl>
    <w:lvl w:ilvl="3" w:tplc="473C2F66">
      <w:numFmt w:val="decimal"/>
      <w:lvlText w:val=""/>
      <w:lvlJc w:val="left"/>
    </w:lvl>
    <w:lvl w:ilvl="4" w:tplc="AA5AB534">
      <w:numFmt w:val="decimal"/>
      <w:lvlText w:val=""/>
      <w:lvlJc w:val="left"/>
    </w:lvl>
    <w:lvl w:ilvl="5" w:tplc="18CA8468">
      <w:numFmt w:val="decimal"/>
      <w:lvlText w:val=""/>
      <w:lvlJc w:val="left"/>
    </w:lvl>
    <w:lvl w:ilvl="6" w:tplc="1500DDE4">
      <w:numFmt w:val="decimal"/>
      <w:lvlText w:val=""/>
      <w:lvlJc w:val="left"/>
    </w:lvl>
    <w:lvl w:ilvl="7" w:tplc="25E8B308">
      <w:numFmt w:val="decimal"/>
      <w:lvlText w:val=""/>
      <w:lvlJc w:val="left"/>
    </w:lvl>
    <w:lvl w:ilvl="8" w:tplc="ADDE96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B89"/>
    <w:rsid w:val="00233B89"/>
    <w:rsid w:val="003D75A4"/>
    <w:rsid w:val="00450FB8"/>
    <w:rsid w:val="009F51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ABEC40B-8ABC-FC44-A85F-F629B9A1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0FB8"/>
    <w:pPr>
      <w:tabs>
        <w:tab w:val="center" w:pos="4680"/>
        <w:tab w:val="right" w:pos="9360"/>
      </w:tabs>
    </w:pPr>
  </w:style>
  <w:style w:type="character" w:customStyle="1" w:styleId="HeaderChar">
    <w:name w:val="Header Char"/>
    <w:basedOn w:val="DefaultParagraphFont"/>
    <w:link w:val="Header"/>
    <w:uiPriority w:val="99"/>
    <w:rsid w:val="00450FB8"/>
  </w:style>
  <w:style w:type="paragraph" w:styleId="Footer">
    <w:name w:val="footer"/>
    <w:basedOn w:val="Normal"/>
    <w:link w:val="FooterChar"/>
    <w:uiPriority w:val="99"/>
    <w:unhideWhenUsed/>
    <w:rsid w:val="00450FB8"/>
    <w:pPr>
      <w:tabs>
        <w:tab w:val="center" w:pos="4680"/>
        <w:tab w:val="right" w:pos="9360"/>
      </w:tabs>
    </w:pPr>
  </w:style>
  <w:style w:type="character" w:customStyle="1" w:styleId="FooterChar">
    <w:name w:val="Footer Char"/>
    <w:basedOn w:val="DefaultParagraphFont"/>
    <w:link w:val="Footer"/>
    <w:uiPriority w:val="99"/>
    <w:rsid w:val="00450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1774</Words>
  <Characters>10118</Characters>
  <Application>Microsoft Office Word</Application>
  <DocSecurity>0</DocSecurity>
  <Lines>84</Lines>
  <Paragraphs>23</Paragraphs>
  <ScaleCrop>false</ScaleCrop>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Utente</cp:lastModifiedBy>
  <cp:revision>3</cp:revision>
  <dcterms:created xsi:type="dcterms:W3CDTF">2026-07-15T13:16:00Z</dcterms:created>
  <dcterms:modified xsi:type="dcterms:W3CDTF">2026-07-16T11:08:00Z</dcterms:modified>
</cp:coreProperties>
</file>