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AF8F3"/>
  <w:body>
    <w:p w:rsidR="00233B89" w:rsidRDefault="00233B89">
      <w:pPr>
        <w:spacing w:after="500"/>
      </w:pPr>
    </w:p>
    <w:p w:rsidR="00233B89" w:rsidRDefault="00450FB8">
      <w:pPr>
        <w:spacing w:after="130"/>
      </w:pPr>
      <w:r>
        <w:rPr>
          <w:rFonts w:ascii="Cormorant Garamond" w:eastAsia="Cormorant Garamond" w:hAnsi="Cormorant Garamond" w:cs="Cormorant Garamond"/>
          <w:color w:val="262624"/>
          <w:sz w:val="52"/>
          <w:szCs w:val="52"/>
        </w:rPr>
        <w:t>Framework Capability Register</w:t>
      </w:r>
    </w:p>
    <w:p w:rsidR="00233B89" w:rsidRDefault="00450FB8">
      <w:pPr>
        <w:spacing w:after="70"/>
      </w:pPr>
      <w:r>
        <w:rPr>
          <w:rFonts w:ascii="Avenir" w:eastAsia="Avenir" w:hAnsi="Avenir" w:cs="Avenir"/>
          <w:color w:val="A8A296"/>
          <w:spacing w:val="10"/>
          <w:sz w:val="16"/>
          <w:szCs w:val="16"/>
        </w:rPr>
        <w:t>Version 1.0</w:t>
      </w:r>
    </w:p>
    <w:p w:rsidR="00233B89" w:rsidRDefault="00450FB8">
      <w:pPr>
        <w:spacing w:after="480"/>
      </w:pPr>
      <w:r>
        <w:rPr>
          <w:rFonts w:ascii="Avenir" w:eastAsia="Avenir" w:hAnsi="Avenir" w:cs="Avenir"/>
          <w:color w:val="1E2B20"/>
          <w:sz w:val="21"/>
          <w:szCs w:val="21"/>
        </w:rPr>
        <w:t>Strategic Partners Required for the Initial Deployment of the Framework</w:t>
      </w:r>
    </w:p>
    <w:p w:rsidR="00233B89" w:rsidRDefault="00450FB8">
      <w:pPr>
        <w:spacing w:after="210" w:line="380" w:lineRule="auto"/>
        <w:jc w:val="both"/>
      </w:pPr>
      <w:r>
        <w:rPr>
          <w:rFonts w:ascii="Avenir" w:eastAsia="Avenir" w:hAnsi="Avenir" w:cs="Avenir"/>
          <w:color w:val="262624"/>
          <w:sz w:val="24"/>
          <w:szCs w:val="24"/>
        </w:rPr>
        <w:t>Supporting the Framework requires more than financial sponsorship. It requires a carefully selected network of Strategic Partners capable of providing the specialist expertise, engineering, technology, products and operational capability needed to establish the first fully integrated deployment.</w:t>
      </w:r>
    </w:p>
    <w:p w:rsidR="00233B89" w:rsidRDefault="00450FB8">
      <w:pPr>
        <w:spacing w:after="210" w:line="380" w:lineRule="auto"/>
        <w:jc w:val="both"/>
      </w:pPr>
      <w:r>
        <w:rPr>
          <w:rFonts w:ascii="Avenir" w:eastAsia="Avenir" w:hAnsi="Avenir" w:cs="Avenir"/>
          <w:color w:val="262624"/>
          <w:sz w:val="24"/>
          <w:szCs w:val="24"/>
        </w:rPr>
        <w:t>No single organisation can deliver the Framework independently. However, collectively, the organisations identified within this register provide the core capabilities required to move from concept to implementation.</w:t>
      </w:r>
    </w:p>
    <w:p w:rsidR="00233B89" w:rsidRDefault="00450FB8">
      <w:pPr>
        <w:spacing w:after="210" w:line="380" w:lineRule="auto"/>
        <w:jc w:val="both"/>
      </w:pPr>
      <w:r>
        <w:rPr>
          <w:rFonts w:ascii="Avenir" w:eastAsia="Avenir" w:hAnsi="Avenir" w:cs="Avenir"/>
          <w:color w:val="262624"/>
          <w:sz w:val="24"/>
          <w:szCs w:val="24"/>
        </w:rPr>
        <w:t>Each organisation has been selected not only for its technical capability, but also for its long‑term vision, organisational values, engineering excellence and ability to contribute meaningfully to the Framework beyond conventional sponsorship.</w:t>
      </w:r>
    </w:p>
    <w:p w:rsidR="00233B89" w:rsidRDefault="00450FB8">
      <w:pPr>
        <w:spacing w:line="380" w:lineRule="auto"/>
        <w:jc w:val="both"/>
      </w:pPr>
      <w:r>
        <w:rPr>
          <w:rFonts w:ascii="Avenir" w:eastAsia="Avenir" w:hAnsi="Avenir" w:cs="Avenir"/>
          <w:color w:val="262624"/>
          <w:sz w:val="24"/>
          <w:szCs w:val="24"/>
        </w:rPr>
        <w:t>Together, these Strategic Partners represent the foundation upon which the first operational deployment can be delivered.</w:t>
      </w:r>
    </w:p>
    <w:p w:rsidR="00233B89" w:rsidRDefault="00233B89">
      <w:pPr>
        <w:pBdr>
          <w:bottom w:val="single" w:sz="3" w:space="1" w:color="A8A296"/>
        </w:pBdr>
        <w:spacing w:before="420" w:after="340"/>
      </w:pPr>
    </w:p>
    <w:p w:rsidR="00233B89" w:rsidRDefault="00450FB8">
      <w:pPr>
        <w:keepNext/>
        <w:spacing w:after="40"/>
      </w:pPr>
      <w:r>
        <w:rPr>
          <w:rFonts w:ascii="Avenir" w:eastAsia="Avenir" w:hAnsi="Avenir" w:cs="Avenir"/>
          <w:b/>
          <w:bCs/>
          <w:color w:val="1E2B20"/>
          <w:spacing w:val="16"/>
          <w:sz w:val="17"/>
          <w:szCs w:val="17"/>
        </w:rPr>
        <w:lastRenderedPageBreak/>
        <w:t>01</w:t>
      </w:r>
    </w:p>
    <w:p w:rsidR="00233B89" w:rsidRDefault="00450FB8">
      <w:pPr>
        <w:keepNext/>
        <w:spacing w:after="220"/>
      </w:pPr>
      <w:r>
        <w:rPr>
          <w:rFonts w:ascii="Cormorant Garamond" w:eastAsia="Cormorant Garamond" w:hAnsi="Cormorant Garamond" w:cs="Cormorant Garamond"/>
          <w:color w:val="262624"/>
          <w:spacing w:val="4"/>
          <w:sz w:val="34"/>
          <w:szCs w:val="34"/>
        </w:rPr>
        <w:t>Environmental Intelligence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CMCC Foundation</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Lecce, Puglia,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Foundation</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Approximately 700 staff.</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CMCC is internationally recognised for its expertise in climate science, wildfire modelling and environmental intelligence. Its presence in Lecce provides the Framework with immediate scientific credibility while maintaining a strong regional connection. Although not a commercial organisation, CMCC's contribution is considered fundamental to the Framework's scientific integrity.</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Climate modelling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Wildfire prediction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Environmental intelligence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Scientific validation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Data analysis</w:t>
      </w:r>
    </w:p>
    <w:p w:rsidR="00233B89" w:rsidRDefault="00450FB8">
      <w:pPr>
        <w:pStyle w:val="ListParagraph"/>
        <w:numPr>
          <w:ilvl w:val="0"/>
          <w:numId w:val="2"/>
        </w:numPr>
        <w:spacing w:after="100" w:line="300" w:lineRule="auto"/>
      </w:pPr>
      <w:r>
        <w:rPr>
          <w:rFonts w:ascii="Avenir" w:eastAsia="Avenir" w:hAnsi="Avenir" w:cs="Avenir"/>
          <w:color w:val="262624"/>
          <w:sz w:val="22"/>
          <w:szCs w:val="22"/>
        </w:rPr>
        <w:t>Long‑term environmental monitoring</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lastRenderedPageBreak/>
        <w:t>02</w:t>
      </w:r>
    </w:p>
    <w:p w:rsidR="00233B89" w:rsidRDefault="00450FB8">
      <w:pPr>
        <w:keepNext/>
        <w:spacing w:after="220"/>
      </w:pPr>
      <w:r>
        <w:rPr>
          <w:rFonts w:ascii="Cormorant Garamond" w:eastAsia="Cormorant Garamond" w:hAnsi="Cormorant Garamond" w:cs="Cormorant Garamond"/>
          <w:color w:val="262624"/>
          <w:spacing w:val="4"/>
          <w:sz w:val="34"/>
          <w:szCs w:val="34"/>
        </w:rPr>
        <w:t>Early Detection Systems</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Dryad Networks</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Berlin, Germany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Approximately 100 employees.</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Dryad Networks has developed one of the world's leading AI-powered early wildfire detection systems. Their technology aligns directly with the preventative philosophy of the Framework, enabling fires to be detected at their earliest possible stage before they develop into major incidents.</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AI wildfire detection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Autonomous sensor networks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Thermal detection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Environmental monitoring</w:t>
      </w:r>
    </w:p>
    <w:p w:rsidR="00233B89" w:rsidRDefault="00450FB8">
      <w:pPr>
        <w:pStyle w:val="ListParagraph"/>
        <w:numPr>
          <w:ilvl w:val="0"/>
          <w:numId w:val="2"/>
        </w:numPr>
        <w:spacing w:after="100" w:line="300" w:lineRule="auto"/>
      </w:pPr>
      <w:r>
        <w:rPr>
          <w:rFonts w:ascii="Avenir" w:eastAsia="Avenir" w:hAnsi="Avenir" w:cs="Avenir"/>
          <w:color w:val="262624"/>
          <w:sz w:val="22"/>
          <w:szCs w:val="22"/>
        </w:rPr>
        <w:t>Early warning systems</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03</w:t>
      </w:r>
    </w:p>
    <w:p w:rsidR="00233B89" w:rsidRDefault="00450FB8">
      <w:pPr>
        <w:keepNext/>
        <w:spacing w:after="220"/>
      </w:pPr>
      <w:r>
        <w:rPr>
          <w:rFonts w:ascii="Cormorant Garamond" w:eastAsia="Cormorant Garamond" w:hAnsi="Cormorant Garamond" w:cs="Cormorant Garamond"/>
          <w:color w:val="262624"/>
          <w:spacing w:val="4"/>
          <w:sz w:val="34"/>
          <w:szCs w:val="34"/>
        </w:rPr>
        <w:t>Wildfire Drone Systems</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Hightek</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Castel San Giorgio (Salerno),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Specialist engineering company.</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Hightek develops operational technology specifically for wildfire response rather than general drone applications. Their Q.Fly platform integrates thermal imaging, live </w:t>
      </w:r>
      <w:r>
        <w:rPr>
          <w:rFonts w:ascii="Avenir" w:eastAsia="Avenir" w:hAnsi="Avenir" w:cs="Avenir"/>
          <w:color w:val="262624"/>
          <w:sz w:val="22"/>
          <w:szCs w:val="22"/>
        </w:rPr>
        <w:lastRenderedPageBreak/>
        <w:t>operational mapping and wildfire intelligence, providing a highly adaptable aerial capability that can continue to evolve alongside the Framework.</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Wildfire drone technology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Thermal imaging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Live operational mapping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Fire intelligence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Aerial operational support</w:t>
      </w:r>
    </w:p>
    <w:p w:rsidR="00233B89" w:rsidRDefault="00450FB8">
      <w:pPr>
        <w:pStyle w:val="ListParagraph"/>
        <w:numPr>
          <w:ilvl w:val="0"/>
          <w:numId w:val="2"/>
        </w:numPr>
        <w:spacing w:after="100" w:line="300" w:lineRule="auto"/>
      </w:pPr>
      <w:r>
        <w:rPr>
          <w:rFonts w:ascii="Avenir" w:eastAsia="Avenir" w:hAnsi="Avenir" w:cs="Avenir"/>
          <w:color w:val="262624"/>
          <w:sz w:val="22"/>
          <w:szCs w:val="22"/>
        </w:rPr>
        <w:t>Future integration with additional aerial platforms</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04</w:t>
      </w:r>
    </w:p>
    <w:p w:rsidR="00233B89" w:rsidRDefault="00450FB8">
      <w:pPr>
        <w:keepNext/>
        <w:spacing w:after="220"/>
      </w:pPr>
      <w:r>
        <w:rPr>
          <w:rFonts w:ascii="Cormorant Garamond" w:eastAsia="Cormorant Garamond" w:hAnsi="Cormorant Garamond" w:cs="Cormorant Garamond"/>
          <w:color w:val="262624"/>
          <w:spacing w:val="4"/>
          <w:sz w:val="34"/>
          <w:szCs w:val="34"/>
        </w:rPr>
        <w:t>Observation Structures</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Rubner Group</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Chienes (Kiens), South Tyrol,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 – Family Owned</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Approximately 1,500 employees.</w:t>
      </w:r>
      <w:r>
        <w:br/>
      </w:r>
      <w:r>
        <w:rPr>
          <w:rFonts w:ascii="Avenir" w:eastAsia="Avenir" w:hAnsi="Avenir" w:cs="Avenir"/>
          <w:color w:val="262624"/>
          <w:sz w:val="22"/>
          <w:szCs w:val="22"/>
        </w:rPr>
        <w:t>Annual turnover approximately €417 million.</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Rubner represents one of the Framework's most significant Strategic Partners. Their expertise extends beyond timber construction to include architecture, structural engineering, manufacturing and turnkey construction. Their long‑term family </w:t>
      </w:r>
      <w:r>
        <w:rPr>
          <w:rFonts w:ascii="Avenir" w:eastAsia="Avenir" w:hAnsi="Avenir" w:cs="Avenir"/>
          <w:color w:val="262624"/>
          <w:sz w:val="22"/>
          <w:szCs w:val="22"/>
        </w:rPr>
        <w:lastRenderedPageBreak/>
        <w:t>ownership, engineering excellence and commitment to sustainable construction make them an outstanding cultural and technical fit.</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Observation tower design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Structural timber engineering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Sustainable construction systems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Prefabricated structures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Manufacturing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Architectural support</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Engineering expertise</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Rubner has the potential to become the Framework's Signature Infrastructure Partner, delivering the physical structures that become the visible identity of the project.</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05</w:t>
      </w:r>
    </w:p>
    <w:p w:rsidR="00233B89" w:rsidRDefault="00450FB8">
      <w:pPr>
        <w:keepNext/>
        <w:spacing w:after="220"/>
      </w:pPr>
      <w:r>
        <w:rPr>
          <w:rFonts w:ascii="Cormorant Garamond" w:eastAsia="Cormorant Garamond" w:hAnsi="Cormorant Garamond" w:cs="Cormorant Garamond"/>
          <w:color w:val="262624"/>
          <w:spacing w:val="4"/>
          <w:sz w:val="34"/>
          <w:szCs w:val="34"/>
        </w:rPr>
        <w:t>Structural Engineering &amp; Steel</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Marcegaglia</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Headquarters: Gazoldo degli Ippoliti (Mantua), Italy</w:t>
      </w:r>
      <w:r>
        <w:br/>
      </w:r>
      <w:r>
        <w:rPr>
          <w:rFonts w:ascii="Avenir" w:eastAsia="Avenir" w:hAnsi="Avenir" w:cs="Avenir"/>
          <w:color w:val="262624"/>
          <w:sz w:val="22"/>
          <w:szCs w:val="22"/>
        </w:rPr>
        <w:t>Major Operations: Taranto, Puglia</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 – Family Owned</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Approximately 7,800 employees.</w:t>
      </w:r>
      <w:r>
        <w:br/>
      </w:r>
      <w:r>
        <w:rPr>
          <w:rFonts w:ascii="Avenir" w:eastAsia="Avenir" w:hAnsi="Avenir" w:cs="Avenir"/>
          <w:color w:val="262624"/>
          <w:sz w:val="22"/>
          <w:szCs w:val="22"/>
        </w:rPr>
        <w:t>Annual turnover approximately €7.5 billion.</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Marcegaglia combines world-class engineering capability with the agility and long‑term perspective of a privately owned family business. Their manufacturing capacity, </w:t>
      </w:r>
      <w:r>
        <w:rPr>
          <w:rFonts w:ascii="Avenir" w:eastAsia="Avenir" w:hAnsi="Avenir" w:cs="Avenir"/>
          <w:color w:val="262624"/>
          <w:sz w:val="22"/>
          <w:szCs w:val="22"/>
        </w:rPr>
        <w:lastRenderedPageBreak/>
        <w:t>engineering expertise and significant presence in southern Italy make them an ideal strategic partner for structural infrastructure.</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Structural steel</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Fabrication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Engineering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Infrastructure components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Manufacturing support</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Marcegaglia provides the structural engineering capability required to support large-scale infrastructure throughout the Framework.</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06</w:t>
      </w:r>
    </w:p>
    <w:p w:rsidR="00233B89" w:rsidRDefault="00450FB8">
      <w:pPr>
        <w:keepNext/>
        <w:spacing w:after="220"/>
      </w:pPr>
      <w:r>
        <w:rPr>
          <w:rFonts w:ascii="Cormorant Garamond" w:eastAsia="Cormorant Garamond" w:hAnsi="Cormorant Garamond" w:cs="Cormorant Garamond"/>
          <w:color w:val="262624"/>
          <w:spacing w:val="4"/>
          <w:sz w:val="34"/>
          <w:szCs w:val="34"/>
        </w:rPr>
        <w:t>Communications Infrastructure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SIAE Microelettronica</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Cologno Monzese (Milan),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Approximately 500–1,000 employees.</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SIAE Microelettronica is an internationally respected engineering company specialising in resilient wireless communications infrastructure. Their expertise provides the secure </w:t>
      </w:r>
      <w:r>
        <w:rPr>
          <w:rFonts w:ascii="Avenir" w:eastAsia="Avenir" w:hAnsi="Avenir" w:cs="Avenir"/>
          <w:color w:val="262624"/>
          <w:sz w:val="22"/>
          <w:szCs w:val="22"/>
        </w:rPr>
        <w:lastRenderedPageBreak/>
        <w:t>operational communications required to support a distributed environmental protection network.</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Mission-critical communications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Wireless infrastructure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Remote connectivity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Operational communications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Network resilience</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SIAE provides the communications backbone that enables every operational component of the Framework to function as one integrated system.</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07</w:t>
      </w:r>
    </w:p>
    <w:p w:rsidR="00233B89" w:rsidRDefault="00450FB8">
      <w:pPr>
        <w:keepNext/>
        <w:spacing w:after="220"/>
      </w:pPr>
      <w:r>
        <w:rPr>
          <w:rFonts w:ascii="Cormorant Garamond" w:eastAsia="Cormorant Garamond" w:hAnsi="Cormorant Garamond" w:cs="Cormorant Garamond"/>
          <w:color w:val="262624"/>
          <w:spacing w:val="4"/>
          <w:sz w:val="34"/>
          <w:szCs w:val="34"/>
        </w:rPr>
        <w:t>Landscape Management &amp; Ecological Regeneration</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Technoforest</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Zanica (Bergamo),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 – Family Owned</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Specialist engineering company.</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Technoforest combines practical ecological expertise with long‑term landscape management experience. Their knowledge supports the regenerative principles of the </w:t>
      </w:r>
      <w:r>
        <w:rPr>
          <w:rFonts w:ascii="Avenir" w:eastAsia="Avenir" w:hAnsi="Avenir" w:cs="Avenir"/>
          <w:color w:val="262624"/>
          <w:sz w:val="22"/>
          <w:szCs w:val="22"/>
        </w:rPr>
        <w:lastRenderedPageBreak/>
        <w:t>Framework while providing practical methodologies for landscape restoration and environmental resilience.</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Hugelkultur design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Hugelkultur construction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Landscape regeneration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Vegetation management</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Ecological restoration methodology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Technical knowledge transfer</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Technoforest provides the expertise needed to establish regenerative landscape systems before knowledge is progressively transferred to local implementation teams.</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08</w:t>
      </w:r>
    </w:p>
    <w:p w:rsidR="00233B89" w:rsidRDefault="00450FB8">
      <w:pPr>
        <w:keepNext/>
        <w:spacing w:after="220"/>
      </w:pPr>
      <w:r>
        <w:rPr>
          <w:rFonts w:ascii="Cormorant Garamond" w:eastAsia="Cormorant Garamond" w:hAnsi="Cormorant Garamond" w:cs="Cormorant Garamond"/>
          <w:color w:val="262624"/>
          <w:spacing w:val="4"/>
          <w:sz w:val="34"/>
          <w:szCs w:val="34"/>
        </w:rPr>
        <w:t>Renewable Energy &amp; Off-Grid Power</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Victron Energy</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Almere, Netherlands</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International engineering company.</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Victron Energy is recognised internationally for reliable off-grid energy systems operating in demanding environments. Their products provide the resilient energy </w:t>
      </w:r>
      <w:r>
        <w:rPr>
          <w:rFonts w:ascii="Avenir" w:eastAsia="Avenir" w:hAnsi="Avenir" w:cs="Avenir"/>
          <w:color w:val="262624"/>
          <w:sz w:val="22"/>
          <w:szCs w:val="22"/>
        </w:rPr>
        <w:lastRenderedPageBreak/>
        <w:t>infrastructure required to support autonomous installations throughout the Framework.</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Solar integration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Battery storage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Remote power systems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Energy resilience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Off-grid infrastructure</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Victron Energy enables the Framework to operate independently of conventional infrastructure wherever necessary.</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09</w:t>
      </w:r>
    </w:p>
    <w:p w:rsidR="00233B89" w:rsidRDefault="00450FB8">
      <w:pPr>
        <w:keepNext/>
        <w:spacing w:after="220"/>
      </w:pPr>
      <w:r>
        <w:rPr>
          <w:rFonts w:ascii="Cormorant Garamond" w:eastAsia="Cormorant Garamond" w:hAnsi="Cormorant Garamond" w:cs="Cormorant Garamond"/>
          <w:color w:val="262624"/>
          <w:spacing w:val="4"/>
          <w:sz w:val="34"/>
          <w:szCs w:val="34"/>
        </w:rPr>
        <w:t>Water Systems &amp; Pumping Infrastructure</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Xylem</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European Operations</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Public</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Global engineering organisation.</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Although publicly listed, Xylem remains one of the world's leading engineering companies specialising in water management. Their expertise provides the capability </w:t>
      </w:r>
      <w:r>
        <w:rPr>
          <w:rFonts w:ascii="Avenir" w:eastAsia="Avenir" w:hAnsi="Avenir" w:cs="Avenir"/>
          <w:color w:val="262624"/>
          <w:sz w:val="22"/>
          <w:szCs w:val="22"/>
        </w:rPr>
        <w:lastRenderedPageBreak/>
        <w:t>required to develop resilient water infrastructure supporting both wildfire prevention and operational response.</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Water storage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Pumping systems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Remote water infrastructure</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Water engineering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Fluid management</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Xylem provides the water management capability that underpins long‑term resilience across the Framework.</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10</w:t>
      </w:r>
    </w:p>
    <w:p w:rsidR="00233B89" w:rsidRDefault="00450FB8">
      <w:pPr>
        <w:keepNext/>
        <w:spacing w:after="220"/>
      </w:pPr>
      <w:r>
        <w:rPr>
          <w:rFonts w:ascii="Cormorant Garamond" w:eastAsia="Cormorant Garamond" w:hAnsi="Cormorant Garamond" w:cs="Cormorant Garamond"/>
          <w:color w:val="262624"/>
          <w:spacing w:val="4"/>
          <w:sz w:val="34"/>
          <w:szCs w:val="34"/>
        </w:rPr>
        <w:t>Natural Building Materials</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CELENIT S.p.A.</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Tombolo (Padua),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Established international manufacturer.</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CELENIT is a long-established Italian manufacturer specialising in sustainable construction materials and ecological insulation systems. Their industrial capability, </w:t>
      </w:r>
      <w:r>
        <w:rPr>
          <w:rFonts w:ascii="Avenir" w:eastAsia="Avenir" w:hAnsi="Avenir" w:cs="Avenir"/>
          <w:color w:val="262624"/>
          <w:sz w:val="22"/>
          <w:szCs w:val="22"/>
        </w:rPr>
        <w:lastRenderedPageBreak/>
        <w:t>manufacturing quality and commitment to environmentally responsible construction make them an ideal strategic partner.</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Natural construction materials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Sustainable insulation systems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Ecological building products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Industrial manufacturing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Sustainable construction support</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CELENIT provides the sustainable construction materials required to ensure the Framework remains environmentally responsible throughout its physical development.</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11</w:t>
      </w:r>
    </w:p>
    <w:p w:rsidR="00233B89" w:rsidRDefault="00450FB8">
      <w:pPr>
        <w:keepNext/>
        <w:spacing w:after="220"/>
      </w:pPr>
      <w:r>
        <w:rPr>
          <w:rFonts w:ascii="Cormorant Garamond" w:eastAsia="Cormorant Garamond" w:hAnsi="Cormorant Garamond" w:cs="Cormorant Garamond"/>
          <w:color w:val="262624"/>
          <w:spacing w:val="4"/>
          <w:sz w:val="34"/>
          <w:szCs w:val="34"/>
        </w:rPr>
        <w:t>Command &amp; Control Platform</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Hexagon Safety, Infrastructure &amp; Geospatial</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European Operations</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Public</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International technology group.</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Hexagon develops internationally recognised command, control and operational management platforms used throughout critical infrastructure and emergency response </w:t>
      </w:r>
      <w:r>
        <w:rPr>
          <w:rFonts w:ascii="Avenir" w:eastAsia="Avenir" w:hAnsi="Avenir" w:cs="Avenir"/>
          <w:color w:val="262624"/>
          <w:sz w:val="22"/>
          <w:szCs w:val="22"/>
        </w:rPr>
        <w:lastRenderedPageBreak/>
        <w:t>environments. Their technology has the potential to become the digital operational backbone of the Framework.</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Incident management</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Operational dashboard</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Resource coordination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Fleet management</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Decision support</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Hexagon enables the Framework to coordinate people, infrastructure and operational resources through a single integrated management platform.</w:t>
      </w:r>
    </w:p>
    <w:p w:rsidR="00233B89" w:rsidRDefault="00233B89">
      <w:pPr>
        <w:pBdr>
          <w:bottom w:val="single" w:sz="3" w:space="1" w:color="A8A296"/>
        </w:pBdr>
        <w:spacing w:before="360" w:after="360"/>
      </w:pPr>
    </w:p>
    <w:p w:rsidR="00233B89" w:rsidRDefault="00450FB8">
      <w:pPr>
        <w:keepNext/>
        <w:spacing w:after="40"/>
      </w:pPr>
      <w:r>
        <w:rPr>
          <w:rFonts w:ascii="Avenir" w:eastAsia="Avenir" w:hAnsi="Avenir" w:cs="Avenir"/>
          <w:b/>
          <w:bCs/>
          <w:color w:val="1E2B20"/>
          <w:spacing w:val="16"/>
          <w:sz w:val="17"/>
          <w:szCs w:val="17"/>
        </w:rPr>
        <w:t>12</w:t>
      </w:r>
    </w:p>
    <w:p w:rsidR="00233B89" w:rsidRDefault="00450FB8">
      <w:pPr>
        <w:keepNext/>
        <w:spacing w:after="220"/>
      </w:pPr>
      <w:r>
        <w:rPr>
          <w:rFonts w:ascii="Cormorant Garamond" w:eastAsia="Cormorant Garamond" w:hAnsi="Cormorant Garamond" w:cs="Cormorant Garamond"/>
          <w:color w:val="262624"/>
          <w:spacing w:val="4"/>
          <w:sz w:val="34"/>
          <w:szCs w:val="34"/>
        </w:rPr>
        <w:t>GIS &amp; Environmental Mapping</w:t>
      </w:r>
    </w:p>
    <w:p w:rsidR="00233B89" w:rsidRDefault="00450FB8">
      <w:pPr>
        <w:keepNext/>
        <w:spacing w:after="40"/>
      </w:pPr>
      <w:r>
        <w:rPr>
          <w:rFonts w:ascii="Avenir" w:eastAsia="Avenir" w:hAnsi="Avenir" w:cs="Avenir"/>
          <w:b/>
          <w:bCs/>
          <w:color w:val="1E2B20"/>
          <w:spacing w:val="14"/>
          <w:sz w:val="15"/>
          <w:szCs w:val="15"/>
        </w:rPr>
        <w:t>STRATEGIC PARTNER</w:t>
      </w:r>
    </w:p>
    <w:p w:rsidR="00233B89" w:rsidRDefault="00450FB8">
      <w:pPr>
        <w:keepNext/>
        <w:spacing w:after="190"/>
      </w:pPr>
      <w:r>
        <w:rPr>
          <w:rFonts w:ascii="Cormorant Garamond" w:eastAsia="Cormorant Garamond" w:hAnsi="Cormorant Garamond" w:cs="Cormorant Garamond"/>
          <w:color w:val="1E2B20"/>
          <w:sz w:val="27"/>
          <w:szCs w:val="27"/>
        </w:rPr>
        <w:t>Esri Italia</w:t>
      </w:r>
    </w:p>
    <w:p w:rsidR="00233B89" w:rsidRDefault="00450FB8">
      <w:pPr>
        <w:keepNext/>
        <w:keepLines/>
        <w:spacing w:after="145"/>
      </w:pPr>
      <w:r>
        <w:rPr>
          <w:rFonts w:ascii="Avenir" w:eastAsia="Avenir" w:hAnsi="Avenir" w:cs="Avenir"/>
          <w:b/>
          <w:bCs/>
          <w:color w:val="1E2B20"/>
          <w:spacing w:val="14"/>
          <w:sz w:val="15"/>
          <w:szCs w:val="15"/>
        </w:rPr>
        <w:t>LOCATION</w:t>
      </w:r>
      <w:r>
        <w:br/>
      </w:r>
      <w:r>
        <w:rPr>
          <w:rFonts w:ascii="Avenir" w:eastAsia="Avenir" w:hAnsi="Avenir" w:cs="Avenir"/>
          <w:color w:val="262624"/>
          <w:sz w:val="22"/>
          <w:szCs w:val="22"/>
        </w:rPr>
        <w:t>Rome, Italy</w:t>
      </w:r>
    </w:p>
    <w:p w:rsidR="00233B89" w:rsidRDefault="00450FB8">
      <w:pPr>
        <w:keepNext/>
        <w:keepLines/>
        <w:spacing w:after="145"/>
      </w:pPr>
      <w:r>
        <w:rPr>
          <w:rFonts w:ascii="Avenir" w:eastAsia="Avenir" w:hAnsi="Avenir" w:cs="Avenir"/>
          <w:b/>
          <w:bCs/>
          <w:color w:val="1E2B20"/>
          <w:spacing w:val="14"/>
          <w:sz w:val="15"/>
          <w:szCs w:val="15"/>
        </w:rPr>
        <w:t>OWNERSHIP</w:t>
      </w:r>
      <w:r>
        <w:br/>
      </w:r>
      <w:r>
        <w:rPr>
          <w:rFonts w:ascii="Avenir" w:eastAsia="Avenir" w:hAnsi="Avenir" w:cs="Avenir"/>
          <w:color w:val="262624"/>
          <w:sz w:val="22"/>
          <w:szCs w:val="22"/>
        </w:rPr>
        <w:t>Private</w:t>
      </w:r>
    </w:p>
    <w:p w:rsidR="00233B89" w:rsidRDefault="00450FB8">
      <w:pPr>
        <w:keepNext/>
        <w:keepLines/>
        <w:spacing w:after="210"/>
      </w:pPr>
      <w:r>
        <w:rPr>
          <w:rFonts w:ascii="Avenir" w:eastAsia="Avenir" w:hAnsi="Avenir" w:cs="Avenir"/>
          <w:b/>
          <w:bCs/>
          <w:color w:val="1E2B20"/>
          <w:spacing w:val="14"/>
          <w:sz w:val="15"/>
          <w:szCs w:val="15"/>
        </w:rPr>
        <w:t>APPROXIMATE SCALE</w:t>
      </w:r>
      <w:r>
        <w:br/>
      </w:r>
      <w:r>
        <w:rPr>
          <w:rFonts w:ascii="Avenir" w:eastAsia="Avenir" w:hAnsi="Avenir" w:cs="Avenir"/>
          <w:color w:val="262624"/>
          <w:sz w:val="22"/>
          <w:szCs w:val="22"/>
        </w:rPr>
        <w:t>Leading GIS organisation.</w:t>
      </w:r>
    </w:p>
    <w:p w:rsidR="00233B89" w:rsidRDefault="00450FB8">
      <w:pPr>
        <w:keepNext/>
        <w:spacing w:after="40"/>
      </w:pPr>
      <w:r>
        <w:rPr>
          <w:rFonts w:ascii="Avenir" w:eastAsia="Avenir" w:hAnsi="Avenir" w:cs="Avenir"/>
          <w:b/>
          <w:bCs/>
          <w:color w:val="1E2B20"/>
          <w:spacing w:val="14"/>
          <w:sz w:val="15"/>
          <w:szCs w:val="15"/>
        </w:rPr>
        <w:t>WHY SELECTED</w:t>
      </w:r>
    </w:p>
    <w:p w:rsidR="00233B89" w:rsidRDefault="00450FB8">
      <w:pPr>
        <w:keepNext/>
        <w:spacing w:after="240" w:line="370" w:lineRule="auto"/>
        <w:jc w:val="both"/>
      </w:pPr>
      <w:r>
        <w:rPr>
          <w:rFonts w:ascii="Avenir" w:eastAsia="Avenir" w:hAnsi="Avenir" w:cs="Avenir"/>
          <w:color w:val="262624"/>
          <w:sz w:val="22"/>
          <w:szCs w:val="22"/>
        </w:rPr>
        <w:t xml:space="preserve">Esri Italia provides world-leading geographic information system technology. Interactive mapping will become central to operational planning, wildfire monitoring, </w:t>
      </w:r>
      <w:r>
        <w:rPr>
          <w:rFonts w:ascii="Avenir" w:eastAsia="Avenir" w:hAnsi="Avenir" w:cs="Avenir"/>
          <w:color w:val="262624"/>
          <w:sz w:val="22"/>
          <w:szCs w:val="22"/>
        </w:rPr>
        <w:lastRenderedPageBreak/>
        <w:t>environmental analysis and the long‑term measurement of regeneration across the Framework.</w:t>
      </w:r>
    </w:p>
    <w:p w:rsidR="00233B89" w:rsidRDefault="00450FB8">
      <w:pPr>
        <w:keepNext/>
        <w:spacing w:after="100"/>
      </w:pPr>
      <w:r>
        <w:rPr>
          <w:rFonts w:ascii="Avenir" w:eastAsia="Avenir" w:hAnsi="Avenir" w:cs="Avenir"/>
          <w:b/>
          <w:bCs/>
          <w:color w:val="1E2B20"/>
          <w:spacing w:val="14"/>
          <w:sz w:val="15"/>
          <w:szCs w:val="15"/>
        </w:rPr>
        <w:t>FRAMEWORK CAPABILITY</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GIS</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Interactive mapping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Operational planning</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Environmental visualisation</w:t>
      </w:r>
    </w:p>
    <w:p w:rsidR="00233B89" w:rsidRDefault="00450FB8">
      <w:pPr>
        <w:pStyle w:val="ListParagraph"/>
        <w:keepNext/>
        <w:numPr>
          <w:ilvl w:val="0"/>
          <w:numId w:val="2"/>
        </w:numPr>
        <w:spacing w:after="100" w:line="300" w:lineRule="auto"/>
      </w:pPr>
      <w:r>
        <w:rPr>
          <w:rFonts w:ascii="Avenir" w:eastAsia="Avenir" w:hAnsi="Avenir" w:cs="Avenir"/>
          <w:color w:val="262624"/>
          <w:sz w:val="22"/>
          <w:szCs w:val="22"/>
        </w:rPr>
        <w:t>Regeneration monitoring</w:t>
      </w:r>
    </w:p>
    <w:p w:rsidR="00233B89" w:rsidRDefault="00233B89">
      <w:pPr>
        <w:pBdr>
          <w:bottom w:val="single" w:sz="2" w:space="1" w:color="A8A296"/>
        </w:pBdr>
        <w:spacing w:before="320" w:after="220"/>
      </w:pPr>
    </w:p>
    <w:p w:rsidR="00233B89" w:rsidRDefault="00450FB8">
      <w:pPr>
        <w:keepNext/>
        <w:spacing w:after="110"/>
        <w:ind w:left="220"/>
      </w:pPr>
      <w:r>
        <w:rPr>
          <w:rFonts w:ascii="Cormorant Garamond" w:eastAsia="Cormorant Garamond" w:hAnsi="Cormorant Garamond" w:cs="Cormorant Garamond"/>
          <w:i/>
          <w:iCs/>
          <w:color w:val="1E2B20"/>
          <w:sz w:val="22"/>
          <w:szCs w:val="22"/>
        </w:rPr>
        <w:t>Strategic Contribution</w:t>
      </w:r>
    </w:p>
    <w:p w:rsidR="00233B89" w:rsidRDefault="00450FB8">
      <w:pPr>
        <w:spacing w:line="370" w:lineRule="auto"/>
        <w:ind w:left="220"/>
        <w:jc w:val="both"/>
      </w:pPr>
      <w:r>
        <w:rPr>
          <w:rFonts w:ascii="Avenir" w:eastAsia="Avenir" w:hAnsi="Avenir" w:cs="Avenir"/>
          <w:color w:val="262624"/>
          <w:sz w:val="22"/>
          <w:szCs w:val="22"/>
        </w:rPr>
        <w:t>Esri enables the Framework to visualise, analyse and communicate environmental information through a single intelligent mapping platform.</w:t>
      </w:r>
    </w:p>
    <w:p w:rsidR="00233B89" w:rsidRDefault="00233B89">
      <w:pPr>
        <w:pBdr>
          <w:bottom w:val="single" w:sz="3" w:space="1" w:color="A8A296"/>
        </w:pBdr>
        <w:spacing w:before="360"/>
      </w:pPr>
    </w:p>
    <w:p w:rsidR="00233B89" w:rsidRDefault="00233B89">
      <w:pPr>
        <w:spacing w:after="520"/>
      </w:pPr>
    </w:p>
    <w:p w:rsidR="00233B89" w:rsidRDefault="00450FB8">
      <w:pPr>
        <w:keepNext/>
        <w:spacing w:after="300"/>
      </w:pPr>
      <w:r>
        <w:rPr>
          <w:rFonts w:ascii="Avenir" w:eastAsia="Avenir" w:hAnsi="Avenir" w:cs="Avenir"/>
          <w:b/>
          <w:bCs/>
          <w:color w:val="1E2B20"/>
          <w:spacing w:val="16"/>
          <w:sz w:val="17"/>
          <w:szCs w:val="17"/>
        </w:rPr>
        <w:t>CONCLUSION</w:t>
      </w:r>
    </w:p>
    <w:p w:rsidR="00233B89" w:rsidRDefault="00450FB8">
      <w:pPr>
        <w:spacing w:after="220" w:line="380" w:lineRule="auto"/>
        <w:jc w:val="both"/>
      </w:pPr>
      <w:r>
        <w:rPr>
          <w:rFonts w:ascii="Avenir" w:eastAsia="Avenir" w:hAnsi="Avenir" w:cs="Avenir"/>
          <w:color w:val="262624"/>
          <w:sz w:val="24"/>
          <w:szCs w:val="24"/>
        </w:rPr>
        <w:t>Collectively, these Strategic Partners provide the principal capabilities required to establish the Framework's first operational deployment.</w:t>
      </w:r>
    </w:p>
    <w:p w:rsidR="00233B89" w:rsidRDefault="00450FB8">
      <w:pPr>
        <w:spacing w:after="220" w:line="380" w:lineRule="auto"/>
        <w:jc w:val="both"/>
      </w:pPr>
      <w:r>
        <w:rPr>
          <w:rFonts w:ascii="Avenir" w:eastAsia="Avenir" w:hAnsi="Avenir" w:cs="Avenir"/>
          <w:color w:val="262624"/>
          <w:sz w:val="24"/>
          <w:szCs w:val="24"/>
        </w:rPr>
        <w:t>Rather than functioning as independent suppliers, each organisation contributes a specialist capability that strengthens an integrated operational system.</w:t>
      </w:r>
    </w:p>
    <w:p w:rsidR="00233B89" w:rsidRDefault="00450FB8">
      <w:pPr>
        <w:spacing w:after="220" w:line="380" w:lineRule="auto"/>
        <w:jc w:val="both"/>
      </w:pPr>
      <w:r>
        <w:rPr>
          <w:rFonts w:ascii="Avenir" w:eastAsia="Avenir" w:hAnsi="Avenir" w:cs="Avenir"/>
          <w:color w:val="262624"/>
          <w:sz w:val="24"/>
          <w:szCs w:val="24"/>
        </w:rPr>
        <w:t>Together they provide the engineering, technology, environmental expertise, infrastructure, communications and operational capability required to transform the Framework from concept into implementation.</w:t>
      </w:r>
    </w:p>
    <w:p w:rsidR="00233B89" w:rsidRDefault="00450FB8">
      <w:pPr>
        <w:spacing w:after="380" w:line="380" w:lineRule="auto"/>
        <w:jc w:val="both"/>
      </w:pPr>
      <w:r>
        <w:rPr>
          <w:rFonts w:ascii="Avenir" w:eastAsia="Avenir" w:hAnsi="Avenir" w:cs="Avenir"/>
          <w:color w:val="262624"/>
          <w:sz w:val="24"/>
          <w:szCs w:val="24"/>
        </w:rPr>
        <w:t>The Framework is therefore not defined by any single organisation, but by the strength of the capabilities they collectively contribute.</w:t>
      </w:r>
    </w:p>
    <w:p w:rsidR="00233B89" w:rsidRDefault="00233B89">
      <w:pPr>
        <w:pBdr>
          <w:bottom w:val="single" w:sz="3" w:space="1" w:color="A8A296"/>
        </w:pBdr>
      </w:pPr>
    </w:p>
    <w:sectPr w:rsidR="00233B89">
      <w:headerReference w:type="even" r:id="rId7"/>
      <w:headerReference w:type="default" r:id="rId8"/>
      <w:footerReference w:type="even" r:id="rId9"/>
      <w:footerReference w:type="default" r:id="rId10"/>
      <w:headerReference w:type="first" r:id="rId11"/>
      <w:footerReference w:type="first" r:id="rId12"/>
      <w:pgSz w:w="11906" w:h="16838"/>
      <w:pgMar w:top="1872" w:right="1872" w:bottom="1872" w:left="187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50FB8" w:rsidRDefault="00450FB8">
      <w:r>
        <w:separator/>
      </w:r>
    </w:p>
  </w:endnote>
  <w:endnote w:type="continuationSeparator" w:id="0">
    <w:p w:rsidR="00450FB8" w:rsidRDefault="0045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venir">
    <w:altName w:val="Cambria"/>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rmorant Garamond">
    <w:altName w:val="Cambria"/>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0FB8" w:rsidRDefault="00450F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33B89" w:rsidRDefault="00450FB8">
    <w:pPr>
      <w:jc w:val="center"/>
    </w:pPr>
    <w:r>
      <w:rPr>
        <w:rFonts w:ascii="Avenir" w:eastAsia="Avenir" w:hAnsi="Avenir" w:cs="Avenir"/>
        <w:color w:val="A8A296"/>
        <w:spacing w:val="10"/>
        <w:sz w:val="14"/>
        <w:szCs w:val="14"/>
      </w:rPr>
      <w:t xml:space="preserve">FRAMEWORK CAPABILITY REGISTER   ·   </w:t>
    </w:r>
    <w:r>
      <w:rPr>
        <w:rFonts w:ascii="Avenir" w:eastAsia="Avenir" w:hAnsi="Avenir" w:cs="Avenir"/>
        <w:color w:val="A8A296"/>
        <w:sz w:val="14"/>
        <w:szCs w:val="14"/>
      </w:rPr>
      <w:fldChar w:fldCharType="begin"/>
    </w:r>
    <w:r>
      <w:rPr>
        <w:rFonts w:ascii="Avenir" w:eastAsia="Avenir" w:hAnsi="Avenir" w:cs="Avenir"/>
        <w:color w:val="A8A296"/>
        <w:sz w:val="14"/>
        <w:szCs w:val="14"/>
      </w:rPr>
      <w:instrText>PAGE</w:instrText>
    </w:r>
    <w:r>
      <w:rPr>
        <w:rFonts w:ascii="Avenir" w:eastAsia="Avenir" w:hAnsi="Avenir" w:cs="Avenir"/>
        <w:color w:val="A8A296"/>
        <w:sz w:val="14"/>
        <w:szCs w:val="14"/>
      </w:rPr>
      <w:fldChar w:fldCharType="separate"/>
    </w:r>
    <w:r>
      <w:rPr>
        <w:rFonts w:ascii="Avenir" w:eastAsia="Avenir" w:hAnsi="Avenir" w:cs="Avenir"/>
        <w:noProof/>
        <w:color w:val="A8A296"/>
        <w:sz w:val="14"/>
        <w:szCs w:val="14"/>
      </w:rPr>
      <w:t>1</w:t>
    </w:r>
    <w:r>
      <w:rPr>
        <w:rFonts w:ascii="Avenir" w:eastAsia="Avenir" w:hAnsi="Avenir" w:cs="Avenir"/>
        <w:color w:val="A8A296"/>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0FB8" w:rsidRDefault="00450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50FB8" w:rsidRDefault="00450FB8">
      <w:r>
        <w:separator/>
      </w:r>
    </w:p>
  </w:footnote>
  <w:footnote w:type="continuationSeparator" w:id="0">
    <w:p w:rsidR="00450FB8" w:rsidRDefault="00450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0FB8" w:rsidRDefault="00450FB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0FB8" w:rsidRDefault="00450FB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0FB8" w:rsidRDefault="00450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A6EB9"/>
    <w:multiLevelType w:val="hybridMultilevel"/>
    <w:tmpl w:val="FFFFFFFF"/>
    <w:lvl w:ilvl="0" w:tplc="E3C0F64E">
      <w:start w:val="1"/>
      <w:numFmt w:val="bullet"/>
      <w:lvlText w:val="●"/>
      <w:lvlJc w:val="left"/>
      <w:pPr>
        <w:ind w:left="720" w:hanging="360"/>
      </w:pPr>
    </w:lvl>
    <w:lvl w:ilvl="1" w:tplc="99B418B6">
      <w:start w:val="1"/>
      <w:numFmt w:val="bullet"/>
      <w:lvlText w:val="○"/>
      <w:lvlJc w:val="left"/>
      <w:pPr>
        <w:ind w:left="1440" w:hanging="360"/>
      </w:pPr>
    </w:lvl>
    <w:lvl w:ilvl="2" w:tplc="6A5A8E36">
      <w:start w:val="1"/>
      <w:numFmt w:val="bullet"/>
      <w:lvlText w:val="■"/>
      <w:lvlJc w:val="left"/>
      <w:pPr>
        <w:ind w:left="2160" w:hanging="360"/>
      </w:pPr>
    </w:lvl>
    <w:lvl w:ilvl="3" w:tplc="21762B6C">
      <w:start w:val="1"/>
      <w:numFmt w:val="bullet"/>
      <w:lvlText w:val="●"/>
      <w:lvlJc w:val="left"/>
      <w:pPr>
        <w:ind w:left="2880" w:hanging="360"/>
      </w:pPr>
    </w:lvl>
    <w:lvl w:ilvl="4" w:tplc="4148E4E4">
      <w:start w:val="1"/>
      <w:numFmt w:val="bullet"/>
      <w:lvlText w:val="○"/>
      <w:lvlJc w:val="left"/>
      <w:pPr>
        <w:ind w:left="3600" w:hanging="360"/>
      </w:pPr>
    </w:lvl>
    <w:lvl w:ilvl="5" w:tplc="B2807900">
      <w:start w:val="1"/>
      <w:numFmt w:val="bullet"/>
      <w:lvlText w:val="■"/>
      <w:lvlJc w:val="left"/>
      <w:pPr>
        <w:ind w:left="4320" w:hanging="360"/>
      </w:pPr>
    </w:lvl>
    <w:lvl w:ilvl="6" w:tplc="84FA01A6">
      <w:start w:val="1"/>
      <w:numFmt w:val="bullet"/>
      <w:lvlText w:val="●"/>
      <w:lvlJc w:val="left"/>
      <w:pPr>
        <w:ind w:left="5040" w:hanging="360"/>
      </w:pPr>
    </w:lvl>
    <w:lvl w:ilvl="7" w:tplc="83A61C9A">
      <w:start w:val="1"/>
      <w:numFmt w:val="bullet"/>
      <w:lvlText w:val="●"/>
      <w:lvlJc w:val="left"/>
      <w:pPr>
        <w:ind w:left="5760" w:hanging="360"/>
      </w:pPr>
    </w:lvl>
    <w:lvl w:ilvl="8" w:tplc="80F485B8">
      <w:start w:val="1"/>
      <w:numFmt w:val="bullet"/>
      <w:lvlText w:val="●"/>
      <w:lvlJc w:val="left"/>
      <w:pPr>
        <w:ind w:left="6480" w:hanging="360"/>
      </w:pPr>
    </w:lvl>
  </w:abstractNum>
  <w:abstractNum w:abstractNumId="1" w15:restartNumberingAfterBreak="0">
    <w:nsid w:val="5D1F3F23"/>
    <w:multiLevelType w:val="hybridMultilevel"/>
    <w:tmpl w:val="FFFFFFFF"/>
    <w:lvl w:ilvl="0" w:tplc="EA8E028C">
      <w:start w:val="1"/>
      <w:numFmt w:val="bullet"/>
      <w:lvlText w:val="–"/>
      <w:lvlJc w:val="left"/>
      <w:pPr>
        <w:ind w:left="420" w:hanging="260"/>
      </w:pPr>
      <w:rPr>
        <w:rFonts w:ascii="Avenir" w:eastAsia="Avenir" w:hAnsi="Avenir" w:cs="Avenir"/>
        <w:color w:val="A8A296"/>
      </w:rPr>
    </w:lvl>
    <w:lvl w:ilvl="1" w:tplc="3372F3F0">
      <w:numFmt w:val="decimal"/>
      <w:lvlText w:val=""/>
      <w:lvlJc w:val="left"/>
    </w:lvl>
    <w:lvl w:ilvl="2" w:tplc="C6DC9818">
      <w:numFmt w:val="decimal"/>
      <w:lvlText w:val=""/>
      <w:lvlJc w:val="left"/>
    </w:lvl>
    <w:lvl w:ilvl="3" w:tplc="473C2F66">
      <w:numFmt w:val="decimal"/>
      <w:lvlText w:val=""/>
      <w:lvlJc w:val="left"/>
    </w:lvl>
    <w:lvl w:ilvl="4" w:tplc="AA5AB534">
      <w:numFmt w:val="decimal"/>
      <w:lvlText w:val=""/>
      <w:lvlJc w:val="left"/>
    </w:lvl>
    <w:lvl w:ilvl="5" w:tplc="18CA8468">
      <w:numFmt w:val="decimal"/>
      <w:lvlText w:val=""/>
      <w:lvlJc w:val="left"/>
    </w:lvl>
    <w:lvl w:ilvl="6" w:tplc="1500DDE4">
      <w:numFmt w:val="decimal"/>
      <w:lvlText w:val=""/>
      <w:lvlJc w:val="left"/>
    </w:lvl>
    <w:lvl w:ilvl="7" w:tplc="25E8B308">
      <w:numFmt w:val="decimal"/>
      <w:lvlText w:val=""/>
      <w:lvlJc w:val="left"/>
    </w:lvl>
    <w:lvl w:ilvl="8" w:tplc="ADDE965A">
      <w:numFmt w:val="decimal"/>
      <w:lvlText w:val=""/>
      <w:lvlJc w:val="left"/>
    </w:lvl>
  </w:abstractNum>
  <w:num w:numId="1" w16cid:durableId="132142787">
    <w:abstractNumId w:val="0"/>
    <w:lvlOverride w:ilvl="0">
      <w:startOverride w:val="1"/>
    </w:lvlOverride>
  </w:num>
  <w:num w:numId="2" w16cid:durableId="13040441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B89"/>
    <w:rsid w:val="00233B89"/>
    <w:rsid w:val="003D75A4"/>
    <w:rsid w:val="00450F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ABEC40B-8ABC-FC44-A85F-F629B9A19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0FB8"/>
    <w:pPr>
      <w:tabs>
        <w:tab w:val="center" w:pos="4680"/>
        <w:tab w:val="right" w:pos="9360"/>
      </w:tabs>
    </w:pPr>
  </w:style>
  <w:style w:type="character" w:customStyle="1" w:styleId="HeaderChar">
    <w:name w:val="Header Char"/>
    <w:basedOn w:val="DefaultParagraphFont"/>
    <w:link w:val="Header"/>
    <w:uiPriority w:val="99"/>
    <w:rsid w:val="00450FB8"/>
  </w:style>
  <w:style w:type="paragraph" w:styleId="Footer">
    <w:name w:val="footer"/>
    <w:basedOn w:val="Normal"/>
    <w:link w:val="FooterChar"/>
    <w:uiPriority w:val="99"/>
    <w:unhideWhenUsed/>
    <w:rsid w:val="00450FB8"/>
    <w:pPr>
      <w:tabs>
        <w:tab w:val="center" w:pos="4680"/>
        <w:tab w:val="right" w:pos="9360"/>
      </w:tabs>
    </w:pPr>
  </w:style>
  <w:style w:type="character" w:customStyle="1" w:styleId="FooterChar">
    <w:name w:val="Footer Char"/>
    <w:basedOn w:val="DefaultParagraphFont"/>
    <w:link w:val="Footer"/>
    <w:uiPriority w:val="99"/>
    <w:rsid w:val="00450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1606</Words>
  <Characters>9159</Characters>
  <Application>Microsoft Office Word</Application>
  <DocSecurity>0</DocSecurity>
  <Lines>76</Lines>
  <Paragraphs>21</Paragraphs>
  <ScaleCrop>false</ScaleCrop>
  <Company/>
  <LinksUpToDate>false</LinksUpToDate>
  <CharactersWithSpaces>10744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Gary Smith</cp:lastModifiedBy>
  <cp:revision>2</cp:revision>
  <dcterms:created xsi:type="dcterms:W3CDTF">2026-07-15T13:16:00Z</dcterms:created>
  <dcterms:modified xsi:type="dcterms:W3CDTF">2026-07-15T13:16:00Z</dcterms:modified>
</cp:coreProperties>
</file>