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0AE0" w14:textId="77777777" w:rsidR="00EE6FAE" w:rsidRDefault="00EE6FAE">
      <w:pPr>
        <w:spacing w:after="2600"/>
      </w:pPr>
    </w:p>
    <w:p w14:paraId="08C11982" w14:textId="77777777" w:rsidR="00EE6FAE" w:rsidRDefault="00FA2AB0">
      <w:pPr>
        <w:spacing w:after="260"/>
        <w:jc w:val="center"/>
      </w:pPr>
      <w:r>
        <w:rPr>
          <w:rFonts w:ascii="Cormorant Garamond" w:eastAsia="Cormorant Garamond" w:hAnsi="Cormorant Garamond" w:cs="Cormorant Garamond"/>
          <w:color w:val="1E2B20"/>
          <w:sz w:val="92"/>
          <w:szCs w:val="92"/>
        </w:rPr>
        <w:t>From Wildfires to Regeneration</w:t>
      </w:r>
    </w:p>
    <w:p w14:paraId="72FC3371" w14:textId="77777777" w:rsidR="00EE6FAE" w:rsidRDefault="00FA2AB0">
      <w:pPr>
        <w:ind w:left="900" w:right="900"/>
        <w:jc w:val="center"/>
      </w:pPr>
      <w:r>
        <w:rPr>
          <w:rFonts w:ascii="Avenir" w:eastAsia="Avenir" w:hAnsi="Avenir" w:cs="Avenir"/>
          <w:color w:val="A8A296"/>
          <w:sz w:val="21"/>
          <w:szCs w:val="21"/>
        </w:rPr>
        <w:t>A Practical, Scalable and Exportable Global Rapid Response</w:t>
      </w:r>
    </w:p>
    <w:p w14:paraId="504E5E20" w14:textId="77777777" w:rsidR="00EE6FAE" w:rsidRDefault="00FA2AB0">
      <w:r>
        <w:br w:type="page"/>
      </w:r>
    </w:p>
    <w:p w14:paraId="697DD700" w14:textId="77777777" w:rsidR="00EE6FAE" w:rsidRDefault="00EE6FAE">
      <w:pPr>
        <w:spacing w:after="1500"/>
      </w:pPr>
    </w:p>
    <w:p w14:paraId="1BAE11FD" w14:textId="77777777" w:rsidR="00EE6FAE" w:rsidRDefault="00FA2AB0">
      <w:pPr>
        <w:keepNext/>
        <w:spacing w:after="380"/>
      </w:pPr>
      <w:r>
        <w:rPr>
          <w:rFonts w:ascii="Cormorant Garamond" w:eastAsia="Cormorant Garamond" w:hAnsi="Cormorant Garamond" w:cs="Cormorant Garamond"/>
          <w:color w:val="1E2B20"/>
          <w:spacing w:val="40"/>
          <w:sz w:val="28"/>
          <w:szCs w:val="28"/>
        </w:rPr>
        <w:t>THE CHALLENGE</w:t>
      </w:r>
    </w:p>
    <w:p w14:paraId="7FF4DB77" w14:textId="77777777" w:rsidR="00EE6FAE" w:rsidRDefault="00FA2AB0">
      <w:pPr>
        <w:spacing w:after="260" w:line="460" w:lineRule="auto"/>
      </w:pPr>
      <w:r>
        <w:rPr>
          <w:rFonts w:ascii="Cormorant Garamond" w:eastAsia="Cormorant Garamond" w:hAnsi="Cormorant Garamond" w:cs="Cormorant Garamond"/>
          <w:color w:val="262624"/>
          <w:sz w:val="46"/>
          <w:szCs w:val="46"/>
        </w:rPr>
        <w:t>Wildfires are increasingly threatening biodiversity, communities, livelihoods and ecosystems across the world.</w:t>
      </w:r>
    </w:p>
    <w:p w14:paraId="6F946C26" w14:textId="77777777" w:rsidR="00EE6FAE" w:rsidRDefault="00FA2AB0">
      <w:r>
        <w:br w:type="page"/>
      </w:r>
    </w:p>
    <w:p w14:paraId="2C05DAAD" w14:textId="77777777" w:rsidR="00EE6FAE" w:rsidRDefault="00EE6FAE">
      <w:pPr>
        <w:spacing w:after="1700"/>
      </w:pPr>
    </w:p>
    <w:p w14:paraId="77A2F5D6" w14:textId="77777777" w:rsidR="00EE6FAE" w:rsidRDefault="00FA2AB0">
      <w:pPr>
        <w:keepNext/>
        <w:spacing w:after="380"/>
      </w:pPr>
      <w:r>
        <w:rPr>
          <w:rFonts w:ascii="Cormorant Garamond" w:eastAsia="Cormorant Garamond" w:hAnsi="Cormorant Garamond" w:cs="Cormorant Garamond"/>
          <w:color w:val="1E2B20"/>
          <w:spacing w:val="40"/>
          <w:sz w:val="28"/>
          <w:szCs w:val="28"/>
        </w:rPr>
        <w:t>THE SOLUTION</w:t>
      </w:r>
    </w:p>
    <w:p w14:paraId="41BE0E86" w14:textId="77777777" w:rsidR="00EE6FAE" w:rsidRDefault="00FA2AB0">
      <w:pPr>
        <w:spacing w:after="260" w:line="480" w:lineRule="auto"/>
      </w:pPr>
      <w:r>
        <w:rPr>
          <w:rFonts w:ascii="Cormorant Garamond" w:eastAsia="Cormorant Garamond" w:hAnsi="Cormorant Garamond" w:cs="Cormorant Garamond"/>
          <w:color w:val="262624"/>
          <w:sz w:val="50"/>
          <w:szCs w:val="50"/>
        </w:rPr>
        <w:t>A practical, scalable and exportable Global Rapid Response Framework.</w:t>
      </w:r>
    </w:p>
    <w:p w14:paraId="33400738" w14:textId="77777777" w:rsidR="00EE6FAE" w:rsidRDefault="00FA2AB0">
      <w:r>
        <w:br w:type="page"/>
      </w:r>
    </w:p>
    <w:p w14:paraId="3A61AF55" w14:textId="77777777" w:rsidR="00EE6FAE" w:rsidRDefault="00EE6FAE">
      <w:pPr>
        <w:spacing w:after="2000"/>
      </w:pPr>
    </w:p>
    <w:p w14:paraId="50902E5D" w14:textId="77777777" w:rsidR="00EE6FAE" w:rsidRDefault="00FA2AB0">
      <w:pPr>
        <w:keepNext/>
        <w:spacing w:after="420"/>
        <w:jc w:val="center"/>
      </w:pPr>
      <w:r>
        <w:rPr>
          <w:rFonts w:ascii="Cormorant Garamond" w:eastAsia="Cormorant Garamond" w:hAnsi="Cormorant Garamond" w:cs="Cormorant Garamond"/>
          <w:color w:val="1E2B20"/>
          <w:spacing w:val="40"/>
          <w:sz w:val="28"/>
          <w:szCs w:val="28"/>
        </w:rPr>
        <w:t>THE ASK</w:t>
      </w:r>
    </w:p>
    <w:p w14:paraId="464F817F" w14:textId="77777777" w:rsidR="00EE6FAE" w:rsidRDefault="00FA2AB0">
      <w:pPr>
        <w:spacing w:line="520" w:lineRule="auto"/>
        <w:jc w:val="center"/>
      </w:pPr>
      <w:r>
        <w:rPr>
          <w:rFonts w:ascii="Cormorant Garamond" w:eastAsia="Cormorant Garamond" w:hAnsi="Cormorant Garamond" w:cs="Cormorant Garamond"/>
          <w:color w:val="1E2B20"/>
          <w:sz w:val="60"/>
          <w:szCs w:val="60"/>
        </w:rPr>
        <w:t>Become a Founding</w:t>
      </w:r>
      <w:r>
        <w:br/>
      </w:r>
      <w:r>
        <w:rPr>
          <w:rFonts w:ascii="Cormorant Garamond" w:eastAsia="Cormorant Garamond" w:hAnsi="Cormorant Garamond" w:cs="Cormorant Garamond"/>
          <w:color w:val="1E2B20"/>
          <w:sz w:val="60"/>
          <w:szCs w:val="60"/>
        </w:rPr>
        <w:t>Global Strategic Partner.</w:t>
      </w:r>
    </w:p>
    <w:p w14:paraId="7327CB90" w14:textId="77777777" w:rsidR="00EE6FAE" w:rsidRDefault="00FA2AB0">
      <w:r>
        <w:br w:type="page"/>
      </w:r>
    </w:p>
    <w:p w14:paraId="58B938C4" w14:textId="77777777" w:rsidR="00EE6FAE" w:rsidRDefault="00EE6FAE">
      <w:pPr>
        <w:spacing w:after="700"/>
      </w:pPr>
    </w:p>
    <w:p w14:paraId="54C38ECB" w14:textId="77777777" w:rsidR="00EE6FAE" w:rsidRDefault="00FA2AB0">
      <w:pPr>
        <w:keepNext/>
        <w:spacing w:after="380"/>
      </w:pPr>
      <w:r>
        <w:rPr>
          <w:rFonts w:ascii="Cormorant Garamond" w:eastAsia="Cormorant Garamond" w:hAnsi="Cormorant Garamond" w:cs="Cormorant Garamond"/>
          <w:color w:val="1E2B20"/>
          <w:spacing w:val="40"/>
          <w:sz w:val="28"/>
          <w:szCs w:val="28"/>
        </w:rPr>
        <w:t>PROVEN MODELS</w:t>
      </w:r>
    </w:p>
    <w:p w14:paraId="6D49E88C" w14:textId="77777777" w:rsidR="00EE6FAE" w:rsidRDefault="00FA2AB0">
      <w:pPr>
        <w:spacing w:after="160" w:line="320" w:lineRule="auto"/>
      </w:pPr>
      <w:r>
        <w:rPr>
          <w:rFonts w:ascii="Avenir" w:eastAsia="Avenir" w:hAnsi="Avenir" w:cs="Avenir"/>
          <w:color w:val="A8A296"/>
          <w:sz w:val="24"/>
          <w:szCs w:val="24"/>
        </w:rPr>
        <w:t xml:space="preserve">— </w:t>
      </w:r>
      <w:r>
        <w:rPr>
          <w:rFonts w:ascii="Avenir" w:eastAsia="Avenir" w:hAnsi="Avenir" w:cs="Avenir"/>
          <w:color w:val="262624"/>
          <w:sz w:val="24"/>
          <w:szCs w:val="24"/>
        </w:rPr>
        <w:t>Toyota Production System — practical principles, repeatable implementation and continuous improvement.</w:t>
      </w:r>
    </w:p>
    <w:p w14:paraId="476B24CA" w14:textId="77777777" w:rsidR="00EE6FAE" w:rsidRDefault="00FA2AB0">
      <w:pPr>
        <w:spacing w:after="160" w:line="320" w:lineRule="auto"/>
      </w:pPr>
      <w:r>
        <w:rPr>
          <w:rFonts w:ascii="Avenir" w:eastAsia="Avenir" w:hAnsi="Avenir" w:cs="Avenir"/>
          <w:color w:val="A8A296"/>
          <w:sz w:val="24"/>
          <w:szCs w:val="24"/>
        </w:rPr>
        <w:t xml:space="preserve">— </w:t>
      </w:r>
      <w:r>
        <w:rPr>
          <w:rFonts w:ascii="Avenir" w:eastAsia="Avenir" w:hAnsi="Avenir" w:cs="Avenir"/>
          <w:color w:val="262624"/>
          <w:sz w:val="24"/>
          <w:szCs w:val="24"/>
        </w:rPr>
        <w:t>Copenhagen Model — local development, measurable outcomes and international application.</w:t>
      </w:r>
    </w:p>
    <w:p w14:paraId="746F42CE" w14:textId="77777777" w:rsidR="00EE6FAE" w:rsidRDefault="00FA2AB0">
      <w:pPr>
        <w:spacing w:after="500" w:line="320" w:lineRule="auto"/>
      </w:pPr>
      <w:r>
        <w:rPr>
          <w:rFonts w:ascii="Avenir" w:eastAsia="Avenir" w:hAnsi="Avenir" w:cs="Avenir"/>
          <w:color w:val="A8A296"/>
          <w:sz w:val="24"/>
          <w:szCs w:val="24"/>
        </w:rPr>
        <w:t xml:space="preserve">— </w:t>
      </w:r>
      <w:r>
        <w:rPr>
          <w:rFonts w:ascii="Avenir" w:eastAsia="Avenir" w:hAnsi="Avenir" w:cs="Avenir"/>
          <w:color w:val="262624"/>
          <w:sz w:val="24"/>
          <w:szCs w:val="24"/>
        </w:rPr>
        <w:t>Heidelberg Approach — clearly defined methodology, consistent delivery and wider adoption.</w:t>
      </w:r>
    </w:p>
    <w:tbl>
      <w:tblPr>
        <w:tblW w:w="303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4"/>
      </w:tblGrid>
      <w:tr w:rsidR="00EE6FAE" w14:paraId="47B1E2E3" w14:textId="77777777">
        <w:tc>
          <w:tcPr>
            <w:tcW w:w="100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340" w:type="dxa"/>
              <w:right w:w="0" w:type="dxa"/>
            </w:tcMar>
          </w:tcPr>
          <w:p w14:paraId="6B62C87A" w14:textId="77777777" w:rsidR="00EE6FAE" w:rsidRDefault="00EE6FAE"/>
        </w:tc>
      </w:tr>
    </w:tbl>
    <w:p w14:paraId="0E59EDF8" w14:textId="77777777" w:rsidR="00EE6FAE" w:rsidRDefault="00FA2AB0">
      <w:pPr>
        <w:spacing w:after="220" w:line="360" w:lineRule="auto"/>
      </w:pPr>
      <w:r>
        <w:rPr>
          <w:rFonts w:ascii="Avenir" w:eastAsia="Avenir" w:hAnsi="Avenir" w:cs="Avenir"/>
          <w:i/>
          <w:iCs/>
          <w:color w:val="A8A296"/>
          <w:sz w:val="22"/>
          <w:szCs w:val="22"/>
        </w:rPr>
        <w:t>Progress rarely requires reinventing the wheel. More often, it requires recognising what already works and applying it with clarity, discipline and precision.</w:t>
      </w:r>
    </w:p>
    <w:p w14:paraId="2B0AEBDB" w14:textId="77777777" w:rsidR="00EE6FAE" w:rsidRDefault="00FA2AB0">
      <w:r>
        <w:br w:type="page"/>
      </w:r>
    </w:p>
    <w:p w14:paraId="5D070334" w14:textId="77777777" w:rsidR="00EE6FAE" w:rsidRDefault="00EE6FAE">
      <w:pPr>
        <w:spacing w:after="900"/>
      </w:pPr>
    </w:p>
    <w:p w14:paraId="7112C924" w14:textId="77777777" w:rsidR="00EE6FAE" w:rsidRDefault="00FA2AB0">
      <w:pPr>
        <w:keepNext/>
        <w:spacing w:after="380"/>
      </w:pPr>
      <w:r>
        <w:rPr>
          <w:rFonts w:ascii="Cormorant Garamond" w:eastAsia="Cormorant Garamond" w:hAnsi="Cormorant Garamond" w:cs="Cormorant Garamond"/>
          <w:color w:val="1E2B20"/>
          <w:spacing w:val="40"/>
          <w:sz w:val="28"/>
          <w:szCs w:val="28"/>
        </w:rPr>
        <w:t>GLOBALLY SCALABLE. LOCALLY ENGINEERED.</w:t>
      </w:r>
    </w:p>
    <w:p w14:paraId="78BB4F74" w14:textId="77777777" w:rsidR="00EE6FAE" w:rsidRDefault="00FA2AB0">
      <w:pPr>
        <w:spacing w:after="340" w:line="380" w:lineRule="auto"/>
      </w:pPr>
      <w:r>
        <w:rPr>
          <w:rFonts w:ascii="Avenir" w:eastAsia="Avenir" w:hAnsi="Avenir" w:cs="Avenir"/>
          <w:color w:val="262624"/>
          <w:sz w:val="24"/>
          <w:szCs w:val="24"/>
        </w:rPr>
        <w:t>Every implementation is engineered specifically for the environmental, climatic, ecological and operational characteristics of the region in which it is deployed.</w:t>
      </w:r>
    </w:p>
    <w:tbl>
      <w:tblPr>
        <w:tblW w:w="227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5"/>
      </w:tblGrid>
      <w:tr w:rsidR="00EE6FAE" w14:paraId="7BB4F27D" w14:textId="77777777">
        <w:tc>
          <w:tcPr>
            <w:tcW w:w="100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340" w:type="dxa"/>
              <w:right w:w="0" w:type="dxa"/>
            </w:tcMar>
          </w:tcPr>
          <w:p w14:paraId="44E40C34" w14:textId="77777777" w:rsidR="00EE6FAE" w:rsidRDefault="00EE6FAE"/>
        </w:tc>
      </w:tr>
    </w:tbl>
    <w:p w14:paraId="67C7B02D" w14:textId="77777777" w:rsidR="00EE6FAE" w:rsidRDefault="00FA2AB0">
      <w:pPr>
        <w:spacing w:after="220" w:line="380" w:lineRule="auto"/>
      </w:pPr>
      <w:r>
        <w:rPr>
          <w:rFonts w:ascii="Avenir" w:eastAsia="Avenir" w:hAnsi="Avenir" w:cs="Avenir"/>
          <w:color w:val="262624"/>
          <w:sz w:val="24"/>
          <w:szCs w:val="24"/>
        </w:rPr>
        <w:t xml:space="preserve">Delivery is achieved through collaboration between </w:t>
      </w:r>
      <w:r>
        <w:rPr>
          <w:rFonts w:ascii="Cormorant Garamond" w:eastAsia="Cormorant Garamond" w:hAnsi="Cormorant Garamond" w:cs="Cormorant Garamond"/>
          <w:color w:val="1E2B20"/>
          <w:spacing w:val="6"/>
          <w:sz w:val="24"/>
          <w:szCs w:val="24"/>
        </w:rPr>
        <w:t>Founding Global Strategic Partners</w:t>
      </w:r>
      <w:r>
        <w:rPr>
          <w:rFonts w:ascii="Avenir" w:eastAsia="Avenir" w:hAnsi="Avenir" w:cs="Avenir"/>
          <w:color w:val="262624"/>
          <w:sz w:val="24"/>
          <w:szCs w:val="24"/>
        </w:rPr>
        <w:t xml:space="preserve">, </w:t>
      </w:r>
      <w:r>
        <w:rPr>
          <w:rFonts w:ascii="Cormorant Garamond" w:eastAsia="Cormorant Garamond" w:hAnsi="Cormorant Garamond" w:cs="Cormorant Garamond"/>
          <w:color w:val="1E2B20"/>
          <w:spacing w:val="6"/>
          <w:sz w:val="24"/>
          <w:szCs w:val="24"/>
        </w:rPr>
        <w:t>Regional and National Strategic Partners</w:t>
      </w:r>
      <w:r>
        <w:rPr>
          <w:rFonts w:ascii="Avenir" w:eastAsia="Avenir" w:hAnsi="Avenir" w:cs="Avenir"/>
          <w:color w:val="262624"/>
          <w:sz w:val="24"/>
          <w:szCs w:val="24"/>
        </w:rPr>
        <w:t xml:space="preserve">, </w:t>
      </w:r>
      <w:r>
        <w:rPr>
          <w:rFonts w:ascii="Cormorant Garamond" w:eastAsia="Cormorant Garamond" w:hAnsi="Cormorant Garamond" w:cs="Cormorant Garamond"/>
          <w:color w:val="1E2B20"/>
          <w:spacing w:val="6"/>
          <w:sz w:val="24"/>
          <w:szCs w:val="24"/>
        </w:rPr>
        <w:t>Patrons</w:t>
      </w:r>
      <w:r>
        <w:rPr>
          <w:rFonts w:ascii="Avenir" w:eastAsia="Avenir" w:hAnsi="Avenir" w:cs="Avenir"/>
          <w:color w:val="262624"/>
          <w:sz w:val="24"/>
          <w:szCs w:val="24"/>
        </w:rPr>
        <w:t xml:space="preserve"> and local expertise.</w:t>
      </w:r>
    </w:p>
    <w:p w14:paraId="72BE9778" w14:textId="77777777" w:rsidR="00EE6FAE" w:rsidRDefault="00FA2AB0">
      <w:r>
        <w:br w:type="page"/>
      </w:r>
    </w:p>
    <w:p w14:paraId="14C5D0BB" w14:textId="77777777" w:rsidR="00EE6FAE" w:rsidRDefault="00EE6FAE">
      <w:pPr>
        <w:spacing w:after="700"/>
      </w:pPr>
    </w:p>
    <w:p w14:paraId="03E54C43" w14:textId="77777777" w:rsidR="00EE6FAE" w:rsidRDefault="00FA2AB0">
      <w:pPr>
        <w:keepNext/>
        <w:spacing w:after="380"/>
      </w:pPr>
      <w:r>
        <w:rPr>
          <w:rFonts w:ascii="Cormorant Garamond" w:eastAsia="Cormorant Garamond" w:hAnsi="Cormorant Garamond" w:cs="Cormorant Garamond"/>
          <w:color w:val="1E2B20"/>
          <w:spacing w:val="40"/>
          <w:sz w:val="28"/>
          <w:szCs w:val="28"/>
        </w:rPr>
        <w:t>GLOBAL RAPID RESPONSE FRAMEWORK</w:t>
      </w:r>
    </w:p>
    <w:tbl>
      <w:tblPr>
        <w:tblW w:w="7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1"/>
        <w:gridCol w:w="299"/>
        <w:gridCol w:w="1672"/>
        <w:gridCol w:w="300"/>
        <w:gridCol w:w="1672"/>
        <w:gridCol w:w="300"/>
        <w:gridCol w:w="1672"/>
      </w:tblGrid>
      <w:tr w:rsidR="00EE6FAE" w14:paraId="7DB18467" w14:textId="77777777">
        <w:trPr>
          <w:cantSplit/>
        </w:trPr>
        <w:tc>
          <w:tcPr>
            <w:tcW w:w="1672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</w:tcPr>
          <w:p w14:paraId="0EAB4DE8" w14:textId="77777777" w:rsidR="00EE6FAE" w:rsidRDefault="00FA2AB0">
            <w:pPr>
              <w:spacing w:after="160"/>
            </w:pPr>
            <w:r>
              <w:rPr>
                <w:rFonts w:ascii="Cormorant Garamond" w:eastAsia="Cormorant Garamond" w:hAnsi="Cormorant Garamond" w:cs="Cormorant Garamond"/>
                <w:color w:val="1E2B20"/>
              </w:rPr>
              <w:t>Prevention</w:t>
            </w:r>
          </w:p>
          <w:p w14:paraId="5CD86D29" w14:textId="77777777" w:rsidR="00EE6FAE" w:rsidRDefault="00FA2AB0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8"/>
                <w:szCs w:val="18"/>
              </w:rPr>
              <w:t>Combining proven best-practice models with innovative environmental solutions to reduce wildfire risk before it becomes wildfire response.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E09A5A" w14:textId="77777777" w:rsidR="00EE6FAE" w:rsidRDefault="00EE6FAE"/>
        </w:tc>
        <w:tc>
          <w:tcPr>
            <w:tcW w:w="1672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</w:tcPr>
          <w:p w14:paraId="448E7471" w14:textId="77777777" w:rsidR="00EE6FAE" w:rsidRDefault="00FA2AB0">
            <w:pPr>
              <w:spacing w:after="160"/>
            </w:pPr>
            <w:r>
              <w:rPr>
                <w:rFonts w:ascii="Cormorant Garamond" w:eastAsia="Cormorant Garamond" w:hAnsi="Cormorant Garamond" w:cs="Cormorant Garamond"/>
                <w:color w:val="1E2B20"/>
              </w:rPr>
              <w:t>Early Detection</w:t>
            </w:r>
          </w:p>
          <w:p w14:paraId="2815F5BC" w14:textId="77777777" w:rsidR="00EE6FAE" w:rsidRDefault="00FA2AB0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8"/>
                <w:szCs w:val="18"/>
              </w:rPr>
              <w:t>Continuous monitoring and rapid identification of emerging threats using advanced technologies and local operational capability.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80E93D" w14:textId="77777777" w:rsidR="00EE6FAE" w:rsidRDefault="00EE6FAE"/>
        </w:tc>
        <w:tc>
          <w:tcPr>
            <w:tcW w:w="1672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</w:tcPr>
          <w:p w14:paraId="0580AEFE" w14:textId="77777777" w:rsidR="00EE6FAE" w:rsidRDefault="00FA2AB0">
            <w:pPr>
              <w:spacing w:after="160"/>
            </w:pPr>
            <w:r>
              <w:rPr>
                <w:rFonts w:ascii="Cormorant Garamond" w:eastAsia="Cormorant Garamond" w:hAnsi="Cormorant Garamond" w:cs="Cormorant Garamond"/>
                <w:color w:val="1E2B20"/>
              </w:rPr>
              <w:t>Rapid Response</w:t>
            </w:r>
          </w:p>
          <w:p w14:paraId="34C5F40E" w14:textId="77777777" w:rsidR="00EE6FAE" w:rsidRDefault="00FA2AB0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8"/>
                <w:szCs w:val="18"/>
              </w:rPr>
              <w:t>Coordinated deployment of people, technology and resources to contain wildfires before they escalate.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309641" w14:textId="77777777" w:rsidR="00EE6FAE" w:rsidRDefault="00EE6FAE"/>
        </w:tc>
        <w:tc>
          <w:tcPr>
            <w:tcW w:w="1672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</w:tcPr>
          <w:p w14:paraId="4800F4EF" w14:textId="77777777" w:rsidR="00EE6FAE" w:rsidRDefault="00FA2AB0">
            <w:pPr>
              <w:suppressAutoHyphens/>
              <w:spacing w:after="160"/>
            </w:pPr>
            <w:r>
              <w:rPr>
                <w:rFonts w:ascii="Cormorant Garamond" w:eastAsia="Cormorant Garamond" w:hAnsi="Cormorant Garamond" w:cs="Cormorant Garamond"/>
                <w:color w:val="1E2B20"/>
              </w:rPr>
              <w:t>Regeneration</w:t>
            </w:r>
          </w:p>
          <w:p w14:paraId="67C14CF0" w14:textId="77777777" w:rsidR="00EE6FAE" w:rsidRDefault="00FA2AB0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8"/>
                <w:szCs w:val="18"/>
              </w:rPr>
              <w:t>Continuous restoration of biodiversity, regeneration of ecosystems, and enhancement of the long‑term resilience of landscapes and communities.</w:t>
            </w:r>
          </w:p>
        </w:tc>
      </w:tr>
    </w:tbl>
    <w:p w14:paraId="1E314EDE" w14:textId="77777777" w:rsidR="00EE6FAE" w:rsidRDefault="00FA2AB0">
      <w:r>
        <w:br w:type="page"/>
      </w:r>
    </w:p>
    <w:p w14:paraId="64AB6041" w14:textId="77777777" w:rsidR="00EE6FAE" w:rsidRDefault="00EE6FAE">
      <w:pPr>
        <w:spacing w:after="600"/>
      </w:pPr>
    </w:p>
    <w:p w14:paraId="1D989401" w14:textId="77777777" w:rsidR="00EE6FAE" w:rsidRDefault="00FA2AB0">
      <w:pPr>
        <w:keepNext/>
        <w:spacing w:after="380"/>
      </w:pPr>
      <w:r>
        <w:rPr>
          <w:rFonts w:ascii="Cormorant Garamond" w:eastAsia="Cormorant Garamond" w:hAnsi="Cormorant Garamond" w:cs="Cormorant Garamond"/>
          <w:color w:val="1E2B20"/>
          <w:spacing w:val="40"/>
          <w:sz w:val="28"/>
          <w:szCs w:val="28"/>
        </w:rPr>
        <w:t>FOUNDING GLOBAL STRATEGIC PARTNERS</w:t>
      </w:r>
    </w:p>
    <w:p w14:paraId="01729D8B" w14:textId="77777777" w:rsidR="00EE6FAE" w:rsidRDefault="00FA2AB0">
      <w:pPr>
        <w:spacing w:after="500" w:line="380" w:lineRule="auto"/>
      </w:pPr>
      <w:r>
        <w:rPr>
          <w:rFonts w:ascii="Avenir" w:eastAsia="Avenir" w:hAnsi="Avenir" w:cs="Avenir"/>
          <w:color w:val="262624"/>
          <w:sz w:val="24"/>
          <w:szCs w:val="24"/>
        </w:rPr>
        <w:t xml:space="preserve">Every </w:t>
      </w:r>
      <w:r>
        <w:rPr>
          <w:rFonts w:ascii="Cormorant Garamond" w:eastAsia="Cormorant Garamond" w:hAnsi="Cormorant Garamond" w:cs="Cormorant Garamond"/>
          <w:color w:val="1E2B20"/>
          <w:spacing w:val="6"/>
          <w:sz w:val="24"/>
          <w:szCs w:val="24"/>
        </w:rPr>
        <w:t>Founding Global Strategic Partner</w:t>
      </w:r>
      <w:r>
        <w:rPr>
          <w:rFonts w:ascii="Avenir" w:eastAsia="Avenir" w:hAnsi="Avenir" w:cs="Avenir"/>
          <w:color w:val="262624"/>
          <w:sz w:val="24"/>
          <w:szCs w:val="24"/>
        </w:rPr>
        <w:t xml:space="preserve"> fulfils a clearly defined role within the </w:t>
      </w:r>
      <w:r>
        <w:rPr>
          <w:rFonts w:ascii="Cormorant Garamond" w:eastAsia="Cormorant Garamond" w:hAnsi="Cormorant Garamond" w:cs="Cormorant Garamond"/>
          <w:color w:val="1E2B20"/>
          <w:spacing w:val="6"/>
          <w:sz w:val="24"/>
          <w:szCs w:val="24"/>
        </w:rPr>
        <w:t>Global Rapid Response Framework</w:t>
      </w:r>
      <w:r>
        <w:rPr>
          <w:rFonts w:ascii="Avenir" w:eastAsia="Avenir" w:hAnsi="Avenir" w:cs="Avenir"/>
          <w:color w:val="262624"/>
          <w:sz w:val="24"/>
          <w:szCs w:val="24"/>
        </w:rPr>
        <w:t>.</w:t>
      </w:r>
    </w:p>
    <w:p w14:paraId="2512934C" w14:textId="77777777" w:rsidR="00EE6FAE" w:rsidRDefault="00FA2AB0">
      <w:pPr>
        <w:spacing w:after="220"/>
        <w:jc w:val="center"/>
      </w:pPr>
      <w:r>
        <w:rPr>
          <w:rFonts w:ascii="Cormorant Garamond" w:eastAsia="Cormorant Garamond" w:hAnsi="Cormorant Garamond" w:cs="Cormorant Garamond"/>
          <w:color w:val="1E2B20"/>
          <w:spacing w:val="10"/>
          <w:sz w:val="36"/>
          <w:szCs w:val="36"/>
        </w:rPr>
        <w:t>Global Rapid Response Framework</w:t>
      </w:r>
    </w:p>
    <w:tbl>
      <w:tblPr>
        <w:tblW w:w="75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6"/>
      </w:tblGrid>
      <w:tr w:rsidR="00EE6FAE" w14:paraId="07BE137E" w14:textId="77777777">
        <w:tc>
          <w:tcPr>
            <w:tcW w:w="100" w:type="dxa"/>
            <w:tcBorders>
              <w:top w:val="single" w:sz="5" w:space="0" w:color="1E2B2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82" w:type="dxa"/>
              <w:bottom w:w="0" w:type="dxa"/>
              <w:right w:w="2882" w:type="dxa"/>
            </w:tcMar>
          </w:tcPr>
          <w:p w14:paraId="54A98E1F" w14:textId="77777777" w:rsidR="00EE6FAE" w:rsidRDefault="00EE6FAE"/>
        </w:tc>
      </w:tr>
    </w:tbl>
    <w:p w14:paraId="21FE8AF0" w14:textId="77777777" w:rsidR="00EE6FAE" w:rsidRDefault="00EE6FAE">
      <w:pPr>
        <w:spacing w:after="340"/>
      </w:pPr>
    </w:p>
    <w:tbl>
      <w:tblPr>
        <w:tblW w:w="75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93"/>
        <w:gridCol w:w="3793"/>
      </w:tblGrid>
      <w:tr w:rsidR="00EE6FAE" w14:paraId="40651098" w14:textId="77777777">
        <w:trPr>
          <w:cantSplit/>
        </w:trPr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3D24DB93" w14:textId="77777777" w:rsidR="00EE6FAE" w:rsidRDefault="00FA2AB0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Environmental Technologies Partner</w:t>
            </w:r>
          </w:p>
        </w:tc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4A086DB2" w14:textId="77777777" w:rsidR="00EE6FAE" w:rsidRDefault="00FA2AB0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Early Detection &amp; Monitoring Partner</w:t>
            </w:r>
          </w:p>
        </w:tc>
      </w:tr>
      <w:tr w:rsidR="00EE6FAE" w14:paraId="0BC448C6" w14:textId="77777777">
        <w:trPr>
          <w:cantSplit/>
        </w:trPr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003A6346" w14:textId="77777777" w:rsidR="00EE6FAE" w:rsidRDefault="00FA2AB0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Drone &amp; Autonomous Response Partner</w:t>
            </w:r>
          </w:p>
        </w:tc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5AFF35EA" w14:textId="77777777" w:rsidR="00EE6FAE" w:rsidRDefault="00FA2AB0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Communications Infrastructure Partner</w:t>
            </w:r>
          </w:p>
        </w:tc>
      </w:tr>
      <w:tr w:rsidR="00EE6FAE" w14:paraId="50FEF81D" w14:textId="77777777">
        <w:trPr>
          <w:cantSplit/>
        </w:trPr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042891F9" w14:textId="77777777" w:rsidR="00EE6FAE" w:rsidRDefault="00FA2AB0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Sustainable Construction Systems Partner</w:t>
            </w:r>
          </w:p>
        </w:tc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2374C038" w14:textId="77777777" w:rsidR="00EE6FAE" w:rsidRDefault="00FA2AB0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Natural Building Materials Partner</w:t>
            </w:r>
          </w:p>
        </w:tc>
      </w:tr>
      <w:tr w:rsidR="00EE6FAE" w14:paraId="4B548A18" w14:textId="77777777">
        <w:trPr>
          <w:cantSplit/>
        </w:trPr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60814D38" w14:textId="77777777" w:rsidR="00EE6FAE" w:rsidRDefault="00FA2AB0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Structural Timber &amp; Engineering Partner</w:t>
            </w:r>
          </w:p>
        </w:tc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5B7C51A2" w14:textId="77777777" w:rsidR="00EE6FAE" w:rsidRDefault="00FA2AB0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Structural Steel Partner</w:t>
            </w:r>
          </w:p>
        </w:tc>
      </w:tr>
      <w:tr w:rsidR="00EE6FAE" w14:paraId="541A3E53" w14:textId="77777777">
        <w:trPr>
          <w:cantSplit/>
        </w:trPr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0542972F" w14:textId="77777777" w:rsidR="00EE6FAE" w:rsidRDefault="00FA2AB0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Renewable Energy &amp; Storage Partner</w:t>
            </w:r>
          </w:p>
        </w:tc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66AE9F18" w14:textId="77777777" w:rsidR="00EE6FAE" w:rsidRDefault="00FA2AB0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Water Systems &amp; Firefighting Equipment Partner</w:t>
            </w:r>
          </w:p>
        </w:tc>
      </w:tr>
      <w:tr w:rsidR="00EE6FAE" w14:paraId="4F45A71E" w14:textId="77777777">
        <w:trPr>
          <w:cantSplit/>
        </w:trPr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0DD5D17E" w14:textId="77777777" w:rsidR="00EE6FAE" w:rsidRDefault="00FA2AB0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Regenerative Agriculture Partner</w:t>
            </w:r>
          </w:p>
        </w:tc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5ED2925B" w14:textId="77777777" w:rsidR="00EE6FAE" w:rsidRDefault="00FA2AB0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Ecological Restoration Partner</w:t>
            </w:r>
          </w:p>
        </w:tc>
      </w:tr>
      <w:tr w:rsidR="00EE6FAE" w14:paraId="35AD4548" w14:textId="77777777">
        <w:trPr>
          <w:cantSplit/>
        </w:trPr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3E28FF9E" w14:textId="77777777" w:rsidR="00EE6FAE" w:rsidRDefault="00FA2AB0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Research &amp; Technical Innovation Partner</w:t>
            </w:r>
          </w:p>
        </w:tc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45E32272" w14:textId="77777777" w:rsidR="00EE6FAE" w:rsidRDefault="00FA2AB0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Regional Implementation Partner</w:t>
            </w:r>
          </w:p>
        </w:tc>
      </w:tr>
    </w:tbl>
    <w:p w14:paraId="5347BB23" w14:textId="77777777" w:rsidR="00EE6FAE" w:rsidRDefault="00FA2AB0">
      <w:r>
        <w:br w:type="page"/>
      </w:r>
    </w:p>
    <w:p w14:paraId="01E321B5" w14:textId="77777777" w:rsidR="00EE6FAE" w:rsidRDefault="00EE6FAE">
      <w:pPr>
        <w:spacing w:after="700"/>
      </w:pPr>
    </w:p>
    <w:p w14:paraId="0190D721" w14:textId="77777777" w:rsidR="00EE6FAE" w:rsidRDefault="00FA2AB0">
      <w:pPr>
        <w:spacing w:after="320"/>
      </w:pPr>
      <w:r>
        <w:rPr>
          <w:rFonts w:ascii="Cormorant Garamond" w:eastAsia="Cormorant Garamond" w:hAnsi="Cormorant Garamond" w:cs="Cormorant Garamond"/>
          <w:color w:val="1E2B20"/>
          <w:sz w:val="30"/>
          <w:szCs w:val="30"/>
        </w:rPr>
        <w:t>Why Your Organisation?</w:t>
      </w:r>
    </w:p>
    <w:p w14:paraId="2C99AD36" w14:textId="77777777" w:rsidR="00EE6FAE" w:rsidRDefault="00FA2AB0">
      <w:pPr>
        <w:keepNext/>
        <w:spacing w:after="260" w:line="400" w:lineRule="auto"/>
      </w:pPr>
      <w:r>
        <w:rPr>
          <w:rFonts w:ascii="Avenir" w:eastAsia="Avenir" w:hAnsi="Avenir" w:cs="Avenir"/>
          <w:color w:val="262624"/>
          <w:sz w:val="24"/>
          <w:szCs w:val="24"/>
        </w:rPr>
        <w:t>Your organisation has been identified because it possesses capabilities that are both distinctive and essential to the successful implementation of the Framework.</w:t>
      </w:r>
    </w:p>
    <w:p w14:paraId="1E96BF23" w14:textId="77777777" w:rsidR="00EE6FAE" w:rsidRDefault="00FA2AB0">
      <w:pPr>
        <w:spacing w:after="220" w:line="400" w:lineRule="auto"/>
      </w:pPr>
      <w:r>
        <w:rPr>
          <w:rFonts w:ascii="Avenir" w:eastAsia="Avenir" w:hAnsi="Avenir" w:cs="Avenir"/>
          <w:color w:val="262624"/>
          <w:sz w:val="24"/>
          <w:szCs w:val="24"/>
        </w:rPr>
        <w:t xml:space="preserve">Like every </w:t>
      </w:r>
      <w:r>
        <w:rPr>
          <w:rFonts w:ascii="Cormorant Garamond" w:eastAsia="Cormorant Garamond" w:hAnsi="Cormorant Garamond" w:cs="Cormorant Garamond"/>
          <w:color w:val="1E2B20"/>
          <w:spacing w:val="6"/>
          <w:sz w:val="24"/>
          <w:szCs w:val="24"/>
        </w:rPr>
        <w:t>Founding Global Strategic Partner</w:t>
      </w:r>
      <w:r>
        <w:rPr>
          <w:rFonts w:ascii="Avenir" w:eastAsia="Avenir" w:hAnsi="Avenir" w:cs="Avenir"/>
          <w:color w:val="262624"/>
          <w:sz w:val="24"/>
          <w:szCs w:val="24"/>
        </w:rPr>
        <w:t>, your organisation has been selected for a clearly defined role within an integrated operational system designed for long‑term impact.</w:t>
      </w:r>
    </w:p>
    <w:p w14:paraId="182F763D" w14:textId="77777777" w:rsidR="00EE6FAE" w:rsidRDefault="00FA2AB0">
      <w:r>
        <w:br w:type="page"/>
      </w:r>
    </w:p>
    <w:p w14:paraId="6FD7B170" w14:textId="77777777" w:rsidR="00EE6FAE" w:rsidRDefault="00EE6FAE">
      <w:pPr>
        <w:spacing w:after="500"/>
      </w:pPr>
    </w:p>
    <w:p w14:paraId="40BF0721" w14:textId="77777777" w:rsidR="00EE6FAE" w:rsidRDefault="00FA2AB0">
      <w:pPr>
        <w:keepNext/>
        <w:spacing w:after="380"/>
      </w:pPr>
      <w:r>
        <w:rPr>
          <w:rFonts w:ascii="Cormorant Garamond" w:eastAsia="Cormorant Garamond" w:hAnsi="Cormorant Garamond" w:cs="Cormorant Garamond"/>
          <w:color w:val="1E2B20"/>
          <w:spacing w:val="40"/>
          <w:sz w:val="28"/>
          <w:szCs w:val="28"/>
        </w:rPr>
        <w:t>REGIONAL &amp; NATIONAL STRATEGIC PARTNERS</w:t>
      </w:r>
    </w:p>
    <w:tbl>
      <w:tblPr>
        <w:tblW w:w="7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8"/>
        <w:gridCol w:w="2529"/>
        <w:gridCol w:w="2529"/>
      </w:tblGrid>
      <w:tr w:rsidR="00EE6FAE" w14:paraId="48130B59" w14:textId="77777777">
        <w:trPr>
          <w:cantSplit/>
        </w:trPr>
        <w:tc>
          <w:tcPr>
            <w:tcW w:w="2529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250" w:type="dxa"/>
              <w:left w:w="250" w:type="dxa"/>
              <w:bottom w:w="250" w:type="dxa"/>
              <w:right w:w="250" w:type="dxa"/>
            </w:tcMar>
            <w:vAlign w:val="center"/>
          </w:tcPr>
          <w:p w14:paraId="7B8156F9" w14:textId="77777777" w:rsidR="00EE6FAE" w:rsidRDefault="00FA2AB0">
            <w:pPr>
              <w:spacing w:after="120"/>
            </w:pPr>
            <w:r>
              <w:rPr>
                <w:rFonts w:ascii="Cormorant Garamond" w:eastAsia="Cormorant Garamond" w:hAnsi="Cormorant Garamond" w:cs="Cormorant Garamond"/>
                <w:color w:val="1E2B20"/>
                <w:sz w:val="22"/>
                <w:szCs w:val="22"/>
              </w:rPr>
              <w:t>Funding</w:t>
            </w:r>
          </w:p>
          <w:p w14:paraId="2BF2946E" w14:textId="77777777" w:rsidR="00EE6FAE" w:rsidRDefault="00FA2AB0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Funding</w:t>
            </w:r>
          </w:p>
        </w:tc>
        <w:tc>
          <w:tcPr>
            <w:tcW w:w="2529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250" w:type="dxa"/>
              <w:left w:w="250" w:type="dxa"/>
              <w:bottom w:w="250" w:type="dxa"/>
              <w:right w:w="250" w:type="dxa"/>
            </w:tcMar>
            <w:vAlign w:val="center"/>
          </w:tcPr>
          <w:p w14:paraId="1435111C" w14:textId="77777777" w:rsidR="00EE6FAE" w:rsidRDefault="00FA2AB0">
            <w:pPr>
              <w:spacing w:after="120"/>
            </w:pPr>
            <w:r>
              <w:rPr>
                <w:rFonts w:ascii="Cormorant Garamond" w:eastAsia="Cormorant Garamond" w:hAnsi="Cormorant Garamond" w:cs="Cormorant Garamond"/>
                <w:color w:val="1E2B20"/>
                <w:sz w:val="22"/>
                <w:szCs w:val="22"/>
              </w:rPr>
              <w:t>Technology</w:t>
            </w:r>
          </w:p>
          <w:p w14:paraId="52DE2E25" w14:textId="77777777" w:rsidR="00EE6FAE" w:rsidRDefault="00FA2AB0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Equipment &amp; Technology Supply</w:t>
            </w:r>
          </w:p>
          <w:p w14:paraId="309D2C84" w14:textId="77777777" w:rsidR="00EE6FAE" w:rsidRDefault="00FA2AB0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Technical Expertise</w:t>
            </w:r>
          </w:p>
        </w:tc>
        <w:tc>
          <w:tcPr>
            <w:tcW w:w="2529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250" w:type="dxa"/>
              <w:left w:w="250" w:type="dxa"/>
              <w:bottom w:w="250" w:type="dxa"/>
              <w:right w:w="250" w:type="dxa"/>
            </w:tcMar>
            <w:vAlign w:val="center"/>
          </w:tcPr>
          <w:p w14:paraId="18C18D16" w14:textId="77777777" w:rsidR="00EE6FAE" w:rsidRDefault="00FA2AB0">
            <w:pPr>
              <w:spacing w:after="120"/>
            </w:pPr>
            <w:r>
              <w:rPr>
                <w:rFonts w:ascii="Cormorant Garamond" w:eastAsia="Cormorant Garamond" w:hAnsi="Cormorant Garamond" w:cs="Cormorant Garamond"/>
                <w:color w:val="1E2B20"/>
                <w:sz w:val="22"/>
                <w:szCs w:val="22"/>
              </w:rPr>
              <w:t>Engineering</w:t>
            </w:r>
          </w:p>
          <w:p w14:paraId="544E4342" w14:textId="77777777" w:rsidR="00EE6FAE" w:rsidRDefault="00FA2AB0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Engineering &amp; Installation</w:t>
            </w:r>
          </w:p>
          <w:p w14:paraId="597712A4" w14:textId="77777777" w:rsidR="00EE6FAE" w:rsidRDefault="00FA2AB0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Environmental Implementation</w:t>
            </w:r>
          </w:p>
        </w:tc>
      </w:tr>
      <w:tr w:rsidR="00EE6FAE" w14:paraId="275C2235" w14:textId="77777777">
        <w:tc>
          <w:tcPr>
            <w:tcW w:w="25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A73325" w14:textId="77777777" w:rsidR="00EE6FAE" w:rsidRDefault="00EE6FAE">
            <w:pPr>
              <w:spacing w:after="220"/>
            </w:pPr>
          </w:p>
        </w:tc>
        <w:tc>
          <w:tcPr>
            <w:tcW w:w="25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61D5CE" w14:textId="77777777" w:rsidR="00EE6FAE" w:rsidRDefault="00EE6FAE">
            <w:pPr>
              <w:spacing w:after="220"/>
            </w:pPr>
          </w:p>
        </w:tc>
        <w:tc>
          <w:tcPr>
            <w:tcW w:w="25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53FEA0" w14:textId="77777777" w:rsidR="00EE6FAE" w:rsidRDefault="00EE6FAE">
            <w:pPr>
              <w:spacing w:after="220"/>
            </w:pPr>
          </w:p>
        </w:tc>
      </w:tr>
      <w:tr w:rsidR="00EE6FAE" w14:paraId="2C2D6C60" w14:textId="77777777">
        <w:trPr>
          <w:cantSplit/>
        </w:trPr>
        <w:tc>
          <w:tcPr>
            <w:tcW w:w="2529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250" w:type="dxa"/>
              <w:left w:w="250" w:type="dxa"/>
              <w:bottom w:w="250" w:type="dxa"/>
              <w:right w:w="250" w:type="dxa"/>
            </w:tcMar>
            <w:vAlign w:val="center"/>
          </w:tcPr>
          <w:p w14:paraId="14991C41" w14:textId="77777777" w:rsidR="00EE6FAE" w:rsidRDefault="00FA2AB0">
            <w:pPr>
              <w:spacing w:after="120"/>
            </w:pPr>
            <w:r>
              <w:rPr>
                <w:rFonts w:ascii="Cormorant Garamond" w:eastAsia="Cormorant Garamond" w:hAnsi="Cormorant Garamond" w:cs="Cormorant Garamond"/>
                <w:color w:val="1E2B20"/>
                <w:sz w:val="22"/>
                <w:szCs w:val="22"/>
              </w:rPr>
              <w:t>Operations</w:t>
            </w:r>
          </w:p>
          <w:p w14:paraId="50DDAAA6" w14:textId="77777777" w:rsidR="00EE6FAE" w:rsidRDefault="00FA2AB0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Operations &amp; Maintenance</w:t>
            </w:r>
          </w:p>
          <w:p w14:paraId="62E8959E" w14:textId="77777777" w:rsidR="00EE6FAE" w:rsidRDefault="00FA2AB0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Regional Coordination</w:t>
            </w:r>
          </w:p>
          <w:p w14:paraId="0FC0BD25" w14:textId="77777777" w:rsidR="00EE6FAE" w:rsidRDefault="00FA2AB0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Human Resources &amp; Training</w:t>
            </w:r>
          </w:p>
        </w:tc>
        <w:tc>
          <w:tcPr>
            <w:tcW w:w="2529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250" w:type="dxa"/>
              <w:left w:w="250" w:type="dxa"/>
              <w:bottom w:w="250" w:type="dxa"/>
              <w:right w:w="250" w:type="dxa"/>
            </w:tcMar>
            <w:vAlign w:val="center"/>
          </w:tcPr>
          <w:p w14:paraId="7024F9BF" w14:textId="77777777" w:rsidR="00EE6FAE" w:rsidRDefault="00FA2AB0">
            <w:pPr>
              <w:spacing w:after="120"/>
            </w:pPr>
            <w:r>
              <w:rPr>
                <w:rFonts w:ascii="Cormorant Garamond" w:eastAsia="Cormorant Garamond" w:hAnsi="Cormorant Garamond" w:cs="Cormorant Garamond"/>
                <w:color w:val="1E2B20"/>
                <w:sz w:val="22"/>
                <w:szCs w:val="22"/>
              </w:rPr>
              <w:t>Research</w:t>
            </w:r>
          </w:p>
          <w:p w14:paraId="558E1543" w14:textId="77777777" w:rsidR="00EE6FAE" w:rsidRDefault="00FA2AB0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Research &amp; Innovation</w:t>
            </w:r>
          </w:p>
        </w:tc>
        <w:tc>
          <w:tcPr>
            <w:tcW w:w="2529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250" w:type="dxa"/>
              <w:left w:w="250" w:type="dxa"/>
              <w:bottom w:w="250" w:type="dxa"/>
              <w:right w:w="250" w:type="dxa"/>
            </w:tcMar>
            <w:vAlign w:val="center"/>
          </w:tcPr>
          <w:p w14:paraId="46D2955D" w14:textId="77777777" w:rsidR="00EE6FAE" w:rsidRDefault="00FA2AB0">
            <w:pPr>
              <w:spacing w:after="120"/>
            </w:pPr>
            <w:r>
              <w:rPr>
                <w:rFonts w:ascii="Cormorant Garamond" w:eastAsia="Cormorant Garamond" w:hAnsi="Cormorant Garamond" w:cs="Cormorant Garamond"/>
                <w:color w:val="1E2B20"/>
                <w:sz w:val="22"/>
                <w:szCs w:val="22"/>
              </w:rPr>
              <w:t>Logistics</w:t>
            </w:r>
          </w:p>
          <w:p w14:paraId="17B8EB74" w14:textId="77777777" w:rsidR="00EE6FAE" w:rsidRDefault="00FA2AB0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Logistics &amp; Operational Support</w:t>
            </w:r>
          </w:p>
        </w:tc>
      </w:tr>
    </w:tbl>
    <w:p w14:paraId="65A3714B" w14:textId="77777777" w:rsidR="00EE6FAE" w:rsidRDefault="00EE6FAE">
      <w:pPr>
        <w:spacing w:after="320"/>
      </w:pPr>
    </w:p>
    <w:p w14:paraId="4A3E42F5" w14:textId="77777777" w:rsidR="00EE6FAE" w:rsidRDefault="00FA2AB0">
      <w:pPr>
        <w:spacing w:after="220" w:line="340" w:lineRule="auto"/>
        <w:jc w:val="center"/>
      </w:pPr>
      <w:r>
        <w:rPr>
          <w:rFonts w:ascii="Avenir" w:eastAsia="Avenir" w:hAnsi="Avenir" w:cs="Avenir"/>
          <w:i/>
          <w:iCs/>
          <w:color w:val="A8A296"/>
          <w:sz w:val="22"/>
          <w:szCs w:val="22"/>
        </w:rPr>
        <w:t>A Strategic Partner may contribute one, several or all of these functions.</w:t>
      </w:r>
    </w:p>
    <w:p w14:paraId="519B7C62" w14:textId="77777777" w:rsidR="00EE6FAE" w:rsidRDefault="00FA2AB0">
      <w:r>
        <w:br w:type="page"/>
      </w:r>
    </w:p>
    <w:p w14:paraId="54FF8B19" w14:textId="77777777" w:rsidR="00EE6FAE" w:rsidRDefault="00EE6FAE">
      <w:pPr>
        <w:spacing w:after="900"/>
      </w:pPr>
    </w:p>
    <w:p w14:paraId="6A883391" w14:textId="77777777" w:rsidR="00EE6FAE" w:rsidRDefault="00FA2AB0">
      <w:pPr>
        <w:keepNext/>
        <w:spacing w:after="380"/>
      </w:pPr>
      <w:r>
        <w:rPr>
          <w:rFonts w:ascii="Cormorant Garamond" w:eastAsia="Cormorant Garamond" w:hAnsi="Cormorant Garamond" w:cs="Cormorant Garamond"/>
          <w:color w:val="1E2B20"/>
          <w:spacing w:val="40"/>
          <w:sz w:val="28"/>
          <w:szCs w:val="28"/>
        </w:rPr>
        <w:t>PATRONS</w:t>
      </w:r>
    </w:p>
    <w:tbl>
      <w:tblPr>
        <w:tblW w:w="7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63"/>
        <w:gridCol w:w="260"/>
        <w:gridCol w:w="3663"/>
      </w:tblGrid>
      <w:tr w:rsidR="00EE6FAE" w14:paraId="7C663987" w14:textId="77777777">
        <w:tc>
          <w:tcPr>
            <w:tcW w:w="3663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62F3AB0" w14:textId="77777777" w:rsidR="00EE6FAE" w:rsidRDefault="00FA2AB0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9"/>
                <w:szCs w:val="19"/>
              </w:rPr>
              <w:t>Long-term Funding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EB32D3" w14:textId="77777777" w:rsidR="00EE6FAE" w:rsidRDefault="00EE6FAE"/>
        </w:tc>
        <w:tc>
          <w:tcPr>
            <w:tcW w:w="3663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4609AE08" w14:textId="77777777" w:rsidR="00EE6FAE" w:rsidRDefault="00FA2AB0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9"/>
                <w:szCs w:val="19"/>
              </w:rPr>
              <w:t>Legacy Funding</w:t>
            </w:r>
          </w:p>
        </w:tc>
      </w:tr>
      <w:tr w:rsidR="00EE6FAE" w14:paraId="0D12175E" w14:textId="77777777">
        <w:tc>
          <w:tcPr>
            <w:tcW w:w="758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B9DAF6" w14:textId="77777777" w:rsidR="00EE6FAE" w:rsidRDefault="00EE6FAE">
            <w:pPr>
              <w:spacing w:after="220"/>
            </w:pPr>
          </w:p>
        </w:tc>
      </w:tr>
      <w:tr w:rsidR="00EE6FAE" w14:paraId="303A9179" w14:textId="77777777">
        <w:tc>
          <w:tcPr>
            <w:tcW w:w="3663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A171857" w14:textId="77777777" w:rsidR="00EE6FAE" w:rsidRDefault="00FA2AB0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9"/>
                <w:szCs w:val="19"/>
              </w:rPr>
              <w:t>Strategic Impact Funding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0D7502" w14:textId="77777777" w:rsidR="00EE6FAE" w:rsidRDefault="00EE6FAE"/>
        </w:tc>
        <w:tc>
          <w:tcPr>
            <w:tcW w:w="3663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264E986F" w14:textId="77777777" w:rsidR="00EE6FAE" w:rsidRDefault="00FA2AB0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9"/>
                <w:szCs w:val="19"/>
              </w:rPr>
              <w:t>Transformational Funding</w:t>
            </w:r>
          </w:p>
        </w:tc>
      </w:tr>
    </w:tbl>
    <w:p w14:paraId="51EB9CCF" w14:textId="77777777" w:rsidR="00EE6FAE" w:rsidRDefault="00EE6FAE">
      <w:pPr>
        <w:spacing w:after="320"/>
      </w:pPr>
    </w:p>
    <w:p w14:paraId="56EB8079" w14:textId="77777777" w:rsidR="00EE6FAE" w:rsidRDefault="00FA2AB0">
      <w:pPr>
        <w:spacing w:after="220" w:line="340" w:lineRule="auto"/>
        <w:jc w:val="center"/>
      </w:pPr>
      <w:r>
        <w:rPr>
          <w:rFonts w:ascii="Avenir" w:eastAsia="Avenir" w:hAnsi="Avenir" w:cs="Avenir"/>
          <w:i/>
          <w:iCs/>
          <w:color w:val="A8A296"/>
          <w:sz w:val="22"/>
          <w:szCs w:val="22"/>
        </w:rPr>
        <w:t>A Patron may contribute one, several or all of these forms of funding.</w:t>
      </w:r>
    </w:p>
    <w:p w14:paraId="23AC828B" w14:textId="77777777" w:rsidR="00EE6FAE" w:rsidRDefault="00FA2AB0">
      <w:r>
        <w:br w:type="page"/>
      </w:r>
    </w:p>
    <w:p w14:paraId="2C18C725" w14:textId="77777777" w:rsidR="00EE6FAE" w:rsidRDefault="00EE6FAE">
      <w:pPr>
        <w:spacing w:after="500"/>
      </w:pPr>
    </w:p>
    <w:p w14:paraId="4D9C9634" w14:textId="77777777" w:rsidR="00EE6FAE" w:rsidRDefault="00FA2AB0">
      <w:pPr>
        <w:keepNext/>
        <w:spacing w:after="340"/>
      </w:pPr>
      <w:r>
        <w:rPr>
          <w:rFonts w:ascii="Cormorant Garamond" w:eastAsia="Cormorant Garamond" w:hAnsi="Cormorant Garamond" w:cs="Cormorant Garamond"/>
          <w:color w:val="1E2B20"/>
          <w:spacing w:val="40"/>
          <w:sz w:val="28"/>
          <w:szCs w:val="28"/>
        </w:rPr>
        <w:t>LONG-TERM MARKET DRIVERS</w:t>
      </w:r>
    </w:p>
    <w:p w14:paraId="0B3B38D6" w14:textId="77777777" w:rsidR="00EE6FAE" w:rsidRDefault="00FA2AB0">
      <w:pPr>
        <w:spacing w:after="460" w:line="380" w:lineRule="auto"/>
      </w:pPr>
      <w:r>
        <w:rPr>
          <w:rFonts w:ascii="Avenir" w:eastAsia="Avenir" w:hAnsi="Avenir" w:cs="Avenir"/>
          <w:color w:val="262624"/>
          <w:sz w:val="24"/>
          <w:szCs w:val="24"/>
        </w:rPr>
        <w:t>Long-term demand for environmental protection and regeneration is being driven by structural global risks rather than short-term market cycles.</w:t>
      </w:r>
    </w:p>
    <w:p w14:paraId="7A002B73" w14:textId="77777777" w:rsidR="00EE6FAE" w:rsidRDefault="00FA2AB0">
      <w:pPr>
        <w:keepNext/>
        <w:spacing w:after="130"/>
      </w:pPr>
      <w:r>
        <w:rPr>
          <w:rFonts w:ascii="Cormorant Garamond" w:eastAsia="Cormorant Garamond" w:hAnsi="Cormorant Garamond" w:cs="Cormorant Garamond"/>
          <w:color w:val="1E2B20"/>
          <w:sz w:val="24"/>
          <w:szCs w:val="24"/>
        </w:rPr>
        <w:t>Climate</w:t>
      </w:r>
    </w:p>
    <w:p w14:paraId="738FE671" w14:textId="77777777" w:rsidR="00EE6FAE" w:rsidRDefault="00FA2AB0">
      <w:pPr>
        <w:spacing w:line="300" w:lineRule="auto"/>
      </w:pPr>
      <w:r>
        <w:rPr>
          <w:rFonts w:ascii="Avenir" w:eastAsia="Avenir" w:hAnsi="Avenir" w:cs="Avenir"/>
          <w:color w:val="262624"/>
          <w:sz w:val="22"/>
          <w:szCs w:val="22"/>
        </w:rPr>
        <w:t>Increasing frequency and severity of climate-related environmental events.</w:t>
      </w:r>
    </w:p>
    <w:p w14:paraId="72886D11" w14:textId="77777777" w:rsidR="00EE6FAE" w:rsidRDefault="00FA2AB0">
      <w:pPr>
        <w:keepNext/>
        <w:spacing w:after="130"/>
      </w:pPr>
      <w:r>
        <w:rPr>
          <w:rFonts w:ascii="Cormorant Garamond" w:eastAsia="Cormorant Garamond" w:hAnsi="Cormorant Garamond" w:cs="Cormorant Garamond"/>
          <w:color w:val="1E2B20"/>
          <w:sz w:val="24"/>
          <w:szCs w:val="24"/>
        </w:rPr>
        <w:t>Investment</w:t>
      </w:r>
    </w:p>
    <w:p w14:paraId="76CD144B" w14:textId="77777777" w:rsidR="00EE6FAE" w:rsidRDefault="00FA2AB0">
      <w:pPr>
        <w:spacing w:line="300" w:lineRule="auto"/>
      </w:pPr>
      <w:r>
        <w:rPr>
          <w:rFonts w:ascii="Avenir" w:eastAsia="Avenir" w:hAnsi="Avenir" w:cs="Avenir"/>
          <w:color w:val="262624"/>
          <w:sz w:val="22"/>
          <w:szCs w:val="22"/>
        </w:rPr>
        <w:t>Growing investment in prevention, resilience and regeneration.</w:t>
      </w:r>
    </w:p>
    <w:p w14:paraId="34906979" w14:textId="77777777" w:rsidR="00EE6FAE" w:rsidRDefault="00FA2AB0">
      <w:pPr>
        <w:keepNext/>
        <w:spacing w:after="130"/>
      </w:pPr>
      <w:r>
        <w:rPr>
          <w:rFonts w:ascii="Cormorant Garamond" w:eastAsia="Cormorant Garamond" w:hAnsi="Cormorant Garamond" w:cs="Cormorant Garamond"/>
          <w:color w:val="1E2B20"/>
          <w:sz w:val="24"/>
          <w:szCs w:val="24"/>
        </w:rPr>
        <w:t>Operational Capacity</w:t>
      </w:r>
    </w:p>
    <w:p w14:paraId="232B13E9" w14:textId="77777777" w:rsidR="00EE6FAE" w:rsidRDefault="00FA2AB0">
      <w:pPr>
        <w:spacing w:line="300" w:lineRule="auto"/>
      </w:pPr>
      <w:r>
        <w:rPr>
          <w:rFonts w:ascii="Avenir" w:eastAsia="Avenir" w:hAnsi="Avenir" w:cs="Avenir"/>
          <w:color w:val="262624"/>
          <w:sz w:val="22"/>
          <w:szCs w:val="22"/>
        </w:rPr>
        <w:t>Growing recognition that current operational capacity is increasingly insufficient to respond to the scale, speed and complexity of future environmental challenges.</w:t>
      </w:r>
    </w:p>
    <w:p w14:paraId="46A79A06" w14:textId="77777777" w:rsidR="00EE6FAE" w:rsidRDefault="00FA2AB0">
      <w:pPr>
        <w:keepNext/>
        <w:spacing w:after="130"/>
      </w:pPr>
      <w:r>
        <w:rPr>
          <w:rFonts w:ascii="Cormorant Garamond" w:eastAsia="Cormorant Garamond" w:hAnsi="Cormorant Garamond" w:cs="Cormorant Garamond"/>
          <w:color w:val="1E2B20"/>
          <w:sz w:val="24"/>
          <w:szCs w:val="24"/>
        </w:rPr>
        <w:t>Demand</w:t>
      </w:r>
    </w:p>
    <w:p w14:paraId="26CCC3DA" w14:textId="77777777" w:rsidR="00EE6FAE" w:rsidRDefault="00FA2AB0">
      <w:pPr>
        <w:spacing w:line="300" w:lineRule="auto"/>
      </w:pPr>
      <w:r>
        <w:rPr>
          <w:rFonts w:ascii="Avenir" w:eastAsia="Avenir" w:hAnsi="Avenir" w:cs="Avenir"/>
          <w:color w:val="262624"/>
          <w:sz w:val="22"/>
          <w:szCs w:val="22"/>
        </w:rPr>
        <w:t>Expanding international demand for practical, scalable and exportable environmental solutions.</w:t>
      </w:r>
    </w:p>
    <w:p w14:paraId="18825CB6" w14:textId="77777777" w:rsidR="00EE6FAE" w:rsidRDefault="00EE6FAE">
      <w:pPr>
        <w:spacing w:after="460"/>
      </w:pPr>
    </w:p>
    <w:p w14:paraId="5C2B75C7" w14:textId="77777777" w:rsidR="00EE6FAE" w:rsidRDefault="00FA2AB0">
      <w:pPr>
        <w:pBdr>
          <w:left w:val="single" w:sz="6" w:space="12" w:color="A8A296"/>
        </w:pBdr>
        <w:spacing w:line="380" w:lineRule="auto"/>
        <w:ind w:left="340"/>
      </w:pPr>
      <w:r>
        <w:rPr>
          <w:rFonts w:ascii="Cormorant Garamond" w:eastAsia="Cormorant Garamond" w:hAnsi="Cormorant Garamond" w:cs="Cormorant Garamond"/>
          <w:i/>
          <w:iCs/>
          <w:color w:val="1E2B20"/>
          <w:sz w:val="26"/>
          <w:szCs w:val="26"/>
        </w:rPr>
        <w:t>Together, these structural drivers create sustained international demand for practical, scalable and exportable environmental solutions.</w:t>
      </w:r>
    </w:p>
    <w:p w14:paraId="0A522DF6" w14:textId="77777777" w:rsidR="00EE6FAE" w:rsidRDefault="00FA2AB0">
      <w:r>
        <w:br w:type="page"/>
      </w:r>
    </w:p>
    <w:p w14:paraId="0DB9E19B" w14:textId="77777777" w:rsidR="00EE6FAE" w:rsidRDefault="00EE6FAE">
      <w:pPr>
        <w:spacing w:after="1300"/>
      </w:pPr>
    </w:p>
    <w:p w14:paraId="2F10A35E" w14:textId="77777777" w:rsidR="00EE6FAE" w:rsidRDefault="00FA2AB0">
      <w:pPr>
        <w:keepNext/>
        <w:spacing w:after="380"/>
        <w:jc w:val="center"/>
      </w:pPr>
      <w:r>
        <w:rPr>
          <w:rFonts w:ascii="Cormorant Garamond" w:eastAsia="Cormorant Garamond" w:hAnsi="Cormorant Garamond" w:cs="Cormorant Garamond"/>
          <w:color w:val="1E2B20"/>
          <w:spacing w:val="40"/>
          <w:sz w:val="28"/>
          <w:szCs w:val="28"/>
        </w:rPr>
        <w:t>A DEFINING STRATEGIC DECISION</w:t>
      </w:r>
    </w:p>
    <w:p w14:paraId="2C581F7F" w14:textId="77777777" w:rsidR="00EE6FAE" w:rsidRDefault="00FA2AB0">
      <w:pPr>
        <w:spacing w:after="640" w:line="360" w:lineRule="auto"/>
        <w:jc w:val="center"/>
      </w:pPr>
      <w:r>
        <w:rPr>
          <w:rFonts w:ascii="Avenir" w:eastAsia="Avenir" w:hAnsi="Avenir" w:cs="Avenir"/>
          <w:color w:val="A8A296"/>
          <w:sz w:val="22"/>
          <w:szCs w:val="22"/>
        </w:rPr>
        <w:t>Every Board ultimately asks the same questions before making a defining strategic decision.</w:t>
      </w:r>
    </w:p>
    <w:p w14:paraId="4BBD1684" w14:textId="77777777" w:rsidR="00EE6FAE" w:rsidRDefault="00FA2AB0">
      <w:pPr>
        <w:spacing w:after="420"/>
        <w:jc w:val="center"/>
      </w:pPr>
      <w:r>
        <w:rPr>
          <w:rFonts w:ascii="Cormorant Garamond" w:eastAsia="Cormorant Garamond" w:hAnsi="Cormorant Garamond" w:cs="Cormorant Garamond"/>
          <w:color w:val="262624"/>
          <w:sz w:val="32"/>
          <w:szCs w:val="32"/>
        </w:rPr>
        <w:t>Does this strengthen our long-term position?</w:t>
      </w:r>
    </w:p>
    <w:p w14:paraId="30159574" w14:textId="77777777" w:rsidR="00EE6FAE" w:rsidRDefault="00FA2AB0">
      <w:pPr>
        <w:spacing w:after="420"/>
        <w:jc w:val="center"/>
      </w:pPr>
      <w:r>
        <w:rPr>
          <w:rFonts w:ascii="Cormorant Garamond" w:eastAsia="Cormorant Garamond" w:hAnsi="Cormorant Garamond" w:cs="Cormorant Garamond"/>
          <w:color w:val="262624"/>
          <w:sz w:val="32"/>
          <w:szCs w:val="32"/>
        </w:rPr>
        <w:t>Does this create new strategic opportunities?</w:t>
      </w:r>
    </w:p>
    <w:p w14:paraId="47135244" w14:textId="77777777" w:rsidR="00EE6FAE" w:rsidRDefault="00FA2AB0">
      <w:pPr>
        <w:jc w:val="center"/>
      </w:pPr>
      <w:r>
        <w:rPr>
          <w:rFonts w:ascii="Cormorant Garamond" w:eastAsia="Cormorant Garamond" w:hAnsi="Cormorant Garamond" w:cs="Cormorant Garamond"/>
          <w:color w:val="262624"/>
          <w:sz w:val="32"/>
          <w:szCs w:val="32"/>
        </w:rPr>
        <w:t>Does this distinguish us from our peers?</w:t>
      </w:r>
    </w:p>
    <w:sectPr w:rsidR="00EE6FAE">
      <w:footerReference w:type="default" r:id="rId7"/>
      <w:pgSz w:w="11906" w:h="16838"/>
      <w:pgMar w:top="2160" w:right="2160" w:bottom="2160" w:left="21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2B6AB" w14:textId="77777777" w:rsidR="00FA2AB0" w:rsidRDefault="00FA2AB0">
      <w:r>
        <w:separator/>
      </w:r>
    </w:p>
  </w:endnote>
  <w:endnote w:type="continuationSeparator" w:id="0">
    <w:p w14:paraId="140AA931" w14:textId="77777777" w:rsidR="00FA2AB0" w:rsidRDefault="00FA2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morant Garamond">
    <w:altName w:val="Cambria"/>
    <w:charset w:val="00"/>
    <w:family w:val="roman"/>
    <w:notTrueType/>
    <w:pitch w:val="default"/>
  </w:font>
  <w:font w:name="Avenir">
    <w:altName w:val="Cambria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F6E9" w14:textId="77777777" w:rsidR="00EE6FAE" w:rsidRDefault="00FA2AB0">
    <w:pPr>
      <w:jc w:val="center"/>
    </w:pPr>
    <w:r>
      <w:rPr>
        <w:rFonts w:ascii="Avenir" w:eastAsia="Avenir" w:hAnsi="Avenir" w:cs="Avenir"/>
        <w:color w:val="A8A296"/>
        <w:sz w:val="15"/>
        <w:szCs w:val="15"/>
      </w:rPr>
      <w:fldChar w:fldCharType="begin"/>
    </w:r>
    <w:r>
      <w:rPr>
        <w:rFonts w:ascii="Avenir" w:eastAsia="Avenir" w:hAnsi="Avenir" w:cs="Avenir"/>
        <w:color w:val="A8A296"/>
        <w:sz w:val="15"/>
        <w:szCs w:val="15"/>
      </w:rPr>
      <w:instrText>PAGE</w:instrText>
    </w:r>
    <w:r>
      <w:rPr>
        <w:rFonts w:ascii="Avenir" w:eastAsia="Avenir" w:hAnsi="Avenir" w:cs="Avenir"/>
        <w:color w:val="A8A296"/>
        <w:sz w:val="15"/>
        <w:szCs w:val="15"/>
      </w:rPr>
      <w:fldChar w:fldCharType="separate"/>
    </w:r>
    <w:r>
      <w:rPr>
        <w:rFonts w:ascii="Avenir" w:eastAsia="Avenir" w:hAnsi="Avenir" w:cs="Avenir"/>
        <w:noProof/>
        <w:color w:val="A8A296"/>
        <w:sz w:val="15"/>
        <w:szCs w:val="15"/>
      </w:rPr>
      <w:t>1</w:t>
    </w:r>
    <w:r>
      <w:rPr>
        <w:rFonts w:ascii="Avenir" w:eastAsia="Avenir" w:hAnsi="Avenir" w:cs="Avenir"/>
        <w:color w:val="A8A29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DB696" w14:textId="77777777" w:rsidR="00FA2AB0" w:rsidRDefault="00FA2AB0">
      <w:r>
        <w:separator/>
      </w:r>
    </w:p>
  </w:footnote>
  <w:footnote w:type="continuationSeparator" w:id="0">
    <w:p w14:paraId="6293E6D9" w14:textId="77777777" w:rsidR="00FA2AB0" w:rsidRDefault="00FA2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C4801"/>
    <w:multiLevelType w:val="hybridMultilevel"/>
    <w:tmpl w:val="FFFFFFFF"/>
    <w:lvl w:ilvl="0" w:tplc="163EA944">
      <w:start w:val="1"/>
      <w:numFmt w:val="bullet"/>
      <w:lvlText w:val="●"/>
      <w:lvlJc w:val="left"/>
      <w:pPr>
        <w:ind w:left="720" w:hanging="360"/>
      </w:pPr>
    </w:lvl>
    <w:lvl w:ilvl="1" w:tplc="385A65FA">
      <w:start w:val="1"/>
      <w:numFmt w:val="bullet"/>
      <w:lvlText w:val="○"/>
      <w:lvlJc w:val="left"/>
      <w:pPr>
        <w:ind w:left="1440" w:hanging="360"/>
      </w:pPr>
    </w:lvl>
    <w:lvl w:ilvl="2" w:tplc="943688A4">
      <w:start w:val="1"/>
      <w:numFmt w:val="bullet"/>
      <w:lvlText w:val="■"/>
      <w:lvlJc w:val="left"/>
      <w:pPr>
        <w:ind w:left="2160" w:hanging="360"/>
      </w:pPr>
    </w:lvl>
    <w:lvl w:ilvl="3" w:tplc="748222B8">
      <w:start w:val="1"/>
      <w:numFmt w:val="bullet"/>
      <w:lvlText w:val="●"/>
      <w:lvlJc w:val="left"/>
      <w:pPr>
        <w:ind w:left="2880" w:hanging="360"/>
      </w:pPr>
    </w:lvl>
    <w:lvl w:ilvl="4" w:tplc="3C7CE9E4">
      <w:start w:val="1"/>
      <w:numFmt w:val="bullet"/>
      <w:lvlText w:val="○"/>
      <w:lvlJc w:val="left"/>
      <w:pPr>
        <w:ind w:left="3600" w:hanging="360"/>
      </w:pPr>
    </w:lvl>
    <w:lvl w:ilvl="5" w:tplc="93AEF5F0">
      <w:start w:val="1"/>
      <w:numFmt w:val="bullet"/>
      <w:lvlText w:val="■"/>
      <w:lvlJc w:val="left"/>
      <w:pPr>
        <w:ind w:left="4320" w:hanging="360"/>
      </w:pPr>
    </w:lvl>
    <w:lvl w:ilvl="6" w:tplc="B1AA3D16">
      <w:start w:val="1"/>
      <w:numFmt w:val="bullet"/>
      <w:lvlText w:val="●"/>
      <w:lvlJc w:val="left"/>
      <w:pPr>
        <w:ind w:left="5040" w:hanging="360"/>
      </w:pPr>
    </w:lvl>
    <w:lvl w:ilvl="7" w:tplc="E13C3CA6">
      <w:start w:val="1"/>
      <w:numFmt w:val="bullet"/>
      <w:lvlText w:val="●"/>
      <w:lvlJc w:val="left"/>
      <w:pPr>
        <w:ind w:left="5760" w:hanging="360"/>
      </w:pPr>
    </w:lvl>
    <w:lvl w:ilvl="8" w:tplc="000AD7F0">
      <w:start w:val="1"/>
      <w:numFmt w:val="bullet"/>
      <w:lvlText w:val="●"/>
      <w:lvlJc w:val="left"/>
      <w:pPr>
        <w:ind w:left="6480" w:hanging="360"/>
      </w:pPr>
    </w:lvl>
  </w:abstractNum>
  <w:num w:numId="1" w16cid:durableId="9983410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FAE"/>
    <w:rsid w:val="003D75A4"/>
    <w:rsid w:val="007802EC"/>
    <w:rsid w:val="00CB4AA7"/>
    <w:rsid w:val="00EE6FAE"/>
    <w:rsid w:val="00FA2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9D210F"/>
  <w15:docId w15:val="{B71E8813-9877-8945-91AD-C3E56C0F8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Gary Smith</cp:lastModifiedBy>
  <cp:revision>2</cp:revision>
  <dcterms:created xsi:type="dcterms:W3CDTF">2026-07-15T13:15:00Z</dcterms:created>
  <dcterms:modified xsi:type="dcterms:W3CDTF">2026-07-15T13:15:00Z</dcterms:modified>
</cp:coreProperties>
</file>