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1E54E" w14:textId="77777777" w:rsidR="002415D7" w:rsidRDefault="00000000">
      <w:pPr>
        <w:spacing w:after="957" w:line="259" w:lineRule="auto"/>
        <w:ind w:left="30" w:right="-66" w:firstLine="0"/>
      </w:pPr>
      <w:r>
        <w:rPr>
          <w:noProof/>
        </w:rPr>
        <w:drawing>
          <wp:inline distT="0" distB="0" distL="0" distR="0" wp14:anchorId="09BBF153" wp14:editId="0A25BB1F">
            <wp:extent cx="5734050" cy="914400"/>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5"/>
                    <a:stretch>
                      <a:fillRect/>
                    </a:stretch>
                  </pic:blipFill>
                  <pic:spPr>
                    <a:xfrm>
                      <a:off x="0" y="0"/>
                      <a:ext cx="5734050" cy="914400"/>
                    </a:xfrm>
                    <a:prstGeom prst="rect">
                      <a:avLst/>
                    </a:prstGeom>
                  </pic:spPr>
                </pic:pic>
              </a:graphicData>
            </a:graphic>
          </wp:inline>
        </w:drawing>
      </w:r>
    </w:p>
    <w:p w14:paraId="783C94A1" w14:textId="77777777" w:rsidR="0072353C" w:rsidRDefault="00000000" w:rsidP="0072353C">
      <w:pPr>
        <w:spacing w:after="15" w:line="259" w:lineRule="auto"/>
        <w:ind w:left="-5"/>
        <w:rPr>
          <w:b/>
          <w:i w:val="0"/>
          <w:color w:val="2D2D31"/>
          <w:sz w:val="36"/>
          <w:lang w:val="fr-FR"/>
        </w:rPr>
      </w:pPr>
      <w:r>
        <w:rPr>
          <w:i w:val="0"/>
          <w:noProof/>
        </w:rPr>
        <mc:AlternateContent>
          <mc:Choice Requires="wpg">
            <w:drawing>
              <wp:anchor distT="0" distB="0" distL="114300" distR="114300" simplePos="0" relativeHeight="251658240" behindDoc="1" locked="0" layoutInCell="1" allowOverlap="1" wp14:anchorId="6488500D" wp14:editId="5C7400FA">
                <wp:simplePos x="0" y="0"/>
                <wp:positionH relativeFrom="column">
                  <wp:posOffset>0</wp:posOffset>
                </wp:positionH>
                <wp:positionV relativeFrom="paragraph">
                  <wp:posOffset>0</wp:posOffset>
                </wp:positionV>
                <wp:extent cx="138988" cy="278663"/>
                <wp:effectExtent l="0" t="0" r="0" b="0"/>
                <wp:wrapNone/>
                <wp:docPr id="534" name="Group 534"/>
                <wp:cNvGraphicFramePr/>
                <a:graphic xmlns:a="http://schemas.openxmlformats.org/drawingml/2006/main">
                  <a:graphicData uri="http://schemas.microsoft.com/office/word/2010/wordprocessingGroup">
                    <wpg:wgp>
                      <wpg:cNvGrpSpPr/>
                      <wpg:grpSpPr>
                        <a:xfrm>
                          <a:off x="0" y="0"/>
                          <a:ext cx="138988" cy="278663"/>
                          <a:chOff x="0" y="0"/>
                          <a:chExt cx="138988" cy="278663"/>
                        </a:xfrm>
                      </wpg:grpSpPr>
                      <wps:wsp>
                        <wps:cNvPr id="724" name="Shape 724"/>
                        <wps:cNvSpPr/>
                        <wps:spPr>
                          <a:xfrm>
                            <a:off x="0" y="0"/>
                            <a:ext cx="69494" cy="278663"/>
                          </a:xfrm>
                          <a:custGeom>
                            <a:avLst/>
                            <a:gdLst/>
                            <a:ahLst/>
                            <a:cxnLst/>
                            <a:rect l="0" t="0" r="0" b="0"/>
                            <a:pathLst>
                              <a:path w="69494" h="278663">
                                <a:moveTo>
                                  <a:pt x="0" y="0"/>
                                </a:moveTo>
                                <a:lnTo>
                                  <a:pt x="69494" y="0"/>
                                </a:lnTo>
                                <a:lnTo>
                                  <a:pt x="69494" y="278663"/>
                                </a:lnTo>
                                <a:lnTo>
                                  <a:pt x="0" y="278663"/>
                                </a:lnTo>
                                <a:lnTo>
                                  <a:pt x="0" y="0"/>
                                </a:lnTo>
                              </a:path>
                            </a:pathLst>
                          </a:custGeom>
                          <a:ln w="0" cap="flat">
                            <a:miter lim="127000"/>
                          </a:ln>
                        </wps:spPr>
                        <wps:style>
                          <a:lnRef idx="0">
                            <a:srgbClr val="000000">
                              <a:alpha val="0"/>
                            </a:srgbClr>
                          </a:lnRef>
                          <a:fillRef idx="1">
                            <a:srgbClr val="225EC4"/>
                          </a:fillRef>
                          <a:effectRef idx="0">
                            <a:scrgbClr r="0" g="0" b="0"/>
                          </a:effectRef>
                          <a:fontRef idx="none"/>
                        </wps:style>
                        <wps:bodyPr/>
                      </wps:wsp>
                      <wps:wsp>
                        <wps:cNvPr id="725" name="Shape 725"/>
                        <wps:cNvSpPr/>
                        <wps:spPr>
                          <a:xfrm>
                            <a:off x="69494" y="0"/>
                            <a:ext cx="69494" cy="278663"/>
                          </a:xfrm>
                          <a:custGeom>
                            <a:avLst/>
                            <a:gdLst/>
                            <a:ahLst/>
                            <a:cxnLst/>
                            <a:rect l="0" t="0" r="0" b="0"/>
                            <a:pathLst>
                              <a:path w="69494" h="278663">
                                <a:moveTo>
                                  <a:pt x="0" y="0"/>
                                </a:moveTo>
                                <a:lnTo>
                                  <a:pt x="69494" y="0"/>
                                </a:lnTo>
                                <a:lnTo>
                                  <a:pt x="69494" y="278663"/>
                                </a:lnTo>
                                <a:lnTo>
                                  <a:pt x="0" y="278663"/>
                                </a:lnTo>
                                <a:lnTo>
                                  <a:pt x="0" y="0"/>
                                </a:lnTo>
                              </a:path>
                            </a:pathLst>
                          </a:custGeom>
                          <a:ln w="0" cap="flat">
                            <a:miter lim="127000"/>
                          </a:ln>
                        </wps:spPr>
                        <wps:style>
                          <a:lnRef idx="0">
                            <a:srgbClr val="000000">
                              <a:alpha val="0"/>
                            </a:srgbClr>
                          </a:lnRef>
                          <a:fillRef idx="1">
                            <a:srgbClr val="FF3B00"/>
                          </a:fillRef>
                          <a:effectRef idx="0">
                            <a:scrgbClr r="0" g="0" b="0"/>
                          </a:effectRef>
                          <a:fontRef idx="none"/>
                        </wps:style>
                        <wps:bodyPr/>
                      </wps:wsp>
                    </wpg:wgp>
                  </a:graphicData>
                </a:graphic>
              </wp:anchor>
            </w:drawing>
          </mc:Choice>
          <mc:Fallback xmlns:a="http://schemas.openxmlformats.org/drawingml/2006/main">
            <w:pict>
              <v:group id="Group 534" style="width:10.944pt;height:21.942pt;position:absolute;z-index:-2147483647;mso-position-horizontal-relative:text;mso-position-horizontal:absolute;margin-left:0pt;mso-position-vertical-relative:text;margin-top:-3.05176e-05pt;" coordsize="1389,2786">
                <v:shape id="Shape 726" style="position:absolute;width:694;height:2786;left:0;top:0;" coordsize="69494,278663" path="m0,0l69494,0l69494,278663l0,278663l0,0">
                  <v:stroke weight="0pt" endcap="flat" joinstyle="miter" miterlimit="10" on="false" color="#000000" opacity="0"/>
                  <v:fill on="true" color="#225ec4"/>
                </v:shape>
                <v:shape id="Shape 727" style="position:absolute;width:694;height:2786;left:694;top:0;" coordsize="69494,278663" path="m0,0l69494,0l69494,278663l0,278663l0,0">
                  <v:stroke weight="0pt" endcap="flat" joinstyle="miter" miterlimit="10" on="false" color="#000000" opacity="0"/>
                  <v:fill on="true" color="#ff3b00"/>
                </v:shape>
              </v:group>
            </w:pict>
          </mc:Fallback>
        </mc:AlternateContent>
      </w:r>
      <w:r w:rsidRPr="00B84DDA">
        <w:rPr>
          <w:b/>
          <w:i w:val="0"/>
          <w:color w:val="225EC4"/>
          <w:sz w:val="36"/>
          <w:lang w:val="fr-FR"/>
        </w:rPr>
        <w:t>.</w:t>
      </w:r>
      <w:r w:rsidRPr="00B84DDA">
        <w:rPr>
          <w:b/>
          <w:i w:val="0"/>
          <w:color w:val="FF3B00"/>
          <w:sz w:val="36"/>
          <w:lang w:val="fr-FR"/>
        </w:rPr>
        <w:t xml:space="preserve">. </w:t>
      </w:r>
      <w:r w:rsidRPr="00B84DDA">
        <w:rPr>
          <w:b/>
          <w:i w:val="0"/>
          <w:color w:val="2D2D31"/>
          <w:sz w:val="36"/>
          <w:lang w:val="fr-FR"/>
        </w:rPr>
        <w:t>Description générale de l’architecture</w:t>
      </w:r>
    </w:p>
    <w:p w14:paraId="0812A239" w14:textId="7D9D5427" w:rsidR="0072353C" w:rsidRDefault="0072353C" w:rsidP="0072353C">
      <w:pPr>
        <w:spacing w:after="15" w:line="259" w:lineRule="auto"/>
        <w:ind w:left="-5"/>
        <w:rPr>
          <w:lang w:val="fr-FR"/>
        </w:rPr>
      </w:pPr>
      <w:r>
        <w:rPr>
          <w:noProof/>
        </w:rPr>
        <w:drawing>
          <wp:inline distT="0" distB="0" distL="0" distR="0" wp14:anchorId="662B7C2D" wp14:editId="7C19594C">
            <wp:extent cx="6614644" cy="3975847"/>
            <wp:effectExtent l="0" t="0" r="0" b="5715"/>
            <wp:docPr id="1586248498" name="Image 5" descr="Une image contenant diagramme, texte, Plan, croqu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248498" name="Image 5" descr="Une image contenant diagramme, texte, Plan, croqui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32873" cy="3986804"/>
                    </a:xfrm>
                    <a:prstGeom prst="rect">
                      <a:avLst/>
                    </a:prstGeom>
                    <a:noFill/>
                    <a:ln>
                      <a:noFill/>
                    </a:ln>
                  </pic:spPr>
                </pic:pic>
              </a:graphicData>
            </a:graphic>
          </wp:inline>
        </w:drawing>
      </w:r>
    </w:p>
    <w:p w14:paraId="28B7D4A2" w14:textId="49A91FFA" w:rsidR="002415D7" w:rsidRPr="00B84DDA" w:rsidRDefault="00000000" w:rsidP="0072353C">
      <w:pPr>
        <w:spacing w:after="15" w:line="259" w:lineRule="auto"/>
        <w:ind w:left="-5"/>
        <w:rPr>
          <w:lang w:val="fr-FR"/>
        </w:rPr>
      </w:pPr>
      <w:r>
        <w:rPr>
          <w:i w:val="0"/>
          <w:noProof/>
        </w:rPr>
        <mc:AlternateContent>
          <mc:Choice Requires="wpg">
            <w:drawing>
              <wp:anchor distT="0" distB="0" distL="114300" distR="114300" simplePos="0" relativeHeight="251659264" behindDoc="1" locked="0" layoutInCell="1" allowOverlap="1" wp14:anchorId="69565321" wp14:editId="2FC010CD">
                <wp:simplePos x="0" y="0"/>
                <wp:positionH relativeFrom="column">
                  <wp:posOffset>0</wp:posOffset>
                </wp:positionH>
                <wp:positionV relativeFrom="paragraph">
                  <wp:posOffset>1</wp:posOffset>
                </wp:positionV>
                <wp:extent cx="138988" cy="278664"/>
                <wp:effectExtent l="0" t="0" r="0" b="0"/>
                <wp:wrapNone/>
                <wp:docPr id="535" name="Group 535"/>
                <wp:cNvGraphicFramePr/>
                <a:graphic xmlns:a="http://schemas.openxmlformats.org/drawingml/2006/main">
                  <a:graphicData uri="http://schemas.microsoft.com/office/word/2010/wordprocessingGroup">
                    <wpg:wgp>
                      <wpg:cNvGrpSpPr/>
                      <wpg:grpSpPr>
                        <a:xfrm>
                          <a:off x="0" y="0"/>
                          <a:ext cx="138988" cy="278664"/>
                          <a:chOff x="0" y="0"/>
                          <a:chExt cx="138988" cy="278664"/>
                        </a:xfrm>
                      </wpg:grpSpPr>
                      <wps:wsp>
                        <wps:cNvPr id="728" name="Shape 728"/>
                        <wps:cNvSpPr/>
                        <wps:spPr>
                          <a:xfrm>
                            <a:off x="0" y="0"/>
                            <a:ext cx="69494" cy="278664"/>
                          </a:xfrm>
                          <a:custGeom>
                            <a:avLst/>
                            <a:gdLst/>
                            <a:ahLst/>
                            <a:cxnLst/>
                            <a:rect l="0" t="0" r="0" b="0"/>
                            <a:pathLst>
                              <a:path w="69494" h="278664">
                                <a:moveTo>
                                  <a:pt x="0" y="0"/>
                                </a:moveTo>
                                <a:lnTo>
                                  <a:pt x="69494" y="0"/>
                                </a:lnTo>
                                <a:lnTo>
                                  <a:pt x="69494" y="278664"/>
                                </a:lnTo>
                                <a:lnTo>
                                  <a:pt x="0" y="278664"/>
                                </a:lnTo>
                                <a:lnTo>
                                  <a:pt x="0" y="0"/>
                                </a:lnTo>
                              </a:path>
                            </a:pathLst>
                          </a:custGeom>
                          <a:ln w="0" cap="flat">
                            <a:miter lim="127000"/>
                          </a:ln>
                        </wps:spPr>
                        <wps:style>
                          <a:lnRef idx="0">
                            <a:srgbClr val="000000">
                              <a:alpha val="0"/>
                            </a:srgbClr>
                          </a:lnRef>
                          <a:fillRef idx="1">
                            <a:srgbClr val="225EC4"/>
                          </a:fillRef>
                          <a:effectRef idx="0">
                            <a:scrgbClr r="0" g="0" b="0"/>
                          </a:effectRef>
                          <a:fontRef idx="none"/>
                        </wps:style>
                        <wps:bodyPr/>
                      </wps:wsp>
                      <wps:wsp>
                        <wps:cNvPr id="729" name="Shape 729"/>
                        <wps:cNvSpPr/>
                        <wps:spPr>
                          <a:xfrm>
                            <a:off x="69494" y="0"/>
                            <a:ext cx="69494" cy="278664"/>
                          </a:xfrm>
                          <a:custGeom>
                            <a:avLst/>
                            <a:gdLst/>
                            <a:ahLst/>
                            <a:cxnLst/>
                            <a:rect l="0" t="0" r="0" b="0"/>
                            <a:pathLst>
                              <a:path w="69494" h="278664">
                                <a:moveTo>
                                  <a:pt x="0" y="0"/>
                                </a:moveTo>
                                <a:lnTo>
                                  <a:pt x="69494" y="0"/>
                                </a:lnTo>
                                <a:lnTo>
                                  <a:pt x="69494" y="278664"/>
                                </a:lnTo>
                                <a:lnTo>
                                  <a:pt x="0" y="278664"/>
                                </a:lnTo>
                                <a:lnTo>
                                  <a:pt x="0" y="0"/>
                                </a:lnTo>
                              </a:path>
                            </a:pathLst>
                          </a:custGeom>
                          <a:ln w="0" cap="flat">
                            <a:miter lim="127000"/>
                          </a:ln>
                        </wps:spPr>
                        <wps:style>
                          <a:lnRef idx="0">
                            <a:srgbClr val="000000">
                              <a:alpha val="0"/>
                            </a:srgbClr>
                          </a:lnRef>
                          <a:fillRef idx="1">
                            <a:srgbClr val="FF3B00"/>
                          </a:fillRef>
                          <a:effectRef idx="0">
                            <a:scrgbClr r="0" g="0" b="0"/>
                          </a:effectRef>
                          <a:fontRef idx="none"/>
                        </wps:style>
                        <wps:bodyPr/>
                      </wps:wsp>
                    </wpg:wgp>
                  </a:graphicData>
                </a:graphic>
              </wp:anchor>
            </w:drawing>
          </mc:Choice>
          <mc:Fallback xmlns:a="http://schemas.openxmlformats.org/drawingml/2006/main">
            <w:pict>
              <v:group id="Group 535" style="width:10.944pt;height:21.942pt;position:absolute;z-index:-2147483645;mso-position-horizontal-relative:text;mso-position-horizontal:absolute;margin-left:0pt;mso-position-vertical-relative:text;margin-top:6.10352e-05pt;" coordsize="1389,2786">
                <v:shape id="Shape 730" style="position:absolute;width:694;height:2786;left:0;top:0;" coordsize="69494,278664" path="m0,0l69494,0l69494,278664l0,278664l0,0">
                  <v:stroke weight="0pt" endcap="flat" joinstyle="miter" miterlimit="10" on="false" color="#000000" opacity="0"/>
                  <v:fill on="true" color="#225ec4"/>
                </v:shape>
                <v:shape id="Shape 731" style="position:absolute;width:694;height:2786;left:694;top:0;" coordsize="69494,278664" path="m0,0l69494,0l69494,278664l0,278664l0,0">
                  <v:stroke weight="0pt" endcap="flat" joinstyle="miter" miterlimit="10" on="false" color="#000000" opacity="0"/>
                  <v:fill on="true" color="#ff3b00"/>
                </v:shape>
              </v:group>
            </w:pict>
          </mc:Fallback>
        </mc:AlternateContent>
      </w:r>
      <w:r w:rsidRPr="00B84DDA">
        <w:rPr>
          <w:b/>
          <w:i w:val="0"/>
          <w:color w:val="225EC4"/>
          <w:sz w:val="36"/>
          <w:lang w:val="fr-FR"/>
        </w:rPr>
        <w:t>.</w:t>
      </w:r>
      <w:r w:rsidRPr="00B84DDA">
        <w:rPr>
          <w:b/>
          <w:i w:val="0"/>
          <w:color w:val="FF3B00"/>
          <w:sz w:val="36"/>
          <w:lang w:val="fr-FR"/>
        </w:rPr>
        <w:t xml:space="preserve">. </w:t>
      </w:r>
      <w:r w:rsidRPr="00B84DDA">
        <w:rPr>
          <w:b/>
          <w:i w:val="0"/>
          <w:color w:val="2D2D31"/>
          <w:sz w:val="36"/>
          <w:lang w:val="fr-FR"/>
        </w:rPr>
        <w:t>Liste de contrôle de l’architecture terminée</w:t>
      </w:r>
    </w:p>
    <w:p w14:paraId="519D2141" w14:textId="00440396" w:rsidR="002415D7" w:rsidRPr="00B84DDA" w:rsidRDefault="00000000" w:rsidP="0072353C">
      <w:pPr>
        <w:pStyle w:val="Titre1"/>
        <w:ind w:left="-5"/>
        <w:rPr>
          <w:lang w:val="fr-FR"/>
        </w:rPr>
      </w:pPr>
      <w:r w:rsidRPr="00B84DDA">
        <w:rPr>
          <w:lang w:val="fr-FR"/>
        </w:rPr>
        <w:t>Composants logiciels</w:t>
      </w:r>
    </w:p>
    <w:p w14:paraId="5EEF96AE" w14:textId="6AC5A70E" w:rsidR="006A40B5" w:rsidRDefault="006A40B5" w:rsidP="0072353C">
      <w:pPr>
        <w:pStyle w:val="Paragraphedeliste"/>
        <w:numPr>
          <w:ilvl w:val="0"/>
          <w:numId w:val="3"/>
        </w:numPr>
        <w:rPr>
          <w:lang w:val="fr-FR"/>
        </w:rPr>
      </w:pPr>
      <w:r>
        <w:rPr>
          <w:lang w:val="fr-FR"/>
        </w:rPr>
        <w:t>Suivi du cycle de vie de l’applicatif via l’utilisation de version control</w:t>
      </w:r>
    </w:p>
    <w:p w14:paraId="046C832C" w14:textId="2A6F673D" w:rsidR="006A40B5" w:rsidRDefault="006A40B5" w:rsidP="006A40B5">
      <w:pPr>
        <w:pStyle w:val="Paragraphedeliste"/>
        <w:numPr>
          <w:ilvl w:val="1"/>
          <w:numId w:val="3"/>
        </w:numPr>
        <w:rPr>
          <w:lang w:val="fr-FR"/>
        </w:rPr>
      </w:pPr>
      <w:r>
        <w:rPr>
          <w:lang w:val="fr-FR"/>
        </w:rPr>
        <w:t>Utilisation de GitHub pour le stockage de dépôts et la mise en place du projet</w:t>
      </w:r>
    </w:p>
    <w:p w14:paraId="1C7DD67D" w14:textId="3F2263EC" w:rsidR="006A40B5" w:rsidRDefault="006A40B5" w:rsidP="006A40B5">
      <w:pPr>
        <w:pStyle w:val="Paragraphedeliste"/>
        <w:numPr>
          <w:ilvl w:val="1"/>
          <w:numId w:val="3"/>
        </w:numPr>
        <w:rPr>
          <w:lang w:val="fr-FR"/>
        </w:rPr>
      </w:pPr>
      <w:r>
        <w:rPr>
          <w:lang w:val="fr-FR"/>
        </w:rPr>
        <w:t>Réalisation de pipelines CI / CD pour automatiser l’ensemble des démarches de version control</w:t>
      </w:r>
    </w:p>
    <w:p w14:paraId="729F3D88" w14:textId="77C4B99A" w:rsidR="0072353C" w:rsidRDefault="0072353C" w:rsidP="0072353C">
      <w:pPr>
        <w:pStyle w:val="Paragraphedeliste"/>
        <w:numPr>
          <w:ilvl w:val="0"/>
          <w:numId w:val="3"/>
        </w:numPr>
        <w:rPr>
          <w:lang w:val="fr-FR"/>
        </w:rPr>
      </w:pPr>
      <w:r w:rsidRPr="0072353C">
        <w:rPr>
          <w:lang w:val="fr-FR"/>
        </w:rPr>
        <w:t>Réalisation de test unitaires pour le panel des microservices</w:t>
      </w:r>
    </w:p>
    <w:p w14:paraId="4B2C6810" w14:textId="45762677" w:rsidR="006A40B5" w:rsidRDefault="006A40B5" w:rsidP="006A40B5">
      <w:pPr>
        <w:pStyle w:val="Paragraphedeliste"/>
        <w:numPr>
          <w:ilvl w:val="1"/>
          <w:numId w:val="3"/>
        </w:numPr>
        <w:rPr>
          <w:lang w:val="fr-FR"/>
        </w:rPr>
      </w:pPr>
      <w:r>
        <w:rPr>
          <w:lang w:val="fr-FR"/>
        </w:rPr>
        <w:t>Utilisation de JUnit / Mockito</w:t>
      </w:r>
    </w:p>
    <w:p w14:paraId="0FC03CB9" w14:textId="1CE3F8B0" w:rsidR="0072353C" w:rsidRDefault="0072353C" w:rsidP="0072353C">
      <w:pPr>
        <w:pStyle w:val="Paragraphedeliste"/>
        <w:numPr>
          <w:ilvl w:val="1"/>
          <w:numId w:val="3"/>
        </w:numPr>
        <w:rPr>
          <w:lang w:val="fr-FR"/>
        </w:rPr>
      </w:pPr>
      <w:r>
        <w:rPr>
          <w:lang w:val="fr-FR"/>
        </w:rPr>
        <w:t>Objectif d’avoir au minimum 80% de couverture du code</w:t>
      </w:r>
    </w:p>
    <w:p w14:paraId="2AA62F76" w14:textId="12E318A9" w:rsidR="0072353C" w:rsidRDefault="0072353C" w:rsidP="0072353C">
      <w:pPr>
        <w:pStyle w:val="Paragraphedeliste"/>
        <w:numPr>
          <w:ilvl w:val="1"/>
          <w:numId w:val="3"/>
        </w:numPr>
        <w:rPr>
          <w:lang w:val="fr-FR"/>
        </w:rPr>
      </w:pPr>
      <w:r>
        <w:rPr>
          <w:lang w:val="fr-FR"/>
        </w:rPr>
        <w:t>Utilisation de TestContainers pour la réalisation des tests de sorte à ne pas intervenir au niveau des bases de données de production</w:t>
      </w:r>
    </w:p>
    <w:p w14:paraId="28FAACCA" w14:textId="60AE6E15" w:rsidR="0072353C" w:rsidRDefault="0072353C" w:rsidP="0072353C">
      <w:pPr>
        <w:pStyle w:val="Paragraphedeliste"/>
        <w:numPr>
          <w:ilvl w:val="0"/>
          <w:numId w:val="3"/>
        </w:numPr>
        <w:rPr>
          <w:lang w:val="fr-FR"/>
        </w:rPr>
      </w:pPr>
      <w:r>
        <w:rPr>
          <w:lang w:val="fr-FR"/>
        </w:rPr>
        <w:t>Réalisation de tests unitaires pour l’application frontend</w:t>
      </w:r>
    </w:p>
    <w:p w14:paraId="14964FE1" w14:textId="54CBED1C" w:rsidR="006A40B5" w:rsidRDefault="006A40B5" w:rsidP="006A40B5">
      <w:pPr>
        <w:pStyle w:val="Paragraphedeliste"/>
        <w:numPr>
          <w:ilvl w:val="1"/>
          <w:numId w:val="3"/>
        </w:numPr>
        <w:rPr>
          <w:lang w:val="fr-FR"/>
        </w:rPr>
      </w:pPr>
      <w:r>
        <w:rPr>
          <w:lang w:val="fr-FR"/>
        </w:rPr>
        <w:t>Utilisation de Jest</w:t>
      </w:r>
    </w:p>
    <w:p w14:paraId="2DDC0904" w14:textId="5262E507" w:rsidR="0072353C" w:rsidRDefault="0072353C" w:rsidP="0072353C">
      <w:pPr>
        <w:pStyle w:val="Paragraphedeliste"/>
        <w:numPr>
          <w:ilvl w:val="1"/>
          <w:numId w:val="3"/>
        </w:numPr>
        <w:rPr>
          <w:lang w:val="fr-FR"/>
        </w:rPr>
      </w:pPr>
      <w:r>
        <w:rPr>
          <w:lang w:val="fr-FR"/>
        </w:rPr>
        <w:t>Objectif d’un score de couverture du code d’au moins 80%</w:t>
      </w:r>
    </w:p>
    <w:p w14:paraId="4A2513F5" w14:textId="11EC0510" w:rsidR="0072353C" w:rsidRDefault="0072353C" w:rsidP="0072353C">
      <w:pPr>
        <w:pStyle w:val="Paragraphedeliste"/>
        <w:numPr>
          <w:ilvl w:val="0"/>
          <w:numId w:val="3"/>
        </w:numPr>
        <w:rPr>
          <w:lang w:val="fr-FR"/>
        </w:rPr>
      </w:pPr>
      <w:r>
        <w:rPr>
          <w:lang w:val="fr-FR"/>
        </w:rPr>
        <w:t>Tests de type E2E</w:t>
      </w:r>
    </w:p>
    <w:p w14:paraId="38AA1D4F" w14:textId="37D50492" w:rsidR="006A40B5" w:rsidRDefault="006A40B5" w:rsidP="006A40B5">
      <w:pPr>
        <w:pStyle w:val="Paragraphedeliste"/>
        <w:numPr>
          <w:ilvl w:val="1"/>
          <w:numId w:val="3"/>
        </w:numPr>
        <w:rPr>
          <w:lang w:val="fr-FR"/>
        </w:rPr>
      </w:pPr>
      <w:r>
        <w:rPr>
          <w:lang w:val="fr-FR"/>
        </w:rPr>
        <w:t>Utilisation de Cypress</w:t>
      </w:r>
    </w:p>
    <w:p w14:paraId="366DB7B7" w14:textId="3E4870BA" w:rsidR="0072353C" w:rsidRDefault="0072353C" w:rsidP="0072353C">
      <w:pPr>
        <w:pStyle w:val="Paragraphedeliste"/>
        <w:numPr>
          <w:ilvl w:val="1"/>
          <w:numId w:val="3"/>
        </w:numPr>
        <w:rPr>
          <w:lang w:val="fr-FR"/>
        </w:rPr>
      </w:pPr>
      <w:r>
        <w:rPr>
          <w:lang w:val="fr-FR"/>
        </w:rPr>
        <w:t>Réalisation de stubs pour éviter de perturber l’intégrité des données de notre applicatif</w:t>
      </w:r>
    </w:p>
    <w:p w14:paraId="3BF61F9F" w14:textId="598B5204" w:rsidR="006A40B5" w:rsidRDefault="006A40B5" w:rsidP="006A40B5">
      <w:pPr>
        <w:pStyle w:val="Paragraphedeliste"/>
        <w:numPr>
          <w:ilvl w:val="0"/>
          <w:numId w:val="3"/>
        </w:numPr>
        <w:rPr>
          <w:lang w:val="fr-FR"/>
        </w:rPr>
      </w:pPr>
      <w:r>
        <w:rPr>
          <w:lang w:val="fr-FR"/>
        </w:rPr>
        <w:t>Mise en place de revues du code obligatoire dans le cadre du développement</w:t>
      </w:r>
    </w:p>
    <w:p w14:paraId="46D4AE17" w14:textId="1389D3B1" w:rsidR="006A40B5" w:rsidRDefault="006A40B5" w:rsidP="006A40B5">
      <w:pPr>
        <w:pStyle w:val="Paragraphedeliste"/>
        <w:numPr>
          <w:ilvl w:val="1"/>
          <w:numId w:val="3"/>
        </w:numPr>
        <w:rPr>
          <w:lang w:val="fr-FR"/>
        </w:rPr>
      </w:pPr>
      <w:r>
        <w:rPr>
          <w:lang w:val="fr-FR"/>
        </w:rPr>
        <w:t>A la suite d’un pipeline de type CI</w:t>
      </w:r>
    </w:p>
    <w:p w14:paraId="4FA77D6D" w14:textId="2CC60578" w:rsidR="006A40B5" w:rsidRDefault="006A40B5" w:rsidP="006A40B5">
      <w:pPr>
        <w:pStyle w:val="Paragraphedeliste"/>
        <w:numPr>
          <w:ilvl w:val="1"/>
          <w:numId w:val="3"/>
        </w:numPr>
        <w:rPr>
          <w:lang w:val="fr-FR"/>
        </w:rPr>
      </w:pPr>
      <w:r>
        <w:rPr>
          <w:lang w:val="fr-FR"/>
        </w:rPr>
        <w:lastRenderedPageBreak/>
        <w:t>Réalisée par un développeur qualifié de type lead technique</w:t>
      </w:r>
    </w:p>
    <w:p w14:paraId="190930D1" w14:textId="3E29CE5F" w:rsidR="006A40B5" w:rsidRDefault="006A40B5" w:rsidP="006A40B5">
      <w:pPr>
        <w:pStyle w:val="Paragraphedeliste"/>
        <w:numPr>
          <w:ilvl w:val="0"/>
          <w:numId w:val="3"/>
        </w:numPr>
        <w:rPr>
          <w:lang w:val="fr-FR"/>
        </w:rPr>
      </w:pPr>
      <w:r>
        <w:rPr>
          <w:lang w:val="fr-FR"/>
        </w:rPr>
        <w:t>Réalisation de scan de vulnérabilités des applicatifs</w:t>
      </w:r>
    </w:p>
    <w:p w14:paraId="58F57528" w14:textId="3E48E81B" w:rsidR="006A40B5" w:rsidRDefault="006A40B5" w:rsidP="006A40B5">
      <w:pPr>
        <w:pStyle w:val="Paragraphedeliste"/>
        <w:numPr>
          <w:ilvl w:val="1"/>
          <w:numId w:val="3"/>
        </w:numPr>
        <w:rPr>
          <w:lang w:val="fr-FR"/>
        </w:rPr>
      </w:pPr>
      <w:r>
        <w:rPr>
          <w:lang w:val="fr-FR"/>
        </w:rPr>
        <w:t>Utilisation de Sonarqube dans le but d’obtenir un score de qualité du code</w:t>
      </w:r>
    </w:p>
    <w:p w14:paraId="3718DA0A" w14:textId="1A4B29AA" w:rsidR="006A40B5" w:rsidRPr="006A40B5" w:rsidRDefault="006A40B5" w:rsidP="006A40B5">
      <w:pPr>
        <w:pStyle w:val="Paragraphedeliste"/>
        <w:numPr>
          <w:ilvl w:val="1"/>
          <w:numId w:val="3"/>
        </w:numPr>
        <w:rPr>
          <w:lang w:val="fr-FR"/>
        </w:rPr>
      </w:pPr>
      <w:r>
        <w:rPr>
          <w:lang w:val="fr-FR"/>
        </w:rPr>
        <w:t>Passage des applicatif via Trivy pour obtenir un rapport des vulnérabilités logicielles présentes dans la CVE</w:t>
      </w:r>
    </w:p>
    <w:p w14:paraId="3A9B2E26" w14:textId="77777777" w:rsidR="006A40B5" w:rsidRDefault="00000000" w:rsidP="006A40B5">
      <w:pPr>
        <w:pStyle w:val="Titre1"/>
        <w:ind w:left="-5"/>
        <w:rPr>
          <w:lang w:val="fr-FR"/>
        </w:rPr>
      </w:pPr>
      <w:r w:rsidRPr="00B84DDA">
        <w:rPr>
          <w:lang w:val="fr-FR"/>
        </w:rPr>
        <w:t>Services ou composants tiers logiciels</w:t>
      </w:r>
    </w:p>
    <w:p w14:paraId="17F52CC1" w14:textId="444D0151" w:rsidR="006A40B5" w:rsidRPr="006A40B5" w:rsidRDefault="006A40B5" w:rsidP="006A40B5">
      <w:pPr>
        <w:pStyle w:val="Paragraphedeliste"/>
        <w:numPr>
          <w:ilvl w:val="0"/>
          <w:numId w:val="3"/>
        </w:numPr>
        <w:rPr>
          <w:lang w:val="fr-FR"/>
        </w:rPr>
      </w:pPr>
      <w:r>
        <w:rPr>
          <w:i w:val="0"/>
          <w:iCs/>
          <w:lang w:val="fr-FR"/>
        </w:rPr>
        <w:t>Vérification des licences des applications utilisées</w:t>
      </w:r>
    </w:p>
    <w:p w14:paraId="61C09650" w14:textId="2B6BEDC8" w:rsidR="006A40B5" w:rsidRPr="006A40B5" w:rsidRDefault="006A40B5" w:rsidP="006A40B5">
      <w:pPr>
        <w:pStyle w:val="Paragraphedeliste"/>
        <w:numPr>
          <w:ilvl w:val="1"/>
          <w:numId w:val="3"/>
        </w:numPr>
        <w:rPr>
          <w:lang w:val="fr-FR"/>
        </w:rPr>
      </w:pPr>
      <w:r>
        <w:rPr>
          <w:i w:val="0"/>
          <w:iCs/>
          <w:lang w:val="fr-FR"/>
        </w:rPr>
        <w:t>MIT, OpenSource, Apache, etc… Eviter les licences pouvant poser problèmes lors de l’intégration de ces services externes à notre applicatif</w:t>
      </w:r>
    </w:p>
    <w:p w14:paraId="6A48DE92" w14:textId="551ECF81" w:rsidR="006A40B5" w:rsidRPr="006A40B5" w:rsidRDefault="006A40B5" w:rsidP="006A40B5">
      <w:pPr>
        <w:pStyle w:val="Paragraphedeliste"/>
        <w:numPr>
          <w:ilvl w:val="0"/>
          <w:numId w:val="3"/>
        </w:numPr>
        <w:rPr>
          <w:lang w:val="fr-FR"/>
        </w:rPr>
      </w:pPr>
      <w:r>
        <w:rPr>
          <w:i w:val="0"/>
          <w:iCs/>
          <w:lang w:val="fr-FR"/>
        </w:rPr>
        <w:t>Vérification de la conformité à la RGPD pour ces services externes avant leur intégration à notre développement personnel</w:t>
      </w:r>
    </w:p>
    <w:p w14:paraId="4209240E" w14:textId="4629AF1C" w:rsidR="006A40B5" w:rsidRPr="006A40B5" w:rsidRDefault="006A40B5" w:rsidP="006A40B5">
      <w:pPr>
        <w:pStyle w:val="Paragraphedeliste"/>
        <w:numPr>
          <w:ilvl w:val="0"/>
          <w:numId w:val="3"/>
        </w:numPr>
        <w:rPr>
          <w:lang w:val="fr-FR"/>
        </w:rPr>
      </w:pPr>
      <w:r>
        <w:rPr>
          <w:i w:val="0"/>
          <w:iCs/>
          <w:lang w:val="fr-FR"/>
        </w:rPr>
        <w:t>Analyse de potentiels contrats / SLA dans le but d’obtenir des garanties vis-à-vis de la disponibilité de l’applicatif / du support client en cas de nécessité de les contacter</w:t>
      </w:r>
    </w:p>
    <w:p w14:paraId="63DD5FD0" w14:textId="2800766D" w:rsidR="006A40B5" w:rsidRPr="006A40B5" w:rsidRDefault="006A40B5" w:rsidP="006A40B5">
      <w:pPr>
        <w:pStyle w:val="Paragraphedeliste"/>
        <w:numPr>
          <w:ilvl w:val="0"/>
          <w:numId w:val="3"/>
        </w:numPr>
        <w:rPr>
          <w:lang w:val="fr-FR"/>
        </w:rPr>
      </w:pPr>
      <w:r>
        <w:rPr>
          <w:i w:val="0"/>
          <w:iCs/>
          <w:lang w:val="fr-FR"/>
        </w:rPr>
        <w:t>Scan des vulnérabilités des images Docker tierces</w:t>
      </w:r>
    </w:p>
    <w:p w14:paraId="104C7478" w14:textId="7984A37D" w:rsidR="006A40B5" w:rsidRPr="006A40B5" w:rsidRDefault="006A40B5" w:rsidP="006A40B5">
      <w:pPr>
        <w:pStyle w:val="Paragraphedeliste"/>
        <w:numPr>
          <w:ilvl w:val="0"/>
          <w:numId w:val="3"/>
        </w:numPr>
        <w:rPr>
          <w:lang w:val="fr-FR"/>
        </w:rPr>
      </w:pPr>
      <w:r>
        <w:rPr>
          <w:i w:val="0"/>
          <w:iCs/>
          <w:lang w:val="fr-FR"/>
        </w:rPr>
        <w:t>Suivi via une veille technologique des évolutions futures des applicatifs (patchs, correctifs, etc.)</w:t>
      </w:r>
    </w:p>
    <w:p w14:paraId="6849643E" w14:textId="77777777" w:rsidR="00393C60" w:rsidRDefault="00000000" w:rsidP="00393C60">
      <w:pPr>
        <w:pStyle w:val="Titre1"/>
        <w:ind w:left="-5"/>
        <w:rPr>
          <w:b w:val="0"/>
          <w:i/>
          <w:sz w:val="22"/>
          <w:lang w:val="fr-FR"/>
        </w:rPr>
      </w:pPr>
      <w:r w:rsidRPr="00B84DDA">
        <w:rPr>
          <w:lang w:val="fr-FR"/>
        </w:rPr>
        <w:t>Gestion des données</w:t>
      </w:r>
    </w:p>
    <w:p w14:paraId="6ACE587A" w14:textId="2117E76E" w:rsidR="00393C60" w:rsidRDefault="00393C60" w:rsidP="00393C60">
      <w:pPr>
        <w:pStyle w:val="Paragraphedeliste"/>
        <w:numPr>
          <w:ilvl w:val="0"/>
          <w:numId w:val="3"/>
        </w:numPr>
        <w:rPr>
          <w:i w:val="0"/>
          <w:iCs/>
          <w:lang w:val="fr-FR"/>
        </w:rPr>
      </w:pPr>
      <w:r>
        <w:rPr>
          <w:i w:val="0"/>
          <w:iCs/>
          <w:lang w:val="fr-FR"/>
        </w:rPr>
        <w:t>Localisation des données sur le territoire français pour le respect de la RGPD (Azure France dans le cadre d’un déploiement en nuage, voire réalisation d’un déploiement en cloud privé via OpenStack)</w:t>
      </w:r>
    </w:p>
    <w:p w14:paraId="44F5615E" w14:textId="4827A0DF" w:rsidR="00393C60" w:rsidRDefault="00393C60" w:rsidP="00393C60">
      <w:pPr>
        <w:pStyle w:val="Paragraphedeliste"/>
        <w:numPr>
          <w:ilvl w:val="0"/>
          <w:numId w:val="3"/>
        </w:numPr>
        <w:rPr>
          <w:i w:val="0"/>
          <w:iCs/>
          <w:lang w:val="fr-FR"/>
        </w:rPr>
      </w:pPr>
      <w:r>
        <w:rPr>
          <w:i w:val="0"/>
          <w:iCs/>
          <w:lang w:val="fr-FR"/>
        </w:rPr>
        <w:t>Classification des données de sorte à identifier ce qui est sensible ou non.</w:t>
      </w:r>
    </w:p>
    <w:p w14:paraId="238157A7" w14:textId="3ABE9936" w:rsidR="00393C60" w:rsidRDefault="00393C60" w:rsidP="00393C60">
      <w:pPr>
        <w:pStyle w:val="Paragraphedeliste"/>
        <w:numPr>
          <w:ilvl w:val="0"/>
          <w:numId w:val="3"/>
        </w:numPr>
        <w:rPr>
          <w:i w:val="0"/>
          <w:iCs/>
          <w:lang w:val="fr-FR"/>
        </w:rPr>
      </w:pPr>
      <w:r>
        <w:rPr>
          <w:i w:val="0"/>
          <w:iCs/>
          <w:lang w:val="fr-FR"/>
        </w:rPr>
        <w:t>Chiffrement des données en repos (via par exemple Azure Storage Encryption)</w:t>
      </w:r>
    </w:p>
    <w:p w14:paraId="08EA8166" w14:textId="5635C47A" w:rsidR="00393C60" w:rsidRDefault="00393C60" w:rsidP="00393C60">
      <w:pPr>
        <w:pStyle w:val="Paragraphedeliste"/>
        <w:numPr>
          <w:ilvl w:val="0"/>
          <w:numId w:val="3"/>
        </w:numPr>
        <w:rPr>
          <w:i w:val="0"/>
          <w:iCs/>
          <w:lang w:val="fr-FR"/>
        </w:rPr>
      </w:pPr>
      <w:r>
        <w:rPr>
          <w:i w:val="0"/>
          <w:iCs/>
          <w:lang w:val="fr-FR"/>
        </w:rPr>
        <w:t>Chiffrement des données en transit par l’usage de TLS et donc de l’https lors de la communication des informations entre les couches applicatives</w:t>
      </w:r>
    </w:p>
    <w:p w14:paraId="33A98570" w14:textId="62C8A591" w:rsidR="00393C60" w:rsidRDefault="00393C60" w:rsidP="00393C60">
      <w:pPr>
        <w:pStyle w:val="Paragraphedeliste"/>
        <w:numPr>
          <w:ilvl w:val="0"/>
          <w:numId w:val="3"/>
        </w:numPr>
        <w:rPr>
          <w:i w:val="0"/>
          <w:iCs/>
          <w:lang w:val="fr-FR"/>
        </w:rPr>
      </w:pPr>
      <w:r>
        <w:rPr>
          <w:i w:val="0"/>
          <w:iCs/>
          <w:lang w:val="fr-FR"/>
        </w:rPr>
        <w:t>Anonymisation des logs et des données de métriques</w:t>
      </w:r>
    </w:p>
    <w:p w14:paraId="67644F35" w14:textId="0E878B94" w:rsidR="00393C60" w:rsidRDefault="00393C60" w:rsidP="00393C60">
      <w:pPr>
        <w:pStyle w:val="Paragraphedeliste"/>
        <w:numPr>
          <w:ilvl w:val="0"/>
          <w:numId w:val="3"/>
        </w:numPr>
        <w:rPr>
          <w:i w:val="0"/>
          <w:iCs/>
          <w:lang w:val="fr-FR"/>
        </w:rPr>
      </w:pPr>
      <w:r>
        <w:rPr>
          <w:i w:val="0"/>
          <w:iCs/>
          <w:lang w:val="fr-FR"/>
        </w:rPr>
        <w:t>Mise en place d’une politique de rétention et de suppression du compte en cas de volonté du client</w:t>
      </w:r>
    </w:p>
    <w:p w14:paraId="524FE669" w14:textId="03840FF0" w:rsidR="00393C60" w:rsidRPr="00393C60" w:rsidRDefault="00393C60" w:rsidP="00393C60">
      <w:pPr>
        <w:pStyle w:val="Paragraphedeliste"/>
        <w:numPr>
          <w:ilvl w:val="0"/>
          <w:numId w:val="3"/>
        </w:numPr>
        <w:rPr>
          <w:i w:val="0"/>
          <w:iCs/>
          <w:lang w:val="fr-FR"/>
        </w:rPr>
      </w:pPr>
      <w:r>
        <w:rPr>
          <w:i w:val="0"/>
          <w:iCs/>
          <w:lang w:val="fr-FR"/>
        </w:rPr>
        <w:t>Réalisation d’un backup journalier de la base de données (aux alentours de 2h00) et stockage de ce backup via l’utilisation de la règles 3-2-1</w:t>
      </w:r>
    </w:p>
    <w:p w14:paraId="47EE1C3F" w14:textId="62978B78" w:rsidR="0072353C" w:rsidRDefault="00000000" w:rsidP="00393C60">
      <w:pPr>
        <w:pStyle w:val="Titre1"/>
        <w:ind w:left="-5"/>
        <w:rPr>
          <w:b w:val="0"/>
          <w:i/>
          <w:sz w:val="22"/>
          <w:lang w:val="fr-FR"/>
        </w:rPr>
      </w:pPr>
      <w:r w:rsidRPr="00B84DDA">
        <w:rPr>
          <w:lang w:val="fr-FR"/>
        </w:rPr>
        <w:t>Infrastructure</w:t>
      </w:r>
    </w:p>
    <w:p w14:paraId="4A708A40" w14:textId="371EC662" w:rsidR="0072353C" w:rsidRPr="0072353C" w:rsidRDefault="0072353C" w:rsidP="0072353C">
      <w:pPr>
        <w:pStyle w:val="Paragraphedeliste"/>
        <w:numPr>
          <w:ilvl w:val="0"/>
          <w:numId w:val="3"/>
        </w:numPr>
        <w:rPr>
          <w:lang w:val="fr-FR"/>
        </w:rPr>
      </w:pPr>
      <w:r w:rsidRPr="0072353C">
        <w:rPr>
          <w:lang w:val="fr-FR"/>
        </w:rPr>
        <w:t>Panel de microservices :</w:t>
      </w:r>
    </w:p>
    <w:p w14:paraId="5A7497CF" w14:textId="77777777" w:rsidR="0072353C" w:rsidRPr="0072353C" w:rsidRDefault="0072353C" w:rsidP="0072353C">
      <w:pPr>
        <w:pStyle w:val="Paragraphedeliste"/>
        <w:numPr>
          <w:ilvl w:val="1"/>
          <w:numId w:val="3"/>
        </w:numPr>
        <w:rPr>
          <w:lang w:val="fr-FR"/>
        </w:rPr>
      </w:pPr>
      <w:r w:rsidRPr="0072353C">
        <w:rPr>
          <w:lang w:val="fr-FR"/>
        </w:rPr>
        <w:t>Contrôle de la santé via l’utilisation de LivenessProbe et de ReadinessProbes intégrées à Kubernetes</w:t>
      </w:r>
    </w:p>
    <w:p w14:paraId="59793524" w14:textId="1A5FEBB0" w:rsidR="002415D7" w:rsidRPr="0072353C" w:rsidRDefault="0072353C" w:rsidP="0072353C">
      <w:pPr>
        <w:pStyle w:val="Paragraphedeliste"/>
        <w:numPr>
          <w:ilvl w:val="1"/>
          <w:numId w:val="3"/>
        </w:numPr>
        <w:rPr>
          <w:lang w:val="fr-FR"/>
        </w:rPr>
      </w:pPr>
      <w:r w:rsidRPr="0072353C">
        <w:rPr>
          <w:lang w:val="fr-FR"/>
        </w:rPr>
        <w:t>Contrôle de la charge et du statut des microservices via l’utilisation de Prometheus et de Grafana dans le but de pouvoir suivre la santé en un endroit commun</w:t>
      </w:r>
    </w:p>
    <w:p w14:paraId="19F88CE2" w14:textId="40C802D0" w:rsidR="002415D7" w:rsidRPr="0072353C" w:rsidRDefault="0072353C" w:rsidP="0072353C">
      <w:pPr>
        <w:pStyle w:val="Paragraphedeliste"/>
        <w:numPr>
          <w:ilvl w:val="0"/>
          <w:numId w:val="3"/>
        </w:numPr>
        <w:rPr>
          <w:lang w:val="fr-FR"/>
        </w:rPr>
      </w:pPr>
      <w:r w:rsidRPr="0072353C">
        <w:rPr>
          <w:lang w:val="fr-FR"/>
        </w:rPr>
        <w:t xml:space="preserve">Application frontend : </w:t>
      </w:r>
    </w:p>
    <w:p w14:paraId="6F4FB1C0" w14:textId="064CF168" w:rsidR="0072353C" w:rsidRPr="0072353C" w:rsidRDefault="0072353C" w:rsidP="0072353C">
      <w:pPr>
        <w:pStyle w:val="Paragraphedeliste"/>
        <w:numPr>
          <w:ilvl w:val="1"/>
          <w:numId w:val="3"/>
        </w:numPr>
        <w:rPr>
          <w:lang w:val="fr-FR"/>
        </w:rPr>
      </w:pPr>
      <w:r w:rsidRPr="0072353C">
        <w:rPr>
          <w:lang w:val="fr-FR"/>
        </w:rPr>
        <w:t>Contrôle de la santé via l’utilisation de LivenessProbe / ReadinessProbe intégrées à Kubernetes</w:t>
      </w:r>
    </w:p>
    <w:p w14:paraId="34B7C89A" w14:textId="49A337A8" w:rsidR="0072353C" w:rsidRDefault="0072353C" w:rsidP="0072353C">
      <w:pPr>
        <w:pStyle w:val="Paragraphedeliste"/>
        <w:numPr>
          <w:ilvl w:val="1"/>
          <w:numId w:val="3"/>
        </w:numPr>
        <w:rPr>
          <w:lang w:val="fr-FR"/>
        </w:rPr>
      </w:pPr>
      <w:r w:rsidRPr="0072353C">
        <w:rPr>
          <w:lang w:val="fr-FR"/>
        </w:rPr>
        <w:t>Utilisation des endpoints /health disponible pour Prometheus dans le cadre de la récupération des métriques</w:t>
      </w:r>
    </w:p>
    <w:p w14:paraId="29C6FDEE" w14:textId="5A626777" w:rsidR="00393C60" w:rsidRDefault="00393C60" w:rsidP="00393C60">
      <w:pPr>
        <w:pStyle w:val="Paragraphedeliste"/>
        <w:numPr>
          <w:ilvl w:val="0"/>
          <w:numId w:val="3"/>
        </w:numPr>
        <w:rPr>
          <w:lang w:val="fr-FR"/>
        </w:rPr>
      </w:pPr>
      <w:r>
        <w:rPr>
          <w:lang w:val="fr-FR"/>
        </w:rPr>
        <w:t>Centralisation des logs des différents applicatifs</w:t>
      </w:r>
    </w:p>
    <w:p w14:paraId="78CABE3A" w14:textId="696F52C5" w:rsidR="00393C60" w:rsidRDefault="00393C60" w:rsidP="00393C60">
      <w:pPr>
        <w:pStyle w:val="Paragraphedeliste"/>
        <w:numPr>
          <w:ilvl w:val="1"/>
          <w:numId w:val="3"/>
        </w:numPr>
        <w:rPr>
          <w:lang w:val="fr-FR"/>
        </w:rPr>
      </w:pPr>
      <w:r>
        <w:rPr>
          <w:lang w:val="fr-FR"/>
        </w:rPr>
        <w:t>Utilisation d’Elastic Stack (Elasticsearch) pour accélérer la réalisation des requêtes de récupération des logs à l’avenir</w:t>
      </w:r>
    </w:p>
    <w:p w14:paraId="4E4C66FA" w14:textId="503FC93F" w:rsidR="00182C92" w:rsidRDefault="00182C92" w:rsidP="00182C92">
      <w:pPr>
        <w:pStyle w:val="Paragraphedeliste"/>
        <w:numPr>
          <w:ilvl w:val="0"/>
          <w:numId w:val="3"/>
        </w:numPr>
        <w:rPr>
          <w:lang w:val="fr-FR"/>
        </w:rPr>
      </w:pPr>
      <w:r>
        <w:rPr>
          <w:lang w:val="fr-FR"/>
        </w:rPr>
        <w:t>Politique de redémarrage automatique des pods en cas de soucis</w:t>
      </w:r>
    </w:p>
    <w:p w14:paraId="52809B30" w14:textId="49BAA81E" w:rsidR="00182C92" w:rsidRDefault="00182C92" w:rsidP="00182C92">
      <w:pPr>
        <w:pStyle w:val="Paragraphedeliste"/>
        <w:numPr>
          <w:ilvl w:val="1"/>
          <w:numId w:val="3"/>
        </w:numPr>
        <w:rPr>
          <w:lang w:val="fr-FR"/>
        </w:rPr>
      </w:pPr>
      <w:r>
        <w:rPr>
          <w:lang w:val="fr-FR"/>
        </w:rPr>
        <w:t>Self-healing policies</w:t>
      </w:r>
    </w:p>
    <w:p w14:paraId="0F77A92D" w14:textId="2C45AAC4" w:rsidR="00182C92" w:rsidRDefault="00182C92" w:rsidP="00182C92">
      <w:pPr>
        <w:pStyle w:val="Paragraphedeliste"/>
        <w:numPr>
          <w:ilvl w:val="0"/>
          <w:numId w:val="3"/>
        </w:numPr>
        <w:rPr>
          <w:lang w:val="fr-FR"/>
        </w:rPr>
      </w:pPr>
      <w:r>
        <w:rPr>
          <w:lang w:val="fr-FR"/>
        </w:rPr>
        <w:t>Réalisation de tests de montée en charge afin de pouvoir anticiper les moments d’affluence</w:t>
      </w:r>
    </w:p>
    <w:p w14:paraId="199CB7D8" w14:textId="39F711DA" w:rsidR="00182C92" w:rsidRDefault="00182C92" w:rsidP="00182C92">
      <w:pPr>
        <w:pStyle w:val="Paragraphedeliste"/>
        <w:numPr>
          <w:ilvl w:val="0"/>
          <w:numId w:val="3"/>
        </w:numPr>
        <w:rPr>
          <w:lang w:val="fr-FR"/>
        </w:rPr>
      </w:pPr>
      <w:r>
        <w:rPr>
          <w:lang w:val="fr-FR"/>
        </w:rPr>
        <w:t>Gestion de secrets via l’utilisation d’un environnement sécurisé</w:t>
      </w:r>
    </w:p>
    <w:p w14:paraId="5415C981" w14:textId="0B3085EE" w:rsidR="00182C92" w:rsidRPr="00182C92" w:rsidRDefault="00182C92" w:rsidP="00182C92">
      <w:pPr>
        <w:pStyle w:val="Paragraphedeliste"/>
        <w:numPr>
          <w:ilvl w:val="1"/>
          <w:numId w:val="3"/>
        </w:numPr>
      </w:pPr>
      <w:r w:rsidRPr="00182C92">
        <w:t xml:space="preserve">Azure Key Vault </w:t>
      </w:r>
      <w:r>
        <w:t xml:space="preserve">/ </w:t>
      </w:r>
      <w:r w:rsidRPr="00182C92">
        <w:t>K</w:t>
      </w:r>
      <w:r>
        <w:t>ubernetes Secrets</w:t>
      </w:r>
    </w:p>
    <w:p w14:paraId="6F4175AB" w14:textId="77777777" w:rsidR="002415D7" w:rsidRDefault="00000000">
      <w:pPr>
        <w:pStyle w:val="Titre1"/>
        <w:ind w:left="-5"/>
        <w:rPr>
          <w:lang w:val="fr-FR"/>
        </w:rPr>
      </w:pPr>
      <w:r w:rsidRPr="00B84DDA">
        <w:rPr>
          <w:lang w:val="fr-FR"/>
        </w:rPr>
        <w:t>Sécurité</w:t>
      </w:r>
    </w:p>
    <w:p w14:paraId="7E980D57" w14:textId="143D4EF0" w:rsidR="00182C92" w:rsidRPr="00182C92" w:rsidRDefault="00182C92" w:rsidP="00182C92">
      <w:pPr>
        <w:pStyle w:val="Paragraphedeliste"/>
        <w:numPr>
          <w:ilvl w:val="0"/>
          <w:numId w:val="3"/>
        </w:numPr>
        <w:rPr>
          <w:lang w:val="fr-FR"/>
        </w:rPr>
      </w:pPr>
      <w:r>
        <w:rPr>
          <w:i w:val="0"/>
          <w:iCs/>
          <w:lang w:val="fr-FR"/>
        </w:rPr>
        <w:t>Utilisation d’API Stateless et mode d’authentification sécurisé</w:t>
      </w:r>
    </w:p>
    <w:p w14:paraId="1182A07F" w14:textId="5872F9ED" w:rsidR="00182C92" w:rsidRPr="00182C92" w:rsidRDefault="00182C92" w:rsidP="00182C92">
      <w:pPr>
        <w:pStyle w:val="Paragraphedeliste"/>
        <w:numPr>
          <w:ilvl w:val="1"/>
          <w:numId w:val="3"/>
        </w:numPr>
        <w:rPr>
          <w:lang w:val="fr-FR"/>
        </w:rPr>
      </w:pPr>
      <w:r>
        <w:rPr>
          <w:i w:val="0"/>
          <w:iCs/>
          <w:lang w:val="fr-FR"/>
        </w:rPr>
        <w:lastRenderedPageBreak/>
        <w:t>JWT obligatoire transféré via l’utilisation du mode http-only et des headers de la requête</w:t>
      </w:r>
    </w:p>
    <w:p w14:paraId="44439784" w14:textId="54CC5107" w:rsidR="00182C92" w:rsidRPr="00182C92" w:rsidRDefault="00182C92" w:rsidP="00182C92">
      <w:pPr>
        <w:pStyle w:val="Paragraphedeliste"/>
        <w:numPr>
          <w:ilvl w:val="0"/>
          <w:numId w:val="3"/>
        </w:numPr>
        <w:rPr>
          <w:lang w:val="fr-FR"/>
        </w:rPr>
      </w:pPr>
      <w:r>
        <w:rPr>
          <w:i w:val="0"/>
          <w:iCs/>
          <w:lang w:val="fr-FR"/>
        </w:rPr>
        <w:t>Mise en place d’une politique d’authentification renforcée</w:t>
      </w:r>
    </w:p>
    <w:p w14:paraId="5C8A10FE" w14:textId="44626DA5" w:rsidR="00182C92" w:rsidRPr="00182C92" w:rsidRDefault="00182C92" w:rsidP="00182C92">
      <w:pPr>
        <w:pStyle w:val="Paragraphedeliste"/>
        <w:numPr>
          <w:ilvl w:val="1"/>
          <w:numId w:val="3"/>
        </w:numPr>
        <w:rPr>
          <w:lang w:val="fr-FR"/>
        </w:rPr>
      </w:pPr>
      <w:r>
        <w:rPr>
          <w:i w:val="0"/>
          <w:iCs/>
          <w:lang w:val="fr-FR"/>
        </w:rPr>
        <w:t>Utilisation de Gaptcha lors de l’enregistrement</w:t>
      </w:r>
    </w:p>
    <w:p w14:paraId="397DD0AD" w14:textId="03559120" w:rsidR="00182C92" w:rsidRPr="00182C92" w:rsidRDefault="00182C92" w:rsidP="00182C92">
      <w:pPr>
        <w:pStyle w:val="Paragraphedeliste"/>
        <w:numPr>
          <w:ilvl w:val="1"/>
          <w:numId w:val="3"/>
        </w:numPr>
        <w:rPr>
          <w:lang w:val="fr-FR"/>
        </w:rPr>
      </w:pPr>
      <w:r>
        <w:rPr>
          <w:i w:val="0"/>
          <w:iCs/>
          <w:lang w:val="fr-FR"/>
        </w:rPr>
        <w:t>Possibilité d’ajouter une authentification à plusieurs facteurs via le scan d’un code QR par le client</w:t>
      </w:r>
    </w:p>
    <w:p w14:paraId="02FEBD7F" w14:textId="4DDE5D07" w:rsidR="00182C92" w:rsidRPr="00182C92" w:rsidRDefault="00182C92" w:rsidP="00182C92">
      <w:pPr>
        <w:pStyle w:val="Paragraphedeliste"/>
        <w:numPr>
          <w:ilvl w:val="0"/>
          <w:numId w:val="3"/>
        </w:numPr>
        <w:rPr>
          <w:lang w:val="fr-FR"/>
        </w:rPr>
      </w:pPr>
      <w:r>
        <w:rPr>
          <w:i w:val="0"/>
          <w:iCs/>
          <w:lang w:val="fr-FR"/>
        </w:rPr>
        <w:t>Sécurisation via le principe du less privilege</w:t>
      </w:r>
    </w:p>
    <w:p w14:paraId="322FC165" w14:textId="0A3E05EC" w:rsidR="00182C92" w:rsidRPr="00182C92" w:rsidRDefault="00182C92" w:rsidP="00182C92">
      <w:pPr>
        <w:pStyle w:val="Paragraphedeliste"/>
        <w:numPr>
          <w:ilvl w:val="1"/>
          <w:numId w:val="3"/>
        </w:numPr>
        <w:rPr>
          <w:lang w:val="fr-FR"/>
        </w:rPr>
      </w:pPr>
      <w:r>
        <w:rPr>
          <w:i w:val="0"/>
          <w:iCs/>
          <w:lang w:val="fr-FR"/>
        </w:rPr>
        <w:t>Réalisation d’un ensemble de policies dans le but de procéder à la mise en place d’une PBAC</w:t>
      </w:r>
    </w:p>
    <w:p w14:paraId="2F45AE57" w14:textId="5B4B745C" w:rsidR="00182C92" w:rsidRPr="00182C92" w:rsidRDefault="00182C92" w:rsidP="00182C92">
      <w:pPr>
        <w:pStyle w:val="Paragraphedeliste"/>
        <w:numPr>
          <w:ilvl w:val="0"/>
          <w:numId w:val="3"/>
        </w:numPr>
        <w:rPr>
          <w:lang w:val="fr-FR"/>
        </w:rPr>
      </w:pPr>
      <w:r>
        <w:rPr>
          <w:i w:val="0"/>
          <w:iCs/>
          <w:lang w:val="fr-FR"/>
        </w:rPr>
        <w:t>Sécurisation de la Gateway via l’utilisation du protocole HTTPS et de certificats TLS récents (mise à jour automatique de ces derniers via par exemple certbot et let’s encrypt)</w:t>
      </w:r>
    </w:p>
    <w:p w14:paraId="59142D46" w14:textId="7D971B56" w:rsidR="00182C92" w:rsidRPr="00182C92" w:rsidRDefault="00182C92" w:rsidP="00182C92">
      <w:pPr>
        <w:pStyle w:val="Paragraphedeliste"/>
        <w:numPr>
          <w:ilvl w:val="0"/>
          <w:numId w:val="3"/>
        </w:numPr>
        <w:rPr>
          <w:lang w:val="fr-FR"/>
        </w:rPr>
      </w:pPr>
      <w:r>
        <w:rPr>
          <w:i w:val="0"/>
          <w:iCs/>
          <w:lang w:val="fr-FR"/>
        </w:rPr>
        <w:t>Mise en place d’une protection contre les attaques les plus risquées</w:t>
      </w:r>
    </w:p>
    <w:p w14:paraId="190D0522" w14:textId="096C817C" w:rsidR="00182C92" w:rsidRPr="00182C92" w:rsidRDefault="00182C92" w:rsidP="00182C92">
      <w:pPr>
        <w:pStyle w:val="Paragraphedeliste"/>
        <w:numPr>
          <w:ilvl w:val="1"/>
          <w:numId w:val="3"/>
        </w:numPr>
        <w:rPr>
          <w:lang w:val="fr-FR"/>
        </w:rPr>
      </w:pPr>
      <w:r w:rsidRPr="00182C92">
        <w:rPr>
          <w:i w:val="0"/>
          <w:iCs/>
          <w:lang w:val="fr-FR"/>
        </w:rPr>
        <w:t>Consultation du OWASP Top Ten durant la</w:t>
      </w:r>
      <w:r>
        <w:rPr>
          <w:i w:val="0"/>
          <w:iCs/>
          <w:lang w:val="fr-FR"/>
        </w:rPr>
        <w:t xml:space="preserve"> veille technologique</w:t>
      </w:r>
    </w:p>
    <w:p w14:paraId="5A62D9F0" w14:textId="7475E931" w:rsidR="00182C92" w:rsidRPr="00182C92" w:rsidRDefault="00182C92" w:rsidP="00182C92">
      <w:pPr>
        <w:pStyle w:val="Paragraphedeliste"/>
        <w:numPr>
          <w:ilvl w:val="1"/>
          <w:numId w:val="3"/>
        </w:numPr>
        <w:rPr>
          <w:lang w:val="fr-FR"/>
        </w:rPr>
      </w:pPr>
      <w:r>
        <w:rPr>
          <w:i w:val="0"/>
          <w:iCs/>
          <w:lang w:val="fr-FR"/>
        </w:rPr>
        <w:t>Mise en place de protection contre le brute force, les DoS, le XSS, etc…</w:t>
      </w:r>
    </w:p>
    <w:p w14:paraId="4A50AA2A" w14:textId="47176665" w:rsidR="00182C92" w:rsidRPr="00182C92" w:rsidRDefault="00182C92" w:rsidP="00182C92">
      <w:pPr>
        <w:pStyle w:val="Paragraphedeliste"/>
        <w:numPr>
          <w:ilvl w:val="0"/>
          <w:numId w:val="3"/>
        </w:numPr>
        <w:rPr>
          <w:lang w:val="fr-FR"/>
        </w:rPr>
      </w:pPr>
      <w:r>
        <w:rPr>
          <w:i w:val="0"/>
          <w:iCs/>
          <w:lang w:val="fr-FR"/>
        </w:rPr>
        <w:t>Réalisation d’audit des logs dans le but de déceler des comportements douteux ou le passage de données sensibles</w:t>
      </w:r>
    </w:p>
    <w:p w14:paraId="4DA5D1F9" w14:textId="720DB114" w:rsidR="00182C92" w:rsidRPr="00182C92" w:rsidRDefault="00182C92" w:rsidP="00182C92">
      <w:pPr>
        <w:pStyle w:val="Paragraphedeliste"/>
        <w:numPr>
          <w:ilvl w:val="0"/>
          <w:numId w:val="3"/>
        </w:numPr>
        <w:rPr>
          <w:lang w:val="fr-FR"/>
        </w:rPr>
      </w:pPr>
      <w:r>
        <w:rPr>
          <w:i w:val="0"/>
          <w:iCs/>
          <w:lang w:val="fr-FR"/>
        </w:rPr>
        <w:t>Réalisation de tests d’intrusion de façon régulière afin de vérifier la conformité des applicatifs</w:t>
      </w:r>
    </w:p>
    <w:p w14:paraId="038693C3" w14:textId="34F605A2" w:rsidR="00182C92" w:rsidRPr="00182C92" w:rsidRDefault="00182C92" w:rsidP="00182C92">
      <w:pPr>
        <w:pStyle w:val="Paragraphedeliste"/>
        <w:numPr>
          <w:ilvl w:val="0"/>
          <w:numId w:val="3"/>
        </w:numPr>
        <w:rPr>
          <w:lang w:val="fr-FR"/>
        </w:rPr>
      </w:pPr>
      <w:r>
        <w:rPr>
          <w:i w:val="0"/>
          <w:iCs/>
          <w:lang w:val="fr-FR"/>
        </w:rPr>
        <w:t>Conformisation des applicatifs à la RGPD (droit à l’oubli, demande de consentement explicite et minimisation des logs)</w:t>
      </w:r>
    </w:p>
    <w:p w14:paraId="4CBD0029" w14:textId="77777777" w:rsidR="002415D7" w:rsidRDefault="00000000">
      <w:pPr>
        <w:spacing w:after="0" w:line="259" w:lineRule="auto"/>
        <w:ind w:left="30" w:right="-66" w:firstLine="0"/>
      </w:pPr>
      <w:r>
        <w:rPr>
          <w:noProof/>
        </w:rPr>
        <w:drawing>
          <wp:inline distT="0" distB="0" distL="0" distR="0" wp14:anchorId="76514CF4" wp14:editId="28022D98">
            <wp:extent cx="5734050" cy="1828800"/>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7"/>
                    <a:stretch>
                      <a:fillRect/>
                    </a:stretch>
                  </pic:blipFill>
                  <pic:spPr>
                    <a:xfrm>
                      <a:off x="0" y="0"/>
                      <a:ext cx="5734050" cy="1828800"/>
                    </a:xfrm>
                    <a:prstGeom prst="rect">
                      <a:avLst/>
                    </a:prstGeom>
                  </pic:spPr>
                </pic:pic>
              </a:graphicData>
            </a:graphic>
          </wp:inline>
        </w:drawing>
      </w:r>
    </w:p>
    <w:sectPr w:rsidR="002415D7" w:rsidSect="0072353C">
      <w:pgSz w:w="11920" w:h="16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15B63"/>
    <w:multiLevelType w:val="hybridMultilevel"/>
    <w:tmpl w:val="64466A1A"/>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 w15:restartNumberingAfterBreak="0">
    <w:nsid w:val="28336599"/>
    <w:multiLevelType w:val="hybridMultilevel"/>
    <w:tmpl w:val="F1167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F02033"/>
    <w:multiLevelType w:val="hybridMultilevel"/>
    <w:tmpl w:val="FD926134"/>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num w:numId="1" w16cid:durableId="1940141760">
    <w:abstractNumId w:val="0"/>
  </w:num>
  <w:num w:numId="2" w16cid:durableId="1566187634">
    <w:abstractNumId w:val="2"/>
  </w:num>
  <w:num w:numId="3" w16cid:durableId="2072577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5D7"/>
    <w:rsid w:val="00182C92"/>
    <w:rsid w:val="001F5CB9"/>
    <w:rsid w:val="002415D7"/>
    <w:rsid w:val="00393C60"/>
    <w:rsid w:val="00590975"/>
    <w:rsid w:val="006A40B5"/>
    <w:rsid w:val="0072353C"/>
    <w:rsid w:val="00B84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A8CEF"/>
  <w15:docId w15:val="{7DAB5D01-F2BF-415D-985C-B1AA6D251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7" w:lineRule="auto"/>
      <w:ind w:left="10" w:hanging="10"/>
    </w:pPr>
    <w:rPr>
      <w:rFonts w:ascii="Calibri" w:eastAsia="Calibri" w:hAnsi="Calibri" w:cs="Calibri"/>
      <w:i/>
      <w:color w:val="000000"/>
      <w:sz w:val="22"/>
    </w:rPr>
  </w:style>
  <w:style w:type="paragraph" w:styleId="Titre1">
    <w:name w:val="heading 1"/>
    <w:next w:val="Normal"/>
    <w:link w:val="Titre1Car"/>
    <w:uiPriority w:val="9"/>
    <w:qFormat/>
    <w:pPr>
      <w:keepNext/>
      <w:keepLines/>
      <w:spacing w:after="268" w:line="259" w:lineRule="auto"/>
      <w:ind w:left="10" w:hanging="10"/>
      <w:outlineLvl w:val="0"/>
    </w:pPr>
    <w:rPr>
      <w:rFonts w:ascii="Calibri" w:eastAsia="Calibri" w:hAnsi="Calibri" w:cs="Calibri"/>
      <w:b/>
      <w:color w:val="000000"/>
      <w:sz w:val="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b/>
      <w:color w:val="000000"/>
      <w:sz w:val="30"/>
    </w:rPr>
  </w:style>
  <w:style w:type="paragraph" w:styleId="Paragraphedeliste">
    <w:name w:val="List Paragraph"/>
    <w:basedOn w:val="Normal"/>
    <w:uiPriority w:val="34"/>
    <w:qFormat/>
    <w:rsid w:val="00723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749</Words>
  <Characters>4272</Characters>
  <Application>Microsoft Office Word</Application>
  <DocSecurity>0</DocSecurity>
  <Lines>35</Lines>
  <Paragraphs>10</Paragraphs>
  <ScaleCrop>false</ScaleCrop>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Compliance Assessment_Template</dc:title>
  <dc:subject/>
  <dc:creator>Antoine Dieudonne</dc:creator>
  <cp:keywords/>
  <cp:lastModifiedBy>Antoine Dieudonne</cp:lastModifiedBy>
  <cp:revision>6</cp:revision>
  <dcterms:created xsi:type="dcterms:W3CDTF">2025-08-19T19:00:00Z</dcterms:created>
  <dcterms:modified xsi:type="dcterms:W3CDTF">2025-08-22T09:01:00Z</dcterms:modified>
</cp:coreProperties>
</file>