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b32479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9, 3, 4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14, 3, 4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pPr>
        <w:pStyle w:val="Heading1"/>
      </w:pPr>
      <w:r>
        <w:t>Dispute Resolution</w:t>
      </w:r>
    </w:p>
    <w:p>
      <w:r>
        <w:t>The parties shall first attempt to settle disputes amicably; failing that, disputes shall be submitted to the competent courts of Morocco. Demo sample — legal review required.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