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Aurora Scholarship Appeals Policy</w:t>
      </w:r>
    </w:p>
    <w:p>
      <w:r>
        <w:t xml:space="preserve">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 This institutional policy section describes standard scholarship administration and review procedures.</w:t>
      </w:r>
    </w:p>
    <w:p>
      <w:r>
        <w:t xml:space="preserve">Appeal Timing</w:t>
      </w:r>
    </w:p>
    <w:p>
      <w:r>
        <w:t xml:space="preserve">The Aurora Scholarship appeal deadline is 17 business days after the decision notice.</w:t>
      </w:r>
    </w:p>
    <w:p>
      <w:r>
        <w:t xml:space="preserve">Applicants must submit the appeal through the governed university portal.</w:t>
      </w:r>
    </w:p>
    <w:sectPr/>
  </w:body>
</w:document>
</file>