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fill="1F3864" w:val="clear"/>
            <w:tcMar>
              <w:top w:type="dxa" w:w="360"/>
              <w:left w:type="dxa" w:w="480"/>
              <w:bottom w:type="dxa" w:w="360"/>
              <w:right w:type="dxa" w:w="480"/>
            </w:tcMar>
          </w:tcPr>
          <w:p>
            <w:pPr>
              <w:spacing w:after="8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8"/>
                <w:szCs w:val="48"/>
              </w:rPr>
              <w:t xml:space="preserve">SMS RAG — Architecture Guide</w:t>
            </w:r>
          </w:p>
          <w:p>
            <w:pPr>
              <w:spacing w:after="40" w:before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AABBCC"/>
                <w:sz w:val="22"/>
                <w:szCs w:val="22"/>
              </w:rPr>
              <w:t xml:space="preserve">Complete system overview for new developers and team members</w:t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778899"/>
                <w:sz w:val="18"/>
                <w:szCs w:val="18"/>
              </w:rPr>
              <w:t xml:space="preserve">Safe Lanes Consultants Pte Ltd  ·  SAIL Software  ·  chatai.sl-sail.com</w:t>
            </w:r>
          </w:p>
        </w:tc>
      </w:tr>
    </w:tbl>
    <w:p>
      <w:pPr>
        <w:spacing w:after="0" w:before="180"/>
      </w:pPr>
    </w:p>
    <w:p>
      <w:pPr>
        <w:pBdr>
          <w:bottom w:val="single" w:color="1F3864" w:sz="8" w:space="4"/>
        </w:pBdr>
        <w:spacing w:after="80" w:before="300"/>
      </w:pPr>
      <w:r>
        <w:rPr>
          <w:rFonts w:ascii="Calibri" w:cs="Calibri" w:eastAsia="Calibri" w:hAnsi="Calibri"/>
          <w:b/>
          <w:bCs/>
          <w:color w:val="1F3864"/>
          <w:sz w:val="32"/>
          <w:szCs w:val="32"/>
        </w:rPr>
        <w:t xml:space="preserve">1. System Overview</w:t>
      </w:r>
    </w:p>
    <w:p>
      <w:pPr>
        <w:spacing w:after="60" w:before="0"/>
      </w:pPr>
      <w:r>
        <w:rPr>
          <w:rFonts w:ascii="Calibri" w:cs="Calibri" w:eastAsia="Calibri" w:hAnsi="Calibri"/>
          <w:color w:val="333333"/>
          <w:sz w:val="19"/>
          <w:szCs w:val="19"/>
        </w:rPr>
        <w:t xml:space="preserve">The SMS RAG (Retrieval-Augmented Generation) system allows seafarers and ship managers to ask natural language questions about their Safety Management System documents and receive accurate, cited answers in seconds. It is a multi-tenant SaaS platform — each shipping company (client) has their own isolated document store and retrieval pipeline.</w:t>
      </w:r>
    </w:p>
    <w:p>
      <w:pPr>
        <w:spacing w:after="0" w:before="80"/>
      </w:pPr>
    </w:p>
    <w:p>
      <w:pPr>
        <w:spacing w:after="60" w:before="0"/>
      </w:pPr>
      <w:r>
        <w:rPr>
          <w:rFonts w:ascii="Calibri" w:cs="Calibri" w:eastAsia="Calibri" w:hAnsi="Calibri"/>
          <w:color w:val="333333"/>
          <w:sz w:val="19"/>
          <w:szCs w:val="19"/>
        </w:rPr>
        <w:t xml:space="preserve">Production URL: https://chatai.sl-sail.com  |  12 active clients  |  100,000+ document chunks indexed</w:t>
      </w:r>
    </w:p>
    <w:p>
      <w:pPr>
        <w:spacing w:after="0" w:before="60"/>
      </w:pP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Borders>
              <w:top w:val="single" w:color="2E75B6" w:sz="4"/>
              <w:left w:val="single" w:color="2E75B6" w:sz="20"/>
              <w:bottom w:val="single" w:color="2E75B6" w:sz="4"/>
              <w:right w:val="single" w:color="2E75B6" w:sz="4"/>
            </w:tcBorders>
            <w:shd w:fill="EBF5FB" w:val="clear"/>
            <w:tcMar>
              <w:top w:type="dxa" w:w="100"/>
              <w:left w:type="dxa" w:w="220"/>
              <w:bottom w:type="dxa" w:w="100"/>
              <w:right w:type="dxa" w:w="18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2E75B6"/>
                <w:sz w:val="19"/>
                <w:szCs w:val="19"/>
              </w:rPr>
              <w:t xml:space="preserve">What It Does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• Seafarers ask: 'What are the procedures for enclosed space entry?'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• System searches 9,000+ chunks of SMS documentation in under 2 seconds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• Returns a structured answer with exact source citations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• User clicks a reference — the document opens and jumps to the exact section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• All answers are grounded in the company's own SMS documents — no hallucination from general knowledge</w:t>
            </w:r>
          </w:p>
        </w:tc>
      </w:tr>
    </w:tbl>
    <w:p>
      <w:pPr>
        <w:spacing w:after="0" w:before="160"/>
      </w:pPr>
    </w:p>
    <w:p>
      <w:pPr>
        <w:pBdr>
          <w:bottom w:val="single" w:color="1F3864" w:sz="8" w:space="4"/>
        </w:pBdr>
        <w:spacing w:after="80" w:before="300"/>
      </w:pPr>
      <w:r>
        <w:rPr>
          <w:rFonts w:ascii="Calibri" w:cs="Calibri" w:eastAsia="Calibri" w:hAnsi="Calibri"/>
          <w:b/>
          <w:bCs/>
          <w:color w:val="1F3864"/>
          <w:sz w:val="32"/>
          <w:szCs w:val="32"/>
        </w:rPr>
        <w:t xml:space="preserve">2. High-Level Architecture</w:t>
      </w:r>
    </w:p>
    <w:p>
      <w:pPr>
        <w:spacing w:after="0" w:before="80"/>
      </w:pPr>
    </w:p>
    <w:p>
      <w:pPr>
        <w:spacing w:after="60" w:before="0"/>
      </w:pPr>
      <w:r>
        <w:rPr>
          <w:rFonts w:ascii="Calibri" w:cs="Calibri" w:eastAsia="Calibri" w:hAnsi="Calibri"/>
          <w:color w:val="333333"/>
          <w:sz w:val="19"/>
          <w:szCs w:val="19"/>
        </w:rPr>
        <w:t xml:space="preserve">The system has two separate pipelines — Indexing (offline, run by GM-IT) and Query (online, run per user request):</w:t>
      </w:r>
    </w:p>
    <w:p>
      <w:pPr>
        <w:spacing w:after="0" w:before="80"/>
      </w:pPr>
    </w:p>
    <w:p>
      <w:pPr>
        <w:spacing w:after="60" w:before="200"/>
      </w:pPr>
      <w:r>
        <w:rPr>
          <w:rFonts w:ascii="Calibri" w:cs="Calibri" w:eastAsia="Calibri" w:hAnsi="Calibri"/>
          <w:b/>
          <w:bCs/>
          <w:color w:val="2E75B6"/>
          <w:sz w:val="24"/>
          <w:szCs w:val="24"/>
        </w:rPr>
        <w:t xml:space="preserve">2.1 Indexing Pipeline (Offline)</w:t>
      </w:r>
    </w:p>
    <w:p>
      <w:pPr>
        <w:spacing w:after="60" w:before="0"/>
      </w:pPr>
      <w:r>
        <w:rPr>
          <w:rFonts w:ascii="Calibri" w:cs="Calibri" w:eastAsia="Calibri" w:hAnsi="Calibri"/>
          <w:color w:val="333333"/>
          <w:sz w:val="19"/>
          <w:szCs w:val="19"/>
        </w:rPr>
        <w:t xml:space="preserve">Converts SMS Word documents to searchable vector embeddings stored locally in ChromaDB.</w:t>
      </w:r>
    </w:p>
    <w:p>
      <w:pPr>
        <w:spacing w:after="0" w:before="60"/>
      </w:pP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00"/>
        <w:gridCol w:w="1600"/>
        <w:gridCol w:w="200"/>
        <w:gridCol w:w="1600"/>
        <w:gridCol w:w="200"/>
        <w:gridCol w:w="1600"/>
        <w:gridCol w:w="200"/>
        <w:gridCol w:w="2200"/>
      </w:tblGrid>
      <w:tr>
        <w:tc>
          <w:tcPr>
            <w:tcBorders>
              <w:top w:val="single" w:color="1A5276" w:sz="4"/>
              <w:left w:val="single" w:color="1A5276" w:sz="4"/>
              <w:bottom w:val="single" w:color="1A5276" w:sz="4"/>
              <w:right w:val="single" w:color="1A5276" w:sz="4"/>
            </w:tcBorders>
            <w:shd w:fill="1A527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Word / PDF
Documents</w:t>
            </w:r>
          </w:p>
        </w:tc>
        <w:tc>
          <w:tcPr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</w:tcPr>
          <w:p>
            <w:pPr>
              <w:jc w:val="center"/>
            </w:pPr>
            <w:r>
              <w:rPr>
                <w:color w:val="1F3864"/>
                <w:sz w:val="20"/>
                <w:szCs w:val="20"/>
              </w:rPr>
              <w:t xml:space="preserve">→</w:t>
            </w:r>
          </w:p>
        </w:tc>
        <w:tc>
          <w:tcPr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Convert to
HTML</w:t>
            </w:r>
          </w:p>
        </w:tc>
        <w:tc>
          <w:tcPr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</w:tcPr>
          <w:p>
            <w:pPr>
              <w:jc w:val="center"/>
            </w:pPr>
            <w:r>
              <w:rPr>
                <w:color w:val="1F3864"/>
                <w:sz w:val="20"/>
                <w:szCs w:val="20"/>
              </w:rPr>
              <w:t xml:space="preserve">→</w:t>
            </w:r>
          </w:p>
        </w:tc>
        <w:tc>
          <w:tcPr>
            <w:tcBorders>
              <w:top w:val="single" w:color="1E8449" w:sz="4"/>
              <w:left w:val="single" w:color="1E8449" w:sz="4"/>
              <w:bottom w:val="single" w:color="1E8449" w:sz="4"/>
              <w:right w:val="single" w:color="1E8449" w:sz="4"/>
            </w:tcBorders>
            <w:shd w:fill="1E844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Extract Sections
_Toc Anchors</w:t>
            </w:r>
          </w:p>
        </w:tc>
        <w:tc>
          <w:tcPr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</w:tcPr>
          <w:p>
            <w:pPr>
              <w:jc w:val="center"/>
            </w:pPr>
            <w:r>
              <w:rPr>
                <w:color w:val="1F3864"/>
                <w:sz w:val="20"/>
                <w:szCs w:val="20"/>
              </w:rPr>
              <w:t xml:space="preserve">→</w:t>
            </w:r>
          </w:p>
        </w:tc>
        <w:tc>
          <w:tcPr>
            <w:tcBorders>
              <w:top w:val="single" w:color="B7770D" w:sz="4"/>
              <w:left w:val="single" w:color="B7770D" w:sz="4"/>
              <w:bottom w:val="single" w:color="B7770D" w:sz="4"/>
              <w:right w:val="single" w:color="B7770D" w:sz="4"/>
            </w:tcBorders>
            <w:shd w:fill="B7770D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Embed Chunks
OpenAI</w:t>
            </w:r>
          </w:p>
        </w:tc>
        <w:tc>
          <w:tcPr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</w:tcPr>
          <w:p>
            <w:pPr>
              <w:jc w:val="center"/>
            </w:pPr>
            <w:r>
              <w:rPr>
                <w:color w:val="1F3864"/>
                <w:sz w:val="20"/>
                <w:szCs w:val="20"/>
              </w:rPr>
              <w:t xml:space="preserve">→</w:t>
            </w:r>
          </w:p>
        </w:tc>
        <w:tc>
          <w:tcPr>
            <w:tcBorders>
              <w:top w:val="single" w:color="6C3483" w:sz="4"/>
              <w:left w:val="single" w:color="6C3483" w:sz="4"/>
              <w:bottom w:val="single" w:color="6C3483" w:sz="4"/>
              <w:right w:val="single" w:color="6C3483" w:sz="4"/>
            </w:tcBorders>
            <w:shd w:fill="6C348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ChromaDB
(Local)</w:t>
            </w:r>
          </w:p>
        </w:tc>
      </w:tr>
    </w:tbl>
    <w:p>
      <w:pPr>
        <w:spacing w:after="0" w:before="60"/>
      </w:pP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600"/>
        <w:gridCol w:w="2200"/>
        <w:gridCol w:w="3800"/>
      </w:tblGrid>
      <w:tr>
        <w:tc>
          <w:tcPr>
            <w:tcW w:type="dxa" w:w="600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2600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What Happens</w:t>
            </w:r>
          </w:p>
        </w:tc>
        <w:tc>
          <w:tcPr>
            <w:tcW w:type="dxa" w:w="2200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Tool Used</w:t>
            </w:r>
          </w:p>
        </w:tc>
        <w:tc>
          <w:tcPr>
            <w:tcW w:type="dxa" w:w="3800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Where</w:t>
            </w:r>
          </w:p>
        </w:tc>
      </w:tr>
      <w:tr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1. Convert</w:t>
            </w:r>
          </w:p>
        </w:tc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Word/PDF → HTML with heading anchors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Aspose.Words or LibreOffice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Windows local machine</w:t>
            </w:r>
          </w:p>
        </w:tc>
      </w:tr>
      <w:tr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2. Extract</w:t>
            </w:r>
          </w:p>
        </w:tc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HTML → sections using _Toc heading anchors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indexer_section_wise.py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Windows local machine</w:t>
            </w:r>
          </w:p>
        </w:tc>
      </w:tr>
      <w:tr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3. Chunk</w:t>
            </w:r>
          </w:p>
        </w:tc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Each section → text chunks (1200 chars, 150 overlap)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indexer_section_wise.py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Windows local machine</w:t>
            </w:r>
          </w:p>
        </w:tc>
      </w:tr>
      <w:tr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4. Embed</w:t>
            </w:r>
          </w:p>
        </w:tc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Chunks → 3072-dim vectors via OpenAI API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text-embedding-3-large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OpenAI cloud</w:t>
            </w:r>
          </w:p>
        </w:tc>
      </w:tr>
      <w:tr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5. Store</w:t>
            </w:r>
          </w:p>
        </w:tc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Vectors saved to ChromaDB local database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ChromaDB PersistentClient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D:\indexstores\{client}\</w:t>
            </w:r>
          </w:p>
        </w:tc>
      </w:tr>
      <w:tr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6. Deploy</w:t>
            </w:r>
          </w:p>
        </w:tc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Transfer ChromaDB to production server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SCP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Ubuntu EC2 server</w:t>
            </w:r>
          </w:p>
        </w:tc>
      </w:tr>
    </w:tbl>
    <w:p>
      <w:pPr>
        <w:spacing w:after="0" w:before="100"/>
      </w:pPr>
    </w:p>
    <w:p>
      <w:pPr>
        <w:spacing w:after="60" w:before="200"/>
      </w:pPr>
      <w:r>
        <w:rPr>
          <w:rFonts w:ascii="Calibri" w:cs="Calibri" w:eastAsia="Calibri" w:hAnsi="Calibri"/>
          <w:b/>
          <w:bCs/>
          <w:color w:val="2E75B6"/>
          <w:sz w:val="24"/>
          <w:szCs w:val="24"/>
        </w:rPr>
        <w:t xml:space="preserve">2.2 Query Pipeline (Online — Per User Request)</w:t>
      </w:r>
    </w:p>
    <w:p>
      <w:pPr>
        <w:spacing w:after="60" w:before="0"/>
      </w:pPr>
      <w:r>
        <w:rPr>
          <w:rFonts w:ascii="Calibri" w:cs="Calibri" w:eastAsia="Calibri" w:hAnsi="Calibri"/>
          <w:color w:val="333333"/>
          <w:sz w:val="19"/>
          <w:szCs w:val="19"/>
        </w:rPr>
        <w:t xml:space="preserve">Handles each question from a user in real-time. Runs entirely on the production server.</w:t>
      </w:r>
    </w:p>
    <w:p>
      <w:pPr>
        <w:spacing w:after="0" w:before="60"/>
      </w:pP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00"/>
        <w:gridCol w:w="1800"/>
        <w:gridCol w:w="200"/>
        <w:gridCol w:w="1800"/>
        <w:gridCol w:w="200"/>
        <w:gridCol w:w="1800"/>
        <w:gridCol w:w="200"/>
        <w:gridCol w:w="1200"/>
      </w:tblGrid>
      <w:tr>
        <w:tc>
          <w:tcPr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User Query</w:t>
            </w:r>
          </w:p>
        </w:tc>
        <w:tc>
          <w:tcPr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F3864"/>
                <w:sz w:val="20"/>
                <w:szCs w:val="20"/>
              </w:rPr>
              <w:t xml:space="preserve">→</w:t>
            </w:r>
          </w:p>
        </w:tc>
        <w:tc>
          <w:tcPr>
            <w:tcBorders>
              <w:top w:val="single" w:color="1A5276" w:sz="4"/>
              <w:left w:val="single" w:color="1A5276" w:sz="4"/>
              <w:bottom w:val="single" w:color="1A5276" w:sz="4"/>
              <w:right w:val="single" w:color="1A5276" w:sz="4"/>
            </w:tcBorders>
            <w:shd w:fill="1A527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Embed Query</w:t>
            </w:r>
          </w:p>
        </w:tc>
        <w:tc>
          <w:tcPr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F3864"/>
                <w:sz w:val="20"/>
                <w:szCs w:val="20"/>
              </w:rPr>
              <w:t xml:space="preserve">→</w:t>
            </w:r>
          </w:p>
        </w:tc>
        <w:tc>
          <w:tcPr>
            <w:tcBorders>
              <w:top w:val="single" w:color="1E8449" w:sz="4"/>
              <w:left w:val="single" w:color="1E8449" w:sz="4"/>
              <w:bottom w:val="single" w:color="1E8449" w:sz="4"/>
              <w:right w:val="single" w:color="1E8449" w:sz="4"/>
            </w:tcBorders>
            <w:shd w:fill="1E844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ChromaDB
Retrieve K=25</w:t>
            </w:r>
          </w:p>
        </w:tc>
        <w:tc>
          <w:tcPr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F3864"/>
                <w:sz w:val="20"/>
                <w:szCs w:val="20"/>
              </w:rPr>
              <w:t xml:space="preserve">→</w:t>
            </w:r>
          </w:p>
        </w:tc>
        <w:tc>
          <w:tcPr>
            <w:tcBorders>
              <w:top w:val="single" w:color="B7770D" w:sz="4"/>
              <w:left w:val="single" w:color="B7770D" w:sz="4"/>
              <w:bottom w:val="single" w:color="B7770D" w:sz="4"/>
              <w:right w:val="single" w:color="B7770D" w:sz="4"/>
            </w:tcBorders>
            <w:shd w:fill="B7770D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Rerank
gpt-4o-mini</w:t>
            </w:r>
          </w:p>
        </w:tc>
        <w:tc>
          <w:tcPr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F3864"/>
                <w:sz w:val="20"/>
                <w:szCs w:val="20"/>
              </w:rPr>
              <w:t xml:space="preserve">→</w:t>
            </w:r>
          </w:p>
        </w:tc>
        <w:tc>
          <w:tcPr>
            <w:tcBorders>
              <w:top w:val="single" w:color="6C3483" w:sz="4"/>
              <w:left w:val="single" w:color="6C3483" w:sz="4"/>
              <w:bottom w:val="single" w:color="6C3483" w:sz="4"/>
              <w:right w:val="single" w:color="6C3483" w:sz="4"/>
            </w:tcBorders>
            <w:shd w:fill="6C348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Synthesize
Answer</w:t>
            </w:r>
          </w:p>
        </w:tc>
      </w:tr>
      <w:tr>
        <w:tc>
          <w:tcPr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333333"/>
                <w:sz w:val="15"/>
                <w:szCs w:val="15"/>
              </w:rPr>
              <w:t xml:space="preserve">Browser / SAILERP</w:t>
            </w:r>
          </w:p>
        </w:tc>
        <w:tc>
          <w:tcPr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</w:tcPr>
          <w:p/>
        </w:tc>
        <w:tc>
          <w:tcPr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333333"/>
                <w:sz w:val="15"/>
                <w:szCs w:val="15"/>
              </w:rPr>
              <w:t xml:space="preserve">OpenAI Ada</w:t>
            </w:r>
          </w:p>
        </w:tc>
        <w:tc>
          <w:tcPr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</w:tcPr>
          <w:p/>
        </w:tc>
        <w:tc>
          <w:tcPr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1E8449"/>
                <w:sz w:val="15"/>
                <w:szCs w:val="15"/>
              </w:rPr>
              <w:t xml:space="preserve">Local — no cloud</w:t>
            </w:r>
          </w:p>
        </w:tc>
        <w:tc>
          <w:tcPr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</w:tcPr>
          <w:p/>
        </w:tc>
        <w:tc>
          <w:tcPr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333333"/>
                <w:sz w:val="15"/>
                <w:szCs w:val="15"/>
              </w:rPr>
              <w:t xml:space="preserve">Top 5-8 chunks</w:t>
            </w:r>
          </w:p>
        </w:tc>
        <w:tc>
          <w:tcPr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</w:tcPr>
          <w:p/>
        </w:tc>
        <w:tc>
          <w:tcPr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333333"/>
                <w:sz w:val="15"/>
                <w:szCs w:val="15"/>
              </w:rPr>
              <w:t xml:space="preserve">gpt-4o-mini</w:t>
            </w:r>
          </w:p>
        </w:tc>
      </w:tr>
    </w:tbl>
    <w:p>
      <w:pPr>
        <w:spacing w:after="0" w:before="60"/>
      </w:pP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600"/>
        <w:gridCol w:w="2200"/>
        <w:gridCol w:w="3800"/>
      </w:tblGrid>
      <w:tr>
        <w:tc>
          <w:tcPr>
            <w:tcW w:type="dxa" w:w="600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2600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What Happens</w:t>
            </w:r>
          </w:p>
        </w:tc>
        <w:tc>
          <w:tcPr>
            <w:tcW w:type="dxa" w:w="2200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Model/Tool</w:t>
            </w:r>
          </w:p>
        </w:tc>
        <w:tc>
          <w:tcPr>
            <w:tcW w:type="dxa" w:w="3800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Latency</w:t>
            </w:r>
          </w:p>
        </w:tc>
      </w:tr>
      <w:tr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1. Receive</w:t>
            </w:r>
          </w:p>
        </w:tc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User question arrives via HTTPS POST to FastAPI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nginx → FastAPI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~10ms</w:t>
            </w:r>
          </w:p>
        </w:tc>
      </w:tr>
      <w:tr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2. Enhance</w:t>
            </w:r>
          </w:p>
        </w:tc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Entity recognition + query rewriting for better retrieval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gpt-4o-mini (optional)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~500ms</w:t>
            </w:r>
          </w:p>
        </w:tc>
      </w:tr>
      <w:tr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3. Embed</w:t>
            </w:r>
          </w:p>
        </w:tc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Query converted to 3072-dim vector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text-embedding-3-large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~200ms</w:t>
            </w:r>
          </w:p>
        </w:tc>
      </w:tr>
      <w:tr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4. Retrieve</w:t>
            </w:r>
          </w:p>
        </w:tc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Top 25 most similar chunks found in ChromaDB (HNSW)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ChromaDB local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~500ms</w:t>
            </w:r>
          </w:p>
        </w:tc>
      </w:tr>
      <w:tr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5. Rerank</w:t>
            </w:r>
          </w:p>
        </w:tc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LLM scores all 25 chunks for relevance (0-10 scale)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gpt-4o-mini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~5,000ms</w:t>
            </w:r>
          </w:p>
        </w:tc>
      </w:tr>
      <w:tr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6. Synthesize</w:t>
            </w:r>
          </w:p>
        </w:tc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Top 5-8 chunks passed to LLM for answer generation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gpt-4o-mini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~5,000ms</w:t>
            </w:r>
          </w:p>
        </w:tc>
      </w:tr>
      <w:tr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7. Return</w:t>
            </w:r>
          </w:p>
        </w:tc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Answer + references + clickable section links returned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FastAPI JSON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~100ms</w:t>
            </w:r>
          </w:p>
        </w:tc>
      </w:tr>
    </w:tbl>
    <w:p>
      <w:pPr>
        <w:spacing w:after="0" w:before="160"/>
      </w:pPr>
    </w:p>
    <w:p>
      <w:pPr>
        <w:pBdr>
          <w:bottom w:val="single" w:color="1F3864" w:sz="8" w:space="4"/>
        </w:pBdr>
        <w:spacing w:after="80" w:before="300"/>
      </w:pPr>
      <w:r>
        <w:rPr>
          <w:rFonts w:ascii="Calibri" w:cs="Calibri" w:eastAsia="Calibri" w:hAnsi="Calibri"/>
          <w:b/>
          <w:bCs/>
          <w:color w:val="1F3864"/>
          <w:sz w:val="32"/>
          <w:szCs w:val="32"/>
        </w:rPr>
        <w:t xml:space="preserve">3. Infrastructure</w:t>
      </w:r>
    </w:p>
    <w:p>
      <w:pPr>
        <w:spacing w:after="0" w:before="60"/>
      </w:pPr>
    </w:p>
    <w:p>
      <w:pPr>
        <w:spacing w:after="60" w:before="200"/>
      </w:pPr>
      <w:r>
        <w:rPr>
          <w:rFonts w:ascii="Calibri" w:cs="Calibri" w:eastAsia="Calibri" w:hAnsi="Calibri"/>
          <w:b/>
          <w:bCs/>
          <w:color w:val="2E75B6"/>
          <w:sz w:val="24"/>
          <w:szCs w:val="24"/>
        </w:rPr>
        <w:t xml:space="preserve">3.1 Production Server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400"/>
      </w:tblGrid>
      <w:tr>
        <w:tc>
          <w:tcPr>
            <w:tcW w:type="dxa" w:w="2800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Component</w:t>
            </w:r>
          </w:p>
        </w:tc>
        <w:tc>
          <w:tcPr>
            <w:tcW w:type="dxa" w:w="6400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Details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Server</w:t>
            </w:r>
          </w:p>
        </w:tc>
        <w:tc>
          <w:tcPr>
            <w:tcW w:type="dxa" w:w="6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AWS EC2 — ubuntu@13.250.9.130 (ap-southeast-1 Singapore)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SSH Key</w:t>
            </w:r>
          </w:p>
        </w:tc>
        <w:tc>
          <w:tcPr>
            <w:tcW w:type="dxa" w:w="6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C:\Users\GhaziAnwer\Documents\Safelanes19042024.pem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OS</w:t>
            </w:r>
          </w:p>
        </w:tc>
        <w:tc>
          <w:tcPr>
            <w:tcW w:type="dxa" w:w="6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Ubuntu 24.04 LTS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Web Server</w:t>
            </w:r>
          </w:p>
        </w:tc>
        <w:tc>
          <w:tcPr>
            <w:tcW w:type="dxa" w:w="6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nginx — reverse proxy on port 80/443 with SSL (Let's Encrypt)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App Server</w:t>
            </w:r>
          </w:p>
        </w:tc>
        <w:tc>
          <w:tcPr>
            <w:tcW w:type="dxa" w:w="6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FastAPI via Docker Compose — internal port 8000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Domain</w:t>
            </w:r>
          </w:p>
        </w:tc>
        <w:tc>
          <w:tcPr>
            <w:tcW w:type="dxa" w:w="6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chatai.sl-sail.com — SSL certificate auto-renewed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App Directory</w:t>
            </w:r>
          </w:p>
        </w:tc>
        <w:tc>
          <w:tcPr>
            <w:tcW w:type="dxa" w:w="6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/opt/sms-rag/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Data Directory</w:t>
            </w:r>
          </w:p>
        </w:tc>
        <w:tc>
          <w:tcPr>
            <w:tcW w:type="dxa" w:w="6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/opt/sms-rag/data/{clientname}/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Config</w:t>
            </w:r>
          </w:p>
        </w:tc>
        <w:tc>
          <w:tcPr>
            <w:tcW w:type="dxa" w:w="6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/opt/sms-rag/.env — API keys + retrieval settings</w:t>
            </w:r>
          </w:p>
        </w:tc>
      </w:tr>
    </w:tbl>
    <w:p>
      <w:pPr>
        <w:spacing w:after="0" w:before="60"/>
      </w:pPr>
    </w:p>
    <w:p>
      <w:pPr>
        <w:spacing w:after="60" w:before="200"/>
      </w:pPr>
      <w:r>
        <w:rPr>
          <w:rFonts w:ascii="Calibri" w:cs="Calibri" w:eastAsia="Calibri" w:hAnsi="Calibri"/>
          <w:b/>
          <w:bCs/>
          <w:color w:val="2E75B6"/>
          <w:sz w:val="24"/>
          <w:szCs w:val="24"/>
        </w:rPr>
        <w:t xml:space="preserve">3.2 Local Development Machine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400"/>
      </w:tblGrid>
      <w:tr>
        <w:tc>
          <w:tcPr>
            <w:tcW w:type="dxa" w:w="2800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Component</w:t>
            </w:r>
          </w:p>
        </w:tc>
        <w:tc>
          <w:tcPr>
            <w:tcW w:type="dxa" w:w="6400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Details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OS</w:t>
            </w:r>
          </w:p>
        </w:tc>
        <w:tc>
          <w:tcPr>
            <w:tcW w:type="dxa" w:w="6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Windows 11 — Ghaziabad/Noida office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Python</w:t>
            </w:r>
          </w:p>
        </w:tc>
        <w:tc>
          <w:tcPr>
            <w:tcW w:type="dxa" w:w="6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Miniconda3 — nlpnew environment (Python 3.11)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Indexer Location</w:t>
            </w:r>
          </w:p>
        </w:tc>
        <w:tc>
          <w:tcPr>
            <w:tcW w:type="dxa" w:w="6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C:\Users\GhaziAnwer\rag\dev\tools\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Client Data</w:t>
            </w:r>
          </w:p>
        </w:tc>
        <w:tc>
          <w:tcPr>
            <w:tcW w:type="dxa" w:w="6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D:\indexstores\{clientname}\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Production Code</w:t>
            </w:r>
          </w:p>
        </w:tc>
        <w:tc>
          <w:tcPr>
            <w:tcW w:type="dxa" w:w="6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C:\Users\GhaziAnwer\rag\production\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Git Repo</w:t>
            </w:r>
          </w:p>
        </w:tc>
        <w:tc>
          <w:tcPr>
            <w:tcW w:type="dxa" w:w="6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https://github.com/GhaziAnwer/smsrag (main=app, indexer=tools)</w:t>
            </w:r>
          </w:p>
        </w:tc>
      </w:tr>
    </w:tbl>
    <w:p>
      <w:pPr>
        <w:spacing w:after="0" w:before="160"/>
      </w:pPr>
    </w:p>
    <w:p>
      <w:pPr>
        <w:pBdr>
          <w:bottom w:val="single" w:color="1F3864" w:sz="8" w:space="4"/>
        </w:pBdr>
        <w:spacing w:after="80" w:before="300"/>
      </w:pPr>
      <w:r>
        <w:rPr>
          <w:rFonts w:ascii="Calibri" w:cs="Calibri" w:eastAsia="Calibri" w:hAnsi="Calibri"/>
          <w:b/>
          <w:bCs/>
          <w:color w:val="1F3864"/>
          <w:sz w:val="32"/>
          <w:szCs w:val="32"/>
        </w:rPr>
        <w:t xml:space="preserve">4. Technology Stack</w:t>
      </w:r>
    </w:p>
    <w:p>
      <w:pPr>
        <w:spacing w:after="0" w:before="60"/>
      </w:pP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00"/>
        <w:gridCol w:w="4400"/>
      </w:tblGrid>
      <w:tr>
        <w:tc>
          <w:tcPr>
            <w:tcW w:type="dxa" w:w="2000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Layer</w:t>
            </w:r>
          </w:p>
        </w:tc>
        <w:tc>
          <w:tcPr>
            <w:tcW w:type="dxa" w:w="2800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Technology</w:t>
            </w:r>
          </w:p>
        </w:tc>
        <w:tc>
          <w:tcPr>
            <w:tcW w:type="dxa" w:w="4400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Purpose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Frontend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HTML/CSS/JavaScript (single-page app)</w:t>
            </w:r>
          </w:p>
        </w:tc>
        <w:tc>
          <w:tcPr>
            <w:tcW w:type="dxa" w:w="4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Chat UI, document viewer, reference panel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API Gateway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nginx</w:t>
            </w:r>
          </w:p>
        </w:tc>
        <w:tc>
          <w:tcPr>
            <w:tcW w:type="dxa" w:w="4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SSL termination, reverse proxy, static file serving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Backend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FastAPI (Python)</w:t>
            </w:r>
          </w:p>
        </w:tc>
        <w:tc>
          <w:tcPr>
            <w:tcW w:type="dxa" w:w="4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Multi-tenant REST API, query orchestration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Vector DB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ChromaDB (local, per-client)</w:t>
            </w:r>
          </w:p>
        </w:tc>
        <w:tc>
          <w:tcPr>
            <w:tcW w:type="dxa" w:w="4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Stores document embeddings — runs entirely on server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Embeddings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OpenAI text-embedding-3-large (3072 dims)</w:t>
            </w:r>
          </w:p>
        </w:tc>
        <w:tc>
          <w:tcPr>
            <w:tcW w:type="dxa" w:w="4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Converts text to vectors for similarity search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Retrieval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LlamaIndex VectorStoreIndex</w:t>
            </w:r>
          </w:p>
        </w:tc>
        <w:tc>
          <w:tcPr>
            <w:tcW w:type="dxa" w:w="4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Wraps ChromaDB for similarity search (top K=25)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Reranker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gpt-4o-mini LLM</w:t>
            </w:r>
          </w:p>
        </w:tc>
        <w:tc>
          <w:tcPr>
            <w:tcW w:type="dxa" w:w="4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Scores retrieved chunks 0-10 for relevance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Synthesis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gpt-4o-mini LLM</w:t>
            </w:r>
          </w:p>
        </w:tc>
        <w:tc>
          <w:tcPr>
            <w:tcW w:type="dxa" w:w="4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Generates final answer from top chunks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Deployment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Docker Compose</w:t>
            </w:r>
          </w:p>
        </w:tc>
        <w:tc>
          <w:tcPr>
            <w:tcW w:type="dxa" w:w="4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Containerized app — single command deploy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Document Parsing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Aspose.Words / LibreOffice</w:t>
            </w:r>
          </w:p>
        </w:tc>
        <w:tc>
          <w:tcPr>
            <w:tcW w:type="dxa" w:w="4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Word to HTML conversion (offline, local)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PDF/DOCX Parsing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LlamaParse v2 (cloud)</w:t>
            </w:r>
          </w:p>
        </w:tc>
        <w:tc>
          <w:tcPr>
            <w:tcW w:type="dxa" w:w="4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For documents that cannot be HTML-converted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Indexer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indexer_section_wise.py</w:t>
            </w:r>
          </w:p>
        </w:tc>
        <w:tc>
          <w:tcPr>
            <w:tcW w:type="dxa" w:w="4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HTML chunking with _Toc section anchors</w:t>
            </w:r>
          </w:p>
        </w:tc>
      </w:tr>
    </w:tbl>
    <w:p>
      <w:pPr>
        <w:spacing w:after="0" w:before="160"/>
      </w:pPr>
    </w:p>
    <w:p>
      <w:pPr>
        <w:pBdr>
          <w:bottom w:val="single" w:color="1F3864" w:sz="8" w:space="4"/>
        </w:pBdr>
        <w:spacing w:after="80" w:before="300"/>
      </w:pPr>
      <w:r>
        <w:rPr>
          <w:rFonts w:ascii="Calibri" w:cs="Calibri" w:eastAsia="Calibri" w:hAnsi="Calibri"/>
          <w:b/>
          <w:bCs/>
          <w:color w:val="1F3864"/>
          <w:sz w:val="32"/>
          <w:szCs w:val="32"/>
        </w:rPr>
        <w:t xml:space="preserve">5. Multi-Tenancy</w:t>
      </w:r>
    </w:p>
    <w:p>
      <w:pPr>
        <w:spacing w:after="60" w:before="0"/>
      </w:pPr>
      <w:r>
        <w:rPr>
          <w:rFonts w:ascii="Calibri" w:cs="Calibri" w:eastAsia="Calibri" w:hAnsi="Calibri"/>
          <w:color w:val="333333"/>
          <w:sz w:val="19"/>
          <w:szCs w:val="19"/>
        </w:rPr>
        <w:t xml:space="preserve">Each shipping company (client) is completely isolated. There is no shared data between clients.</w:t>
      </w:r>
    </w:p>
    <w:p>
      <w:pPr>
        <w:spacing w:after="0" w:before="60"/>
      </w:pP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700"/>
      </w:tblGrid>
      <w:tr>
        <w:tc>
          <w:tcPr>
            <w:tcW w:type="dxa" w:w="2500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Aspect</w:t>
            </w:r>
          </w:p>
        </w:tc>
        <w:tc>
          <w:tcPr>
            <w:tcW w:type="dxa" w:w="6700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How It Works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URL routing</w:t>
            </w:r>
          </w:p>
        </w:tc>
        <w:tc>
          <w:tcPr>
            <w:tcW w:type="dxa" w:w="6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nginx routes /{client_id}/api/* to FastAPI dynamically — no hardcoded client list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Data isolation</w:t>
            </w:r>
          </w:p>
        </w:tc>
        <w:tc>
          <w:tcPr>
            <w:tcW w:type="dxa" w:w="6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Each client has separate ChromaDB collection — queries never cross client boundaries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Document serving</w:t>
            </w:r>
          </w:p>
        </w:tc>
        <w:tc>
          <w:tcPr>
            <w:tcW w:type="dxa" w:w="6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/{client_id}/docs/{filename} — each client's HTML files served separately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Authentication</w:t>
            </w:r>
          </w:p>
        </w:tc>
        <w:tc>
          <w:tcPr>
            <w:tcW w:type="dxa" w:w="6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Per-client auth handled by app/auth.py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Adding new client</w:t>
            </w:r>
          </w:p>
        </w:tc>
        <w:tc>
          <w:tcPr>
            <w:tcW w:type="dxa" w:w="6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Index documents locally → SCP to server → restart Docker — no code changes needed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Removing a client</w:t>
            </w:r>
          </w:p>
        </w:tc>
        <w:tc>
          <w:tcPr>
            <w:tcW w:type="dxa" w:w="6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Delete /opt/sms-rag/data/{client}/ on server → restart Docker</w:t>
            </w:r>
          </w:p>
        </w:tc>
      </w:tr>
    </w:tbl>
    <w:p>
      <w:pPr>
        <w:spacing w:after="0" w:before="160"/>
      </w:pPr>
    </w:p>
    <w:p>
      <w:pPr>
        <w:pBdr>
          <w:bottom w:val="single" w:color="1F3864" w:sz="8" w:space="4"/>
        </w:pBdr>
        <w:spacing w:after="80" w:before="300"/>
      </w:pPr>
      <w:r>
        <w:rPr>
          <w:rFonts w:ascii="Calibri" w:cs="Calibri" w:eastAsia="Calibri" w:hAnsi="Calibri"/>
          <w:b/>
          <w:bCs/>
          <w:color w:val="1F3864"/>
          <w:sz w:val="32"/>
          <w:szCs w:val="32"/>
        </w:rPr>
        <w:t xml:space="preserve">6. Document Chunk Metadata</w:t>
      </w:r>
    </w:p>
    <w:p>
      <w:pPr>
        <w:spacing w:after="60" w:before="0"/>
      </w:pPr>
      <w:r>
        <w:rPr>
          <w:rFonts w:ascii="Calibri" w:cs="Calibri" w:eastAsia="Calibri" w:hAnsi="Calibri"/>
          <w:color w:val="333333"/>
          <w:sz w:val="19"/>
          <w:szCs w:val="19"/>
        </w:rPr>
        <w:t xml:space="preserve">Every chunk stored in ChromaDB has these 4 critical metadata fields. The retrieval and reference display code depends on all 4 being present:</w:t>
      </w:r>
    </w:p>
    <w:p>
      <w:pPr>
        <w:spacing w:after="0" w:before="60"/>
      </w:pP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400"/>
        <w:gridCol w:w="3800"/>
      </w:tblGrid>
      <w:tr>
        <w:tc>
          <w:tcPr>
            <w:tcW w:type="dxa" w:w="2000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3400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Example Value</w:t>
            </w:r>
          </w:p>
        </w:tc>
        <w:tc>
          <w:tcPr>
            <w:tcW w:type="dxa" w:w="3800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Used For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file</w:t>
            </w:r>
          </w:p>
        </w:tc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4.1.26 Fixed Fire Fighting Systems.html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Identifies source document, serves as display name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slug_url</w:t>
            </w:r>
          </w:p>
        </w:tc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4.1.26 Fixed Fire Fighting Systems.html#_Toc12345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URL for document viewer — browser jumps to this anchor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breadcrumb</w:t>
            </w:r>
          </w:p>
        </w:tc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Fixed Fire Fighting Systems &gt; 4.1.26 CO2 System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Displayed in reference panel as clickable link text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section_title</w:t>
            </w:r>
          </w:p>
        </w:tc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4.1.26 CO2 System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Used in LLM synthesis prompt as section context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source_type</w:t>
            </w:r>
          </w:p>
        </w:tc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html / pdf / docx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Identifies how the chunk was created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stub</w:t>
            </w:r>
          </w:p>
        </w:tc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true (optional)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Marks image-only files with no text content</w:t>
            </w:r>
          </w:p>
        </w:tc>
      </w:tr>
    </w:tbl>
    <w:p>
      <w:pPr>
        <w:spacing w:after="0" w:before="60"/>
      </w:pP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Borders>
              <w:top w:val="single" w:color="2E75B6" w:sz="4"/>
              <w:left w:val="single" w:color="2E75B6" w:sz="20"/>
              <w:bottom w:val="single" w:color="2E75B6" w:sz="4"/>
              <w:right w:val="single" w:color="2E75B6" w:sz="4"/>
            </w:tcBorders>
            <w:shd w:fill="EBF5FB" w:val="clear"/>
            <w:tcMar>
              <w:top w:type="dxa" w:w="100"/>
              <w:left w:type="dxa" w:w="220"/>
              <w:bottom w:type="dxa" w:w="100"/>
              <w:right w:type="dxa" w:w="18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2E75B6"/>
                <w:sz w:val="19"/>
                <w:szCs w:val="19"/>
              </w:rPr>
              <w:t xml:space="preserve">Why slug_url Matters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• HTML files: slug_url = filename.html#_Toc123456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8"/>
                <w:szCs w:val="18"/>
              </w:rPr>
              <w:t xml:space="preserve">  → Browser opens the HTML and jumps directly to the section anchor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• PDF files: slug_url = filename.pdf#page=5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8"/>
                <w:szCs w:val="18"/>
              </w:rPr>
              <w:t xml:space="preserve">  → Browser opens PDF at page 5 (approximate — no section-level anchor)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• DOCX files via Google Docs Viewer: no section jump possible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✅ Always convert Word to HTML — this is the only way to get clickable section-level references</w:t>
            </w:r>
          </w:p>
        </w:tc>
      </w:tr>
    </w:tbl>
    <w:p>
      <w:pPr>
        <w:spacing w:after="0" w:before="160"/>
      </w:pPr>
    </w:p>
    <w:p>
      <w:pPr>
        <w:pBdr>
          <w:bottom w:val="single" w:color="1F3864" w:sz="8" w:space="4"/>
        </w:pBdr>
        <w:spacing w:after="80" w:before="300"/>
      </w:pPr>
      <w:r>
        <w:rPr>
          <w:rFonts w:ascii="Calibri" w:cs="Calibri" w:eastAsia="Calibri" w:hAnsi="Calibri"/>
          <w:b/>
          <w:bCs/>
          <w:color w:val="1F3864"/>
          <w:sz w:val="32"/>
          <w:szCs w:val="32"/>
        </w:rPr>
        <w:t xml:space="preserve">7. Key Design Decisions</w:t>
      </w:r>
    </w:p>
    <w:p>
      <w:pPr>
        <w:spacing w:after="0" w:before="60"/>
      </w:pP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400"/>
        <w:gridCol w:w="4600"/>
      </w:tblGrid>
      <w:tr>
        <w:tc>
          <w:tcPr>
            <w:tcW w:type="dxa" w:w="2200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Decision</w:t>
            </w:r>
          </w:p>
        </w:tc>
        <w:tc>
          <w:tcPr>
            <w:tcW w:type="dxa" w:w="2400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What Was Chosen</w:t>
            </w:r>
          </w:p>
        </w:tc>
        <w:tc>
          <w:tcPr>
            <w:tcW w:type="dxa" w:w="4600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Why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Vector DB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ChromaDB (local, per-client)</w:t>
            </w:r>
          </w:p>
        </w:tc>
        <w:tc>
          <w:tcPr>
            <w:tcW w:type="dxa" w:w="4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No cloud DB cost, data stays on server, fast local access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Embedding model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text-embedding-3-large (3072 dims)</w:t>
            </w:r>
          </w:p>
        </w:tc>
        <w:tc>
          <w:tcPr>
            <w:tcW w:type="dxa" w:w="4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Best retrieval quality for technical maritime text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Retrieval K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K=25 (INITIAL_RETRIEVE_K=25)</w:t>
            </w:r>
          </w:p>
        </w:tc>
        <w:tc>
          <w:tcPr>
            <w:tcW w:type="dxa" w:w="4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HNSW approximate search needs higher K to find new chunks after SCP transfer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Reranker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LLM-based (gpt-4o-mini)</w:t>
            </w:r>
          </w:p>
        </w:tc>
        <w:tc>
          <w:tcPr>
            <w:tcW w:type="dxa" w:w="4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Better than SBERT for domain-specific maritime content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Chunking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Section-wise by _Toc headings</w:t>
            </w:r>
          </w:p>
        </w:tc>
        <w:tc>
          <w:tcPr>
            <w:tcW w:type="dxa" w:w="4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Preserves document structure — chunks align to actual sections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Document format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HTML (converted from Word)</w:t>
            </w:r>
          </w:p>
        </w:tc>
        <w:tc>
          <w:tcPr>
            <w:tcW w:type="dxa" w:w="4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Only format that supports section-level deep linking with #anchor URLs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Manifest 3-stage commit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Confirmed after ChromaDB write</w:t>
            </w:r>
          </w:p>
        </w:tc>
        <w:tc>
          <w:tcPr>
            <w:tcW w:type="dxa" w:w="4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Prevents silent data loss if embedding fails mid-batch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Multi-tenant routing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Dynamic nginx regex</w:t>
            </w:r>
          </w:p>
        </w:tc>
        <w:tc>
          <w:tcPr>
            <w:tcW w:type="dxa" w:w="4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No code changes needed to add/remove clients</w:t>
            </w:r>
          </w:p>
        </w:tc>
      </w:tr>
    </w:tbl>
    <w:p>
      <w:pPr>
        <w:spacing w:after="0" w:before="160"/>
      </w:pPr>
    </w:p>
    <w:p>
      <w:r>
        <w:t xml:space="preserve"/>
      </w:r>
    </w:p>
    <w:p>
      <w:r>
        <w:t xml:space="preserve">7a. Critical Fixes Applied</w:t>
      </w:r>
    </w:p>
    <w:p>
      <w:r>
        <w:t xml:space="preserve"/>
      </w:r>
    </w:p>
    <w:p>
      <w:r>
        <w:t xml:space="preserve">Manifest 3-Stage Commit: Chunks are written to ChromaDB in 3 stages: (1) chunk text, (2) embed vectors, (3) confirm presence in ChromaDB before writing to manifest.json. This prevents silent data loss if embedding fails mid-batch.</w:t>
      </w:r>
    </w:p>
    <w:p>
      <w:r>
        <w:t xml:space="preserve">HNSW K=25 Permanent Fix: ChromaDB uses HNSW approximate nearest neighbor search. After SCP transfer of new chroma data, HNSW indices may not find recently added chunks with small K values. Setting INITIAL_RETRIEVE_K=25 (instead of default 10) ensures new chunks are always found. This is set permanently in /opt/sms-rag/.env.</w:t>
      </w:r>
    </w:p>
    <w:p>
      <w:r>
        <w:t xml:space="preserve">Image-Only Stub Handling: Documents that contain only images (no extractable text) get a stub chunk with metadata stub=True. This ensures they appear in the manifest and audit reports as accounted for, rather than showing as missing.</w:t>
      </w:r>
    </w:p>
    <w:p>
      <w:r>
        <w:t xml:space="preserve">Blended Scoring: Final chunk scores use 65% reranker score + 35% retriever score. This balances semantic relevance (reranker) with vector similarity (retriever) for better results.</w:t>
      </w:r>
    </w:p>
    <w:p>
      <w:r>
        <w:t xml:space="preserve">Reference Deduplication: References are deduped by slug_url, score-normalized to 0-1 range, filtered with min threshold 0.25, and hard-capped at 8 references per answer.</w:t>
      </w:r>
    </w:p>
    <w:p>
      <w:r>
        <w:t xml:space="preserve"/>
      </w:r>
    </w:p>
    <w:p>
      <w:r>
        <w:t xml:space="preserve">7b. SMS RAG QA Fixes</w:t>
      </w:r>
    </w:p>
    <w:p>
      <w:r>
        <w:t xml:space="preserve"/>
      </w:r>
    </w:p>
    <w:p>
      <w:r>
        <w:t xml:space="preserve">History 422 Fix: The /history endpoint returned HTTP 422 when conversation_id was missing from the query string. Fixed by making conversation_id optional (returns empty list if missing).</w:t>
      </w:r>
    </w:p>
    <w:p>
      <w:r>
        <w:t xml:space="preserve">MCQ Formatting Fix: Multiple-choice questions in synthesized answers were not rendering correctly. Fixed markdown formatting in the synthesis prompt to ensure proper list rendering.</w:t>
      </w:r>
    </w:p>
    <w:p>
      <w:r>
        <w:t xml:space="preserve">_Toc Dedup Fix: Breadcrumb titles contained machine-generated IDs like _Toc12345 or Section 00001. Added _clean_title() filter that strips these IDs, numeric-only strings, and other machine artifacts from display titles.</w:t>
      </w:r>
    </w:p>
    <w:p>
      <w:r>
        <w:t xml:space="preserve">[Section Name] Placeholder Fix: Some breadcrumbs showed raw [Section Name] placeholder text instead of the actual heading. Fixed by falling back to the section_title metadata field when breadcrumb parsing fails.</w:t>
      </w:r>
    </w:p>
    <w:p>
      <w:r>
        <w:t xml:space="preserve">Keyword Boost: Added keyword matching boost to retrieval scoring — chunks containing exact query terms get a score bonus, improving results for specific technical terms.</w:t>
      </w:r>
    </w:p>
    <w:p>
      <w:r>
        <w:t xml:space="preserve">Cross-Client Isolation: The DELETE /conversations/{id} endpoint now enforces client_id isolation — a request from client A cannot delete conversations belonging to client B.</w:t>
      </w:r>
    </w:p>
    <w:p>
      <w:r>
        <w:t xml:space="preserve"/>
      </w:r>
    </w:p>
    <w:p>
      <w:pPr>
        <w:pBdr>
          <w:bottom w:val="single" w:color="1F3864" w:sz="8" w:space="4"/>
        </w:pBdr>
        <w:spacing w:after="80" w:before="300"/>
      </w:pPr>
      <w:r>
        <w:t>9. Adding a New Client — Step by Step</w:t>
      </w:r>
    </w:p>
    <w:p>
      <w:pPr>
        <w:spacing w:after="0" w:before="60"/>
      </w:pP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600"/>
      </w:tblGrid>
      <w:tr>
        <w:tc>
          <w:tcPr>
            <w:tcW w:type="dxa" w:w="6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2E75B6" w:val="clear"/>
            <w:tcMar>
              <w:top w:type="dxa" w:w="120"/>
              <w:left w:type="dxa" w:w="100"/>
              <w:bottom w:type="dxa" w:w="12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8"/>
                <w:szCs w:val="28"/>
              </w:rPr>
              <w:t xml:space="preserve">1</w:t>
            </w:r>
          </w:p>
        </w:tc>
        <w:tc>
          <w:tcPr>
            <w:tcW w:type="dxa" w:w="8600"/>
            <w:tcBorders>
              <w:top w:val="single" w:color="2E75B6" w:sz="4"/>
              <w:left w:val="single" w:color="CCCCCC" w:sz="4"/>
              <w:bottom w:val="single" w:color="2E75B6" w:sz="4"/>
              <w:right w:val="single" w:color="2E75B6" w:sz="4"/>
            </w:tcBorders>
            <w:shd w:fill="F5F5F5" w:val="clear"/>
            <w:tcMar>
              <w:top w:type="dxa" w:w="100"/>
              <w:left w:type="dxa" w:w="220"/>
              <w:bottom w:type="dxa" w:w="100"/>
              <w:right w:type="dxa" w:w="18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2E75B6"/>
                <w:sz w:val="20"/>
                <w:szCs w:val="20"/>
              </w:rPr>
              <w:t xml:space="preserve">Prepare Documents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3333"/>
                <w:sz w:val="18"/>
                <w:szCs w:val="18"/>
              </w:rPr>
              <w:t xml:space="preserve">Obtain SMS documents (Word/PDF) from the shipping company. Organize in a single folder.</w:t>
            </w:r>
          </w:p>
        </w:tc>
      </w:tr>
    </w:tbl>
    <w:p>
      <w:pPr>
        <w:spacing w:after="0" w:before="40"/>
      </w:pP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600"/>
      </w:tblGrid>
      <w:tr>
        <w:tc>
          <w:tcPr>
            <w:tcW w:type="dxa" w:w="600"/>
            <w:tcBorders>
              <w:top w:val="single" w:color="1A5276" w:sz="4"/>
              <w:left w:val="single" w:color="1A5276" w:sz="4"/>
              <w:bottom w:val="single" w:color="1A5276" w:sz="4"/>
              <w:right w:val="single" w:color="1A5276" w:sz="4"/>
            </w:tcBorders>
            <w:shd w:fill="1A5276" w:val="clear"/>
            <w:tcMar>
              <w:top w:type="dxa" w:w="120"/>
              <w:left w:type="dxa" w:w="100"/>
              <w:bottom w:type="dxa" w:w="12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8"/>
                <w:szCs w:val="28"/>
              </w:rPr>
              <w:t xml:space="preserve">2</w:t>
            </w:r>
          </w:p>
        </w:tc>
        <w:tc>
          <w:tcPr>
            <w:tcW w:type="dxa" w:w="8600"/>
            <w:tcBorders>
              <w:top w:val="single" w:color="1A5276" w:sz="4"/>
              <w:left w:val="single" w:color="CCCCCC" w:sz="4"/>
              <w:bottom w:val="single" w:color="1A5276" w:sz="4"/>
              <w:right w:val="single" w:color="1A5276" w:sz="4"/>
            </w:tcBorders>
            <w:shd w:fill="F5F5F5" w:val="clear"/>
            <w:tcMar>
              <w:top w:type="dxa" w:w="100"/>
              <w:left w:type="dxa" w:w="220"/>
              <w:bottom w:type="dxa" w:w="100"/>
              <w:right w:type="dxa" w:w="18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1A5276"/>
                <w:sz w:val="20"/>
                <w:szCs w:val="20"/>
              </w:rPr>
              <w:t xml:space="preserve">Convert to HTML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3333"/>
                <w:sz w:val="18"/>
                <w:szCs w:val="18"/>
              </w:rPr>
              <w:t xml:space="preserve">Use Aspose.Words to convert all Word documents to HTML preserving original filenames. Verify no hash-based filenames.</w:t>
            </w:r>
          </w:p>
        </w:tc>
      </w:tr>
    </w:tbl>
    <w:p>
      <w:pPr>
        <w:spacing w:after="0" w:before="40"/>
      </w:pP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600"/>
      </w:tblGrid>
      <w:tr>
        <w:tc>
          <w:tcPr>
            <w:tcW w:type="dxa" w:w="600"/>
            <w:tcBorders>
              <w:top w:val="single" w:color="1E8449" w:sz="4"/>
              <w:left w:val="single" w:color="1E8449" w:sz="4"/>
              <w:bottom w:val="single" w:color="1E8449" w:sz="4"/>
              <w:right w:val="single" w:color="1E8449" w:sz="4"/>
            </w:tcBorders>
            <w:shd w:fill="1E8449" w:val="clear"/>
            <w:tcMar>
              <w:top w:type="dxa" w:w="120"/>
              <w:left w:type="dxa" w:w="100"/>
              <w:bottom w:type="dxa" w:w="12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8"/>
                <w:szCs w:val="28"/>
              </w:rPr>
              <w:t xml:space="preserve">3</w:t>
            </w:r>
          </w:p>
        </w:tc>
        <w:tc>
          <w:tcPr>
            <w:tcW w:type="dxa" w:w="8600"/>
            <w:tcBorders>
              <w:top w:val="single" w:color="1E8449" w:sz="4"/>
              <w:left w:val="single" w:color="CCCCCC" w:sz="4"/>
              <w:bottom w:val="single" w:color="1E8449" w:sz="4"/>
              <w:right w:val="single" w:color="1E8449" w:sz="4"/>
            </w:tcBorders>
            <w:shd w:fill="F5F5F5" w:val="clear"/>
            <w:tcMar>
              <w:top w:type="dxa" w:w="100"/>
              <w:left w:type="dxa" w:w="220"/>
              <w:bottom w:type="dxa" w:w="100"/>
              <w:right w:type="dxa" w:w="18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1E8449"/>
                <w:sz w:val="20"/>
                <w:szCs w:val="20"/>
              </w:rPr>
              <w:t xml:space="preserve">Create Client Folder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3333"/>
                <w:sz w:val="18"/>
                <w:szCs w:val="18"/>
              </w:rPr>
              <w:t xml:space="preserve">Create D:\indexstores\{clientname}\documents\ and copy all HTML files there.</w:t>
            </w:r>
          </w:p>
        </w:tc>
      </w:tr>
    </w:tbl>
    <w:p>
      <w:pPr>
        <w:spacing w:after="0" w:before="40"/>
      </w:pP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600"/>
      </w:tblGrid>
      <w:tr>
        <w:tc>
          <w:tcPr>
            <w:tcW w:type="dxa" w:w="600"/>
            <w:tcBorders>
              <w:top w:val="single" w:color="B7770D" w:sz="4"/>
              <w:left w:val="single" w:color="B7770D" w:sz="4"/>
              <w:bottom w:val="single" w:color="B7770D" w:sz="4"/>
              <w:right w:val="single" w:color="B7770D" w:sz="4"/>
            </w:tcBorders>
            <w:shd w:fill="B7770D" w:val="clear"/>
            <w:tcMar>
              <w:top w:type="dxa" w:w="120"/>
              <w:left w:type="dxa" w:w="100"/>
              <w:bottom w:type="dxa" w:w="12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8"/>
                <w:szCs w:val="28"/>
              </w:rPr>
              <w:t xml:space="preserve">4</w:t>
            </w:r>
          </w:p>
        </w:tc>
        <w:tc>
          <w:tcPr>
            <w:tcW w:type="dxa" w:w="8600"/>
            <w:tcBorders>
              <w:top w:val="single" w:color="B7770D" w:sz="4"/>
              <w:left w:val="single" w:color="CCCCCC" w:sz="4"/>
              <w:bottom w:val="single" w:color="B7770D" w:sz="4"/>
              <w:right w:val="single" w:color="B7770D" w:sz="4"/>
            </w:tcBorders>
            <w:shd w:fill="F5F5F5" w:val="clear"/>
            <w:tcMar>
              <w:top w:type="dxa" w:w="100"/>
              <w:left w:type="dxa" w:w="220"/>
              <w:bottom w:type="dxa" w:w="100"/>
              <w:right w:type="dxa" w:w="18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B7770D"/>
                <w:sz w:val="20"/>
                <w:szCs w:val="20"/>
              </w:rPr>
              <w:t xml:space="preserve">Index Locally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3333"/>
                <w:sz w:val="18"/>
                <w:szCs w:val="18"/>
              </w:rPr>
              <w:t xml:space="preserve">Run indexer_section_wise.py with --chunk_size 1200 --chunk_overlap 150. Then run --audit to confirm zero missing files.</w:t>
            </w:r>
          </w:p>
        </w:tc>
      </w:tr>
    </w:tbl>
    <w:p>
      <w:pPr>
        <w:spacing w:after="0" w:before="40"/>
      </w:pP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600"/>
      </w:tblGrid>
      <w:tr>
        <w:tc>
          <w:tcPr>
            <w:tcW w:type="dxa" w:w="600"/>
            <w:tcBorders>
              <w:top w:val="single" w:color="6C3483" w:sz="4"/>
              <w:left w:val="single" w:color="6C3483" w:sz="4"/>
              <w:bottom w:val="single" w:color="6C3483" w:sz="4"/>
              <w:right w:val="single" w:color="6C3483" w:sz="4"/>
            </w:tcBorders>
            <w:shd w:fill="6C3483" w:val="clear"/>
            <w:tcMar>
              <w:top w:type="dxa" w:w="120"/>
              <w:left w:type="dxa" w:w="100"/>
              <w:bottom w:type="dxa" w:w="12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8"/>
                <w:szCs w:val="28"/>
              </w:rPr>
              <w:t xml:space="preserve">5</w:t>
            </w:r>
          </w:p>
        </w:tc>
        <w:tc>
          <w:tcPr>
            <w:tcW w:type="dxa" w:w="8600"/>
            <w:tcBorders>
              <w:top w:val="single" w:color="6C3483" w:sz="4"/>
              <w:left w:val="single" w:color="CCCCCC" w:sz="4"/>
              <w:bottom w:val="single" w:color="6C3483" w:sz="4"/>
              <w:right w:val="single" w:color="6C3483" w:sz="4"/>
            </w:tcBorders>
            <w:shd w:fill="F5F5F5" w:val="clear"/>
            <w:tcMar>
              <w:top w:type="dxa" w:w="100"/>
              <w:left w:type="dxa" w:w="220"/>
              <w:bottom w:type="dxa" w:w="100"/>
              <w:right w:type="dxa" w:w="18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6C3483"/>
                <w:sz w:val="20"/>
                <w:szCs w:val="20"/>
              </w:rPr>
              <w:t xml:space="preserve">Transfer to Server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3333"/>
                <w:sz w:val="18"/>
                <w:szCs w:val="18"/>
              </w:rPr>
              <w:t xml:space="preserve">Create server directories, SCP documents folder, SCP index_store files. Stop container before transfer.</w:t>
            </w:r>
          </w:p>
        </w:tc>
      </w:tr>
    </w:tbl>
    <w:p>
      <w:pPr>
        <w:spacing w:after="0" w:before="40"/>
      </w:pP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600"/>
      </w:tblGrid>
      <w:tr>
        <w:tc>
          <w:tcPr>
            <w:tcW w:type="dxa" w:w="600"/>
            <w:tcBorders>
              <w:top w:val="single" w:color="1E8449" w:sz="4"/>
              <w:left w:val="single" w:color="1E8449" w:sz="4"/>
              <w:bottom w:val="single" w:color="1E8449" w:sz="4"/>
              <w:right w:val="single" w:color="1E8449" w:sz="4"/>
            </w:tcBorders>
            <w:shd w:fill="1E8449" w:val="clear"/>
            <w:tcMar>
              <w:top w:type="dxa" w:w="120"/>
              <w:left w:type="dxa" w:w="100"/>
              <w:bottom w:type="dxa" w:w="12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8"/>
                <w:szCs w:val="28"/>
              </w:rPr>
              <w:t xml:space="preserve">6</w:t>
            </w:r>
          </w:p>
        </w:tc>
        <w:tc>
          <w:tcPr>
            <w:tcW w:type="dxa" w:w="8600"/>
            <w:tcBorders>
              <w:top w:val="single" w:color="1E8449" w:sz="4"/>
              <w:left w:val="single" w:color="CCCCCC" w:sz="4"/>
              <w:bottom w:val="single" w:color="1E8449" w:sz="4"/>
              <w:right w:val="single" w:color="1E8449" w:sz="4"/>
            </w:tcBorders>
            <w:shd w:fill="F5F5F5" w:val="clear"/>
            <w:tcMar>
              <w:top w:type="dxa" w:w="100"/>
              <w:left w:type="dxa" w:w="220"/>
              <w:bottom w:type="dxa" w:w="100"/>
              <w:right w:type="dxa" w:w="18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1E8449"/>
                <w:sz w:val="20"/>
                <w:szCs w:val="20"/>
              </w:rPr>
              <w:t xml:space="preserve">Restart and Test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3333"/>
                <w:sz w:val="18"/>
                <w:szCs w:val="18"/>
              </w:rPr>
              <w:t xml:space="preserve">docker-compose up -d. Wait 30s. Smoke test HTTP 200. Deep test with a real question. Verify references open correctly.</w:t>
            </w:r>
          </w:p>
        </w:tc>
      </w:tr>
    </w:tbl>
    <w:p>
      <w:pPr>
        <w:spacing w:after="0" w:before="160"/>
      </w:pPr>
    </w:p>
    <w:p>
      <w:pPr>
        <w:pBdr>
          <w:bottom w:val="single" w:color="1F3864" w:sz="8" w:space="4"/>
        </w:pBdr>
        <w:spacing w:after="80" w:before="300"/>
      </w:pPr>
      <w:r>
        <w:t>10. GitHub Repository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000"/>
        <w:gridCol w:w="3700"/>
      </w:tblGrid>
      <w:tr>
        <w:tc>
          <w:tcPr>
            <w:tcW w:type="dxa" w:w="1500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Branch</w:t>
            </w:r>
          </w:p>
        </w:tc>
        <w:tc>
          <w:tcPr>
            <w:tcW w:type="dxa" w:w="4000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Contents</w:t>
            </w:r>
          </w:p>
        </w:tc>
        <w:tc>
          <w:tcPr>
            <w:tcW w:type="dxa" w:w="3700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URL</w:t>
            </w:r>
          </w:p>
        </w:tc>
      </w:tr>
      <w:t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main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Production FastAPI app — 34 files</w:t>
            </w:r>
          </w:p>
        </w:tc>
        <w:tc>
          <w:tcPr>
            <w:tcW w:type="dxa" w:w="3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https://github.com/GhaziAnwer/smsrag/tree/main</w:t>
            </w:r>
          </w:p>
        </w:tc>
      </w:tr>
      <w:t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indexer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Indexer tools — 6 Python scripts</w:t>
            </w:r>
          </w:p>
        </w:tc>
        <w:tc>
          <w:tcPr>
            <w:tcW w:type="dxa" w:w="3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https://github.com/GhaziAnwer/smsrag/tree/indexer</w:t>
            </w:r>
          </w:p>
        </w:tc>
      </w:tr>
    </w:tbl>
    <w:p>
      <w:pPr>
        <w:spacing w:after="0" w:before="60"/>
      </w:pP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Borders>
              <w:top w:val="single" w:color="1E8449" w:sz="4"/>
              <w:left w:val="single" w:color="1E8449" w:sz="20"/>
              <w:bottom w:val="single" w:color="1E8449" w:sz="4"/>
              <w:right w:val="single" w:color="1E8449" w:sz="4"/>
            </w:tcBorders>
            <w:shd w:fill="E9F7EF" w:val="clear"/>
            <w:tcMar>
              <w:top w:type="dxa" w:w="100"/>
              <w:left w:type="dxa" w:w="220"/>
              <w:bottom w:type="dxa" w:w="100"/>
              <w:right w:type="dxa" w:w="18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1E8449"/>
                <w:sz w:val="19"/>
                <w:szCs w:val="19"/>
              </w:rPr>
              <w:t xml:space="preserve">Git Workflow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• Production code changes: cd C:\Users\GhaziAnwer\rag\production → git add . → git commit → git push origin main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• Indexer tool changes: cd C:\Users\GhaziAnwer\rag\dev\tools → git add . → git commit → git push origin indexer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⚠️  Never commit: .env files, *.pem keys, *.db databases, chroma/ or index_store/ data folders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✅ .gitignore already configured to exclude all sensitive files in both branches</w:t>
            </w:r>
          </w:p>
        </w:tc>
      </w:tr>
    </w:tbl>
    <w:p>
      <w:pPr>
        <w:spacing w:after="0" w:before="160"/>
      </w:pPr>
    </w:p>
    <w:p>
      <w:pPr>
        <w:pBdr>
          <w:bottom w:val="single" w:color="1F3864" w:sz="8" w:space="4"/>
        </w:pBdr>
        <w:spacing w:after="80" w:before="300"/>
      </w:pPr>
      <w:r>
        <w:t>11. Key People and Contacts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500"/>
        <w:gridCol w:w="4700"/>
      </w:tblGrid>
      <w:tr>
        <w:tc>
          <w:tcPr>
            <w:tcW w:type="dxa" w:w="2000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Role</w:t>
            </w:r>
          </w:p>
        </w:tc>
        <w:tc>
          <w:tcPr>
            <w:tcW w:type="dxa" w:w="2500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Person</w:t>
            </w:r>
          </w:p>
        </w:tc>
        <w:tc>
          <w:tcPr>
            <w:tcW w:type="dxa" w:w="4700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Responsibility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GM-IT / CTO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Ghazi Anwer</w:t>
            </w:r>
          </w:p>
        </w:tc>
        <w:tc>
          <w:tcPr>
            <w:tcW w:type="dxa" w:w="4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System architecture, indexing, deployment, security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Tech Lead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Naveel</w:t>
            </w:r>
          </w:p>
        </w:tc>
        <w:tc>
          <w:tcPr>
            <w:tcW w:type="dxa" w:w="4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Frontend and backend development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Backend Dev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Harendra</w:t>
            </w:r>
          </w:p>
        </w:tc>
        <w:tc>
          <w:tcPr>
            <w:tcW w:type="dxa" w:w="4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API and server development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Backend Dev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Kamal</w:t>
            </w:r>
          </w:p>
        </w:tc>
        <w:tc>
          <w:tcPr>
            <w:tcW w:type="dxa" w:w="4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Server deployments and Docker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Junior Dev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Datta</w:t>
            </w:r>
          </w:p>
        </w:tc>
        <w:tc>
          <w:tcPr>
            <w:tcW w:type="dxa" w:w="4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Feature development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QA Lead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Suman</w:t>
            </w:r>
          </w:p>
        </w:tc>
        <w:tc>
          <w:tcPr>
            <w:tcW w:type="dxa" w:w="4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Testing and bug validation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Domain Experts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Vimal, Ayush, Rahul</w:t>
            </w:r>
          </w:p>
        </w:tc>
        <w:tc>
          <w:tcPr>
            <w:tcW w:type="dxa" w:w="4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SMS content validation and client onboarding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MD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Capt. Sahil Puri</w:t>
            </w:r>
          </w:p>
        </w:tc>
        <w:tc>
          <w:tcPr>
            <w:tcW w:type="dxa" w:w="4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333333"/>
                <w:sz w:val="17"/>
                <w:szCs w:val="17"/>
              </w:rPr>
              <w:t xml:space="preserve">Business decisions and client relations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2" w:space="2"/>
      </w:pBdr>
      <w:spacing w:after="0" w:before="60"/>
    </w:pPr>
    <w:r>
      <w:rPr>
        <w:rFonts w:ascii="Calibri" w:cs="Calibri" w:eastAsia="Calibri" w:hAnsi="Calibri"/>
        <w:i/>
        <w:iCs/>
        <w:color w:val="333333"/>
        <w:sz w:val="15"/>
        <w:szCs w:val="15"/>
      </w:rPr>
      <w:t xml:space="preserve">Confidential — Internal Use Only  ·  GM-IT  ·  Safe Lanes Consultants Pte Ltd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4" w:space="2"/>
      </w:pBdr>
      <w:spacing w:after="60" w:before="0"/>
    </w:pPr>
    <w:r>
      <w:rPr>
        <w:rFonts w:ascii="Calibri" w:cs="Calibri" w:eastAsia="Calibri" w:hAnsi="Calibri"/>
        <w:b/>
        <w:bCs/>
        <w:color w:val="1F3864"/>
        <w:sz w:val="17"/>
        <w:szCs w:val="17"/>
      </w:rPr>
      <w:t xml:space="preserve">SMS RAG — Architecture Guide  |  Safe Lanes Consultants Pte Ltd  |  chatai.sl-sail.com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2026-04-16T10:31:02.246Z</dcterms:created>
  <dcterms:modified xsi:type="dcterms:W3CDTF">2026-04-16T10:31:02.248Z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