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800"/>
        <w:jc w:val="center"/>
      </w:pPr>
      <w:r>
        <w:rPr>
          <w:rFonts w:ascii="Arial" w:cs="Arial" w:eastAsia="Arial" w:hAnsi="Arial"/>
          <w:b/>
          <w:bCs/>
          <w:color w:val="1454b8"/>
          <w:sz w:val="64"/>
          <w:szCs w:val="64"/>
        </w:rPr>
        <w:t xml:space="preserve">RevenueIQ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2d3748"/>
          <w:sz w:val="36"/>
          <w:szCs w:val="36"/>
        </w:rPr>
        <w:t xml:space="preserve">Probabilistic Revenue Forecasting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2d3748"/>
          <w:sz w:val="36"/>
          <w:szCs w:val="36"/>
        </w:rPr>
        <w:t xml:space="preserve">for E-commerce Marketing Agencies</w:t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555555"/>
          <w:sz w:val="26"/>
          <w:szCs w:val="26"/>
        </w:rPr>
        <w:t xml:space="preserve">Technical Documentation</w:t>
      </w:r>
    </w:p>
    <w:p>
      <w:pPr>
        <w:spacing w:after="120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AIgnition 3.0 Hackathon Submission • NetElixir</w:t>
      </w:r>
    </w:p>
    <w:p>
      <w:r>
        <w:br w:type="page"/>
      </w:r>
    </w:p>
    <w:p>
      <w:pPr>
        <w:pStyle w:val="Heading1"/>
        <w:pBdr>
          <w:bottom w:val="single" w:color="1e6fef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454b8"/>
          <w:sz w:val="32"/>
          <w:szCs w:val="32"/>
        </w:rPr>
        <w:t xml:space="preserve">1. Overview</w:t>
      </w:r>
    </w:p>
    <w:p>
      <w:pPr>
        <w:spacing w:after="12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RevenueIQ is a probabilistic revenue forecasting utility for digital marketing agencies managing e-commerce clients across Google Ads, Meta Ads, and Microsoft (Bing) Ads. Given historical channel export data and a future media budget, it produces P10/P50/P90 revenue and ROAS ranges at the aggregate, channel, campaign-type, and individual campaign level across 30, 60, and 90-day forecast windows.</w:t>
      </w:r>
    </w:p>
    <w:p>
      <w:pPr>
        <w:spacing w:after="80" w:before="8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The system has two surfaces sharing the same underlying forecasting engine: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An offline Python pipeline (run.sh → predictions.csv) designed to satisfy the hackathon automated scoring contract — no network calls, fully deterministic, runs in one command on any Linux machine with Python 3.12.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An interactive browser application (RevenueIQ, built in React) which adds live AI-generated executive summaries, budget scenario simulation, anomaly interpretation, and real-time what-if analysis using the Claude API.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6fef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454b8"/>
          <w:sz w:val="32"/>
          <w:szCs w:val="32"/>
        </w:rPr>
        <w:t xml:space="preserve">2. Forecasting Methodology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d3748"/>
          <w:sz w:val="26"/>
          <w:szCs w:val="26"/>
        </w:rPr>
        <w:t xml:space="preserve">2.1  Two-Layer Forecasting Architecture</w:t>
      </w:r>
    </w:p>
    <w:p>
      <w:pPr>
        <w:spacing w:after="12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RevenueIQ uses two complementary forecasting layers that work together: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Layer 1 — XGBoost ML Model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Trained on historical campaign-level daily rows. Predicts revenue per campaign row from spend, clicks, impressions, channel, campaign type, and derived features. Gives campaign-level granularity.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Layer 2 — Monte Carlo Simulation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Uses channel-level spend-weighted ROAS statistics to produce probabilistic P10/P50/P90 revenue ranges for the full forecast window. Gives uncertainty quantification.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Layer 1 (XGBoost) handles the 'what will each campaign produce?' question. Layer 2 (Monte Carlo) handles the 'how confident should we be?' question. Both outputs are combined in predictions.csv.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d3748"/>
          <w:sz w:val="26"/>
          <w:szCs w:val="26"/>
        </w:rPr>
        <w:t xml:space="preserve">2.2  Why XGBoost for Revenue Prediction?</w:t>
      </w:r>
    </w:p>
    <w:p>
      <w:pPr>
        <w:spacing w:after="12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XGBoost (Extreme Gradient Boosting) is a tree-ensemble model that repeatedly builds shallow decision trees, each correcting the errors of the previous one. It was chosen for four reasons: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It handles tabular ad data well — non-linear relationships between spend, clicks, and revenue are common in paid media, and tree models capture these without manual feature transformation.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It is robust to missing values — real ad exports frequently have zero-activity rows, sparse conversions, or missing fields. XGBoost handles these natively without crashing.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It produces interpretable feature importance scores — judges and clients can see exactly which signals drive the forecast.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It is the industry standard for tabular forecasting — used in production by major ad platforms and agencies for exactly this type of problem.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00b875" w:sz="18"/>
              <w:bottom w:val="none" w:color="FFFFFF" w:sz="0"/>
              <w:right w:val="none" w:color="FFFFFF" w:sz="0"/>
            </w:tcBorders>
            <w:shd w:fill="f0f4f8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b875"/>
                <w:sz w:val="20"/>
                <w:szCs w:val="20"/>
              </w:rPr>
              <w:t xml:space="preserve">Cross-Validation Results (5-fold Time-Series CV)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Average MAE: $252.94 per campaign-day row. Average R²: 0.659. The model explains approximately 66% of revenue variance — solid for ad data where 34% of variance is genuinely unpredictable (auction dynamics, creative fatigue, competitor activity). Time-series cross-validation was used specifically to prevent data leakage: earlier folds are always training data, later folds are always validation.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d3748"/>
          <w:sz w:val="26"/>
          <w:szCs w:val="26"/>
        </w:rPr>
        <w:t xml:space="preserve">2.3  Feature Engineering</w:t>
      </w:r>
    </w:p>
    <w:p>
      <w:pPr>
        <w:spacing w:after="12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15 features are engineered from the raw canonical columns: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454b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454b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454b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 It Matters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spend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Raw spend per row (clipped to ≥0)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Primary budget input signal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clicks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Raw clicks per row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Strongest predictor (r=0.832 with revenue)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impressions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Raw impressions per row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Reach / scale signal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conversions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Raw conversions per row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Direct purchase signal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spend_log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log(1 + spend)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Reduces influence of outlier high-spend campaigns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clicks_log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log(1 + clicks)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Same — clicks distribution is heavily right-skewed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ctr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clicks / impressions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Ad relevance / quality signal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cpc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spend / clicks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Cost efficiency signal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channel_enc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Google Ads=0, Meta=1, MS Ads=2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Channel identity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campaign_type_enc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Normalised type encoded as integer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Campaign structure signal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month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1–12 from date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Seasonal patterns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day_of_week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0–6 from date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Weekly rhythm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quarter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1–4 from date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Quarterly budget cycles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channel_monthly_roas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Spend-weighted ROAS for this channel (training data)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Historical performance context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ctype_monthly_roas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Spend-weighted ROAS for this campaign type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Campaign-type performance context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e6fef" w:sz="18"/>
              <w:bottom w:val="none" w:color="FFFFFF" w:sz="0"/>
              <w:right w:val="none" w:color="FFFFFF" w:sz="0"/>
            </w:tcBorders>
            <w:shd w:fill="f0f4f8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6fef"/>
                <w:sz w:val="20"/>
                <w:szCs w:val="20"/>
              </w:rPr>
              <w:t xml:space="preserve">Top Features by XGBoost Importance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clicks (0.228), clicks_log (0.223), channel_monthly_roas (0.120), conversions (0.097), campaign_type_enc (0.094), spend_log (0.072). Clicks outranks raw spend as the top predictor — consistent with the empirical correlation analysis (clicks r=0.832 vs spend r=0.773 with revenue).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d3748"/>
          <w:sz w:val="26"/>
          <w:szCs w:val="26"/>
        </w:rPr>
        <w:t xml:space="preserve">2.4  Monte Carlo Simulation</w:t>
      </w:r>
    </w:p>
    <w:p>
      <w:pPr>
        <w:spacing w:after="12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For each forecast window, 800 independent simulations are run per channel. Each simulation draws a ROAS value from a normal distribution parameterised by that channel's spend-weighted historical mean and standard deviation, multiplies by the planned budget, and applies a trend multiplier. Sorting all 800 outcomes gives P10, P50, and P90. The simulation is seeded (seed=42) for full reproducibility.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d3748"/>
          <w:sz w:val="26"/>
          <w:szCs w:val="26"/>
        </w:rPr>
        <w:t xml:space="preserve">2.5  Spend-Weighted ROAS — Core Design Decision</w:t>
      </w:r>
    </w:p>
    <w:p>
      <w:pPr>
        <w:spacing w:after="12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The problem: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computing ROAS as the mean of monthly ratios gives equal weight to a month with $5 of spend and a month with $50,000 of spend. One low-spend month with zero revenue can drag the channel ROAS to near-zero even if the vast majority of spend is profitable.</w:t>
      </w:r>
    </w:p>
    <w:p>
      <w:pPr>
        <w:spacing w:after="80" w:before="8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Our solution: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spend-weighted ROAS = total revenue ÷ total spend. Every dollar of outcome is weighted by the real dollars that produced it — the same calculation a CFO would use.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00b875" w:sz="18"/>
              <w:bottom w:val="none" w:color="FFFFFF" w:sz="0"/>
              <w:right w:val="none" w:color="FFFFFF" w:sz="0"/>
            </w:tcBorders>
            <w:shd w:fill="f0f4f8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b875"/>
                <w:sz w:val="20"/>
                <w:szCs w:val="20"/>
              </w:rPr>
              <w:t xml:space="preserve">Validated Impact on Sample Data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Naive averaging produced a Google Ads ROAS of 0.06× (implying a severely loss-making channel). Spend-weighted ROAS correctly computed 4.76×, consistent with the platform’s own reported figures. The difference was caused by low-spend campaign rows with zero attributed revenue dominating the unweighted average.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6fef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454b8"/>
          <w:sz w:val="32"/>
          <w:szCs w:val="32"/>
        </w:rPr>
        <w:t xml:space="preserve">3. Data Preprocessing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d3748"/>
          <w:sz w:val="26"/>
          <w:szCs w:val="26"/>
        </w:rPr>
        <w:t xml:space="preserve">3.1  Platform Auto-Detection</w:t>
      </w:r>
    </w:p>
    <w:p>
      <w:pPr>
        <w:spacing w:after="12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Each file in data/ is identified by its column signature — not its filename — so renaming a file never breaks the pipeline: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454b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Platform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454b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Identifying Columns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Bing (MS Ads)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TimePeriod, CampaignId, CampaignName, Spend, Revenue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Google Ads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segments_date, metrics_cost_micros, metrics_conversions_value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Meta Ads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date_start, cpc, cpm, ctr, conversion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Canonical / merged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date, channel, campaign_type, spend, revenue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Unknown / non-ad file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Skipped with a warning (e.g. budget.csv) — pipeline does not crash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d3748"/>
          <w:sz w:val="26"/>
          <w:szCs w:val="26"/>
        </w:rPr>
        <w:t xml:space="preserve">3.2  Schema Normalization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454b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Canonical Field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454b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Bing Source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454b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Google Source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454b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Meta Source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date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TimePeriod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segments_date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date_start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spend ($)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Spend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metrics_cost_micros ÷ 1,000,000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spend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revenue ($)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Revenue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metrics_conversions_value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conversion (proxy)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conversions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Conversions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metrics_conversions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conversion (proxy)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clicks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Clicks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metrics_clicks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clicks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campaign_type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CampaignType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campaign_advertising_channel_type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inferred from campaign name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d3748"/>
          <w:sz w:val="26"/>
          <w:szCs w:val="26"/>
        </w:rPr>
        <w:t xml:space="preserve">3.3  Robustness to Missing / Extra Fields</w:t>
      </w:r>
    </w:p>
    <w:p>
      <w:pPr>
        <w:spacing w:after="12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Per organizer confirmation, the pipeline must not break with missing fields. Every normalizer uses .get() with fallbacks for optional columns, pd.to_numeric(errors='coerce') for all numeric fields, and fillna(0) for missing values. Unknown files are skipped rather than crashing. This means the pipeline handles partial exports, extra columns, and differently structured held-out test data without modification.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d3748"/>
          <w:sz w:val="26"/>
          <w:szCs w:val="26"/>
        </w:rPr>
        <w:t xml:space="preserve">3.4  Cleaning Rules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Attribution-lag trimming: the trailing 7 days of each channel's data are dropped before training, since ad platforms take 3-7 days to fully attribute conversions. Applied only to daily-granularity data (&gt;20 unique dates).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Zero-activity row removal: rows with spend=0, clicks=0, and revenue=0 are dropped as pure noise.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Campaign consistency validation: flags duplicate rows, unparseable dates, negative spend, and campaign names mapping to multiple campaign types. Non-fatal — reported as warnings, not errors.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Thin-sample flagging: campaigns with &lt;$50 total historical spend are marked insufficient_data and excluded from anomaly detection baselines.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6fef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454b8"/>
          <w:sz w:val="32"/>
          <w:szCs w:val="32"/>
        </w:rPr>
        <w:t xml:space="preserve">4. Model Selection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d3748"/>
          <w:sz w:val="26"/>
          <w:szCs w:val="26"/>
        </w:rPr>
        <w:t xml:space="preserve">4.1  Model: XGBoost Regressor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Algorithm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XGBoost (Extreme Gradient Boosting) — tree ensemble regression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Target variable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Revenue per campaign-day row (continuous, ≥0)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n_estimators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400 trees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max_depth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5 — prevents overfitting to individual campaign quirks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learning_rate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0.05 — conservative step size for better generalisation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subsample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0.8 — row subsampling per tree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colsample_bytree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0.8 — feature subsampling per tree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min_child_weight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10 — minimum spend in a leaf node, prevents overfitting thin campaigns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reg_alpha / reg_lambda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0.1 / 1.0 — L1 and L2 regularisation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random_state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42 — fully reproducible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Training rows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24,015 clean campaign-day rows across 3 channels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Validation method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TimeSeriesSplit (5 folds) — no data leakage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d3748"/>
          <w:sz w:val="26"/>
          <w:szCs w:val="26"/>
        </w:rPr>
        <w:t xml:space="preserve">4.2  The Pickle Artifact (pickle/model.pkl)</w:t>
      </w:r>
    </w:p>
    <w:p>
      <w:pPr>
        <w:spacing w:after="12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The pickle file contains a dictionary with the following keys: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version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2.0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model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Trained XGBoost regressor (the primary ML model)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roas_lookup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Spend-weighted ROAS per channel and campaign-type from training data — used to enrich features at inference time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channel_stats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ChannelStats objects per channel — avg_roas, std_roas, trend_pct — used as Monte Carlo parameters and as fallback priors when test data has insufficient history for a channel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feature_cols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Ordered list of the 15 feature column names — ensures inference always uses the same feature order as training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trained_on_rows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24,015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cv_mae_mean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$252.94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cv_r2_mean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0.659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6fef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454b8"/>
          <w:sz w:val="32"/>
          <w:szCs w:val="32"/>
        </w:rPr>
        <w:t xml:space="preserve">5. AI Integration Strategy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d3748"/>
          <w:sz w:val="26"/>
          <w:szCs w:val="26"/>
        </w:rPr>
        <w:t xml:space="preserve">5.1  Two Access Modes</w:t>
      </w:r>
    </w:p>
    <w:p>
      <w:pPr>
        <w:spacing w:after="12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Per organizer confirmation, LLM calls should be triggered from the UI, with a backend function also provided for direct programmatic access. Both are implemented: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Interactive UI (React app)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Four AI analysis blocks auto-run when a forecast is generated. Each can be refreshed independently. Calls the Claude API directly from the browser.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Backend function (ai_insights.py)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A standalone Python module that reads predictions.csv and calls Claude for all four analyses. Can be run from the command line or imported and called programmatically.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d3748"/>
          <w:sz w:val="26"/>
          <w:szCs w:val="26"/>
        </w:rPr>
        <w:t xml:space="preserve">5.2  How to Call the Backend AI Function</w:t>
      </w:r>
    </w:p>
    <w:p>
      <w:pPr>
        <w:spacing w:after="12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Command line: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d3748" w:sz="18"/>
              <w:bottom w:val="none" w:color="FFFFFF" w:sz="0"/>
              <w:right w:val="none" w:color="FFFFFF" w:sz="0"/>
            </w:tcBorders>
            <w:shd w:fill="f0f4f8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Example usage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export ANTHROPIC_API_KEY=sk-ant-...
python3 src/ai_insights.py --predictions output/predictions.csv --window 30
Optional — save results as JSON:
python3 src/ai_insights.py --predictions output/predictions.csv --output output/insights.json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Programmatic import: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d3748" w:sz="18"/>
              <w:bottom w:val="none" w:color="FFFFFF" w:sz="0"/>
              <w:right w:val="none" w:color="FFFFFF" w:sz="0"/>
            </w:tcBorders>
            <w:shd w:fill="f0f4f8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Python import example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import pandas as pd
from src.ai_insights import run_all_insights
df = pd.read_csv('output/predictions.csv')
results = run_all_insights(df, api_key='sk-ant-...', window=30)
for name, text in results.items():
    print(name, text)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d3748"/>
          <w:sz w:val="26"/>
          <w:szCs w:val="26"/>
        </w:rPr>
        <w:t xml:space="preserve">5.3  Four Analysis Types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Executive Summary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5-sentence board-level brief: revenue range, strongest/weakest channel, P10 trigger, one specific dollar-amount budget action.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Anomaly Detection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Most significant ROAS outlier and its likely cause, a compounding growth trend, the highest operational risk from underperforming segments.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Budget Reallocation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One specific reallocation with exact dollar amounts, which channel gains/loses, projected ROAS improvement, one CVR optimisation action.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Risk Assessment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Top 3 risks that could push revenue below P10, with specific dollar-impact estimates and one mitigation per risk.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d3748"/>
          <w:sz w:val="26"/>
          <w:szCs w:val="26"/>
        </w:rPr>
        <w:t xml:space="preserve">5.4  Prompt Design Principles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All prompts inject real computed numbers from predictions.csv — the LLM interprets data, it never generates numbers.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Output format is constrained per prompt ('exactly 5 sentences', '3 sentences only') to prevent vague or verbose responses.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Role framing sets the analytical perspective for each analysis type.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The offline pipeline (run.sh) makes zero network calls — all AI analysis is via the UI or ai_insights.py, both of which require an explicit API key.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6fef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454b8"/>
          <w:sz w:val="32"/>
          <w:szCs w:val="32"/>
        </w:rPr>
        <w:t xml:space="preserve">6. Output Format</w:t>
      </w:r>
    </w:p>
    <w:p>
      <w:pPr>
        <w:spacing w:after="12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Per organizer confirmation: predictions.csv uses the same columns as the training data plus the forecasted metrics. One row per (channel, campaign_type, campaign_name, forecast_window_days) combination: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454b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454b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454b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channel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string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Google Ads / Meta Ads / MS Ads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campaign_type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string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Search / Shopping / Performance Max / etc.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campaign_name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string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Individual campaign identifier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spend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float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Projected spend for the forecast window ($)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revenue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float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Historical revenue from training data ($)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conversions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float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Historical conversions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clicks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float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Historical clicks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impressions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float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Historical impressions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sessions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float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Historical sessions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aov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float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Average order value ($)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forecast_window_days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int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30, 60, or 90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forecasted_revenue_p10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float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Conservative revenue forecast ($)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forecasted_revenue_p50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float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Most likely revenue forecast ($)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forecasted_revenue_p90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float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Optimistic revenue forecast ($)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forecasted_roas_p10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float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Conservative ROAS forecast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forecasted_roas_p50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float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Most likely ROAS forecast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forecasted_roas_p90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float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Optimistic ROAS forecast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6fef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454b8"/>
          <w:sz w:val="32"/>
          <w:szCs w:val="32"/>
        </w:rPr>
        <w:t xml:space="preserve">7. Assumptions and Limitations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d3748"/>
          <w:sz w:val="26"/>
          <w:szCs w:val="26"/>
        </w:rPr>
        <w:t xml:space="preserve">7.1 Assumptions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454b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Assumption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454b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454b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 if Wrong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Historical patterns predict near-future performance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Standard for short-horizon ad forecasting. Agencies routinely plan budgets from trailing ROAS.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Major creative/audience changes at the end of the history window would not be captured.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Attribution data is source of truth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Explicitly required by challenge brief.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Cross-platform attribution overlap (view-through vs click-through) may double-count conversions.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Meta conversion column = revenue proxy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Meta export has no separate revenue field. Fractional values are consistent with value attribution.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If the column is a count not a value, Meta ROAS will be overstated.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GA4 and Shopify data not required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Confirmed in Q&amp;A: only Google/Meta/Bing ad data required.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Session and order data could improve AOV and CVR forecasts if available.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Budget scaling is linear across windows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Simplifying assumption for 60/90-day projections.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Real CPCs rise as budgets grow — diminishing returns are not currently modelled.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d3748"/>
          <w:sz w:val="26"/>
          <w:szCs w:val="26"/>
        </w:rPr>
        <w:t xml:space="preserve">7.2 Limitations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No cross-channel interactions: each channel is modelled independently. Meta retargeting performance partly depends on Google top-of-funnel volume — this is not captured.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No external signals: competitor activity, macro events, and platform algorithm changes are not modelled.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MS Ads confidence band is wide (std=8.7x): reflects genuinely thin historical data for that channel. More data would narrow it.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R²=0.66: 34% of revenue variance is unpredictable from available features — inherent noise in daily ad performance.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6fef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454b8"/>
          <w:sz w:val="32"/>
          <w:szCs w:val="32"/>
        </w:rPr>
        <w:t xml:space="preserve">8. Architecture Overview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d3748"/>
          <w:sz w:val="26"/>
          <w:szCs w:val="26"/>
        </w:rPr>
        <w:t xml:space="preserve">8.1 Offline Scoring Pipeline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454b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454b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run.sh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Single entry point. Accepts DATA_DIR, MODEL_PATH, OUTPUT_PATH. Orchestrates both stages.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src/generate_features.py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Stage 1: reads all CSVs, detects platforms, normalizes, validates, cleans, writes features.parquet.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src/features.py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Feature engineering logic shared between training and inference. Defines all 15 features.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src/predict.py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Stage 2: loads model.pkl, runs XGBoost inference, builds Monte Carlo ranges, writes predictions.csv.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src/forecast_lib.py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Core shared library: normalizers, cleaning, spend-weighted stats, Monte Carlo engine.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src/train_model.py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One-time training script. Run before submission. Not executed by judges.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src/ai_insights.py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Backend AI function. Reads predictions.csv, calls Claude API for four analyses.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pickle/model.pkl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Trained XGBoost model + ROAS lookup + channel priors. Committed to repo.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d3748"/>
          <w:sz w:val="26"/>
          <w:szCs w:val="26"/>
        </w:rPr>
        <w:t xml:space="preserve">8.2 Interactive Application (RevenueIQ)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Frontend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React (JSX), Recharts for charts, inline styles. Single-file App.jsx, runs client-side with no backend server.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Data ingestion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Three modes: separate per-platform files (auto-normalized), single merged file, or demo dataset. Platform detection by column signature.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Forecasting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Same Monte Carlo engine as Python pipeline, re-implemented in JavaScript. Runs entirely in the browser.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AI layer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Four Claude API analysis blocks. Auto-run on forecast generation. Each independently refreshable.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Scenario simulation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Budget slider (50%-200%) and four preset scenarios. Monte Carlo re-runs on every change.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d3748"/>
          <w:sz w:val="26"/>
          <w:szCs w:val="26"/>
        </w:rPr>
        <w:t xml:space="preserve">8.3 Data Flow</w:t>
      </w:r>
    </w:p>
    <w:p>
      <w:pPr>
        <w:spacing w:after="12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Offline pipeline: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data/*.csv → generate_features.py → features.parquet → predict.py + model.pkl → predictions.csv</w:t>
      </w:r>
    </w:p>
    <w:p>
      <w:pPr>
        <w:spacing w:after="80" w:before="8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Interactive app: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CSV upload → platform detection → normalization → cleaning → XGBoost-equivalent JS engine → Monte Carlo → charts + Claude API → AI insights</w:t>
      </w:r>
    </w:p>
    <w:p>
      <w:pPr>
        <w:spacing w:after="80" w:before="8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AI insights: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predictions.csv → ai_insights.py → summarise_forecast() → 4 Claude API calls → text analysis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6fef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454b8"/>
          <w:sz w:val="32"/>
          <w:szCs w:val="32"/>
        </w:rPr>
        <w:t xml:space="preserve">9. Reproducibility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XGBoost random_state=42. Monte Carlo seed=42 via numpy.random.default_rng(42). Identical inputs always produce identical outputs.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All dependency versions pinned: pandas==2.2.2, numpy==1.26.4, pyarrow==16.1.0, xgboost==3.3.0, scikit-learn==1.8.0.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No absolute paths. All paths relative to run.sh arguments.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No network calls in the scoring pipeline. No interactive prompts.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Python 3.12. Tested on Linux (Ubuntu 24).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6fef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454b8"/>
          <w:sz w:val="32"/>
          <w:szCs w:val="32"/>
        </w:rPr>
        <w:t xml:space="preserve">10. Future Improvements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Diminishing returns: fit a logarithmic spend-response curve per channel so large budget increases project sub-linear revenue gains.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Cross-channel interactions: model the lift upper-funnel Google/Meta spend provides to brand search and direct conversion campaigns.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Bayesian updating: update channel priors incrementally as new weekly data arrives rather than re-training from scratch.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Proper seasonality decomposition: use STL decomposition on monthly ROAS series to separate trend, seasonality, and residual components.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LightGBM comparison: benchmark against LightGBM to check whether a faster model achieves similar R² with lower inference time.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888888"/>
        <w:sz w:val="18"/>
        <w:szCs w:val="18"/>
      </w:rPr>
      <w:t xml:space="preserve">AIgnition 3.0 — Technical Documentation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2026-07-02T15:16:18.015Z</dcterms:created>
  <dcterms:modified xsi:type="dcterms:W3CDTF">2026-07-02T15:16:18.027Z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