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454b8"/>
          <w:sz w:val="64"/>
          <w:szCs w:val="64"/>
        </w:rPr>
        <w:t xml:space="preserve">RevenueIQ</w:t>
      </w:r>
    </w:p>
    <w:p>
      <w:pPr>
        <w:spacing w:after="120" w:before="0"/>
        <w:jc w:val="center"/>
      </w:pPr>
      <w:r>
        <w:rPr>
          <w:rFonts w:ascii="Arial" w:cs="Arial" w:eastAsia="Arial" w:hAnsi="Arial"/>
          <w:color w:val="2d3748"/>
          <w:sz w:val="36"/>
          <w:szCs w:val="36"/>
        </w:rPr>
        <w:t xml:space="preserve">Probabilistic Revenue Forecasting</w:t>
      </w:r>
    </w:p>
    <w:p>
      <w:pPr>
        <w:spacing w:after="480" w:before="0"/>
        <w:jc w:val="center"/>
      </w:pPr>
      <w:r>
        <w:rPr>
          <w:rFonts w:ascii="Arial" w:cs="Arial" w:eastAsia="Arial" w:hAnsi="Arial"/>
          <w:color w:val="2d3748"/>
          <w:sz w:val="36"/>
          <w:szCs w:val="36"/>
        </w:rPr>
        <w:t xml:space="preserve">for E-commerce Marketing Agencies</w:t>
      </w:r>
    </w:p>
    <w:p>
      <w:pPr>
        <w:spacing w:after="120" w:before="0"/>
        <w:jc w:val="center"/>
      </w:pPr>
      <w:r>
        <w:rPr>
          <w:rFonts w:ascii="Arial" w:cs="Arial" w:eastAsia="Arial" w:hAnsi="Arial"/>
          <w:b/>
          <w:bCs/>
          <w:color w:val="555555"/>
          <w:sz w:val="26"/>
          <w:szCs w:val="26"/>
        </w:rPr>
        <w:t xml:space="preserve">Technical Documentation</w:t>
      </w:r>
    </w:p>
    <w:p>
      <w:pPr>
        <w:spacing w:after="1200" w:before="0"/>
        <w:jc w:val="center"/>
      </w:pPr>
      <w:r>
        <w:rPr>
          <w:rFonts w:ascii="Arial" w:cs="Arial" w:eastAsia="Arial" w:hAnsi="Arial"/>
          <w:color w:val="888888"/>
          <w:sz w:val="22"/>
          <w:szCs w:val="22"/>
        </w:rPr>
        <w:t xml:space="preserve">AIgnition 3.0 Hackathon Submission • NetElixir</w:t>
      </w:r>
    </w:p>
    <w:p>
      <w:r>
        <w:br w:type="page"/>
      </w:r>
    </w:p>
    <w:p>
      <w:pPr>
        <w:pStyle w:val="Heading1"/>
        <w:pBdr>
          <w:bottom w:val="single" w:color="1e6fef" w:sz="6" w:space="4"/>
        </w:pBdr>
        <w:spacing w:after="160" w:before="320"/>
      </w:pPr>
      <w:r>
        <w:rPr>
          <w:rFonts w:ascii="Arial" w:cs="Arial" w:eastAsia="Arial" w:hAnsi="Arial"/>
          <w:b/>
          <w:bCs/>
          <w:color w:val="1454b8"/>
          <w:sz w:val="32"/>
          <w:szCs w:val="32"/>
        </w:rPr>
        <w:t xml:space="preserve">1. Overview</w:t>
      </w:r>
    </w:p>
    <w:p>
      <w:pPr>
        <w:spacing w:after="120" w:before="80"/>
      </w:pPr>
      <w:r>
        <w:rPr>
          <w:rFonts w:ascii="Arial" w:cs="Arial" w:eastAsia="Arial" w:hAnsi="Arial"/>
          <w:color w:val="000000"/>
          <w:sz w:val="22"/>
          <w:szCs w:val="22"/>
        </w:rPr>
        <w:t xml:space="preserve">RevenueIQ is a probabilistic revenue forecasting utility for digital marketing agencies managing e-commerce clients across Google Ads, Meta Ads, and Microsoft (Bing) Ads. Given historical channel export data and a future media budget, it produces P10/P50/P90 revenue and ROAS ranges at four levels of granularity: aggregate, channel, campaign-type, and individual campaign.</w:t>
      </w:r>
    </w:p>
    <w:p>
      <w:pPr>
        <w:spacing w:after="80" w:before="80"/>
      </w:pPr>
      <w:r>
        <w:t xml:space="preserve"/>
      </w:r>
    </w:p>
    <w:p>
      <w:pPr>
        <w:spacing w:after="120" w:before="80"/>
      </w:pPr>
      <w:r>
        <w:rPr>
          <w:rFonts w:ascii="Arial" w:cs="Arial" w:eastAsia="Arial" w:hAnsi="Arial"/>
          <w:color w:val="000000"/>
          <w:sz w:val="22"/>
          <w:szCs w:val="22"/>
        </w:rPr>
        <w:t xml:space="preserve">The system has two surfaces that share the same underlying forecasting engine:</w:t>
      </w:r>
    </w:p>
    <w:p>
      <w:pPr>
        <w:pStyle w:val="ListParagraph"/>
        <w:numPr>
          <w:ilvl w:val="0"/>
          <w:numId w:val="2"/>
        </w:numPr>
        <w:spacing w:after="40" w:before="40"/>
      </w:pPr>
      <w:r>
        <w:rPr>
          <w:rFonts w:ascii="Arial" w:cs="Arial" w:eastAsia="Arial" w:hAnsi="Arial"/>
          <w:color w:val="000000"/>
          <w:sz w:val="22"/>
          <w:szCs w:val="22"/>
        </w:rPr>
        <w:t xml:space="preserve">An offline Python pipeline (run.sh → predictions.csv) designed to satisfy the hackathon submission contract — no network calls, fully deterministic, runs in one command.</w:t>
      </w:r>
    </w:p>
    <w:p>
      <w:pPr>
        <w:pStyle w:val="ListParagraph"/>
        <w:numPr>
          <w:ilvl w:val="0"/>
          <w:numId w:val="2"/>
        </w:numPr>
        <w:spacing w:after="40" w:before="40"/>
      </w:pPr>
      <w:r>
        <w:rPr>
          <w:rFonts w:ascii="Arial" w:cs="Arial" w:eastAsia="Arial" w:hAnsi="Arial"/>
          <w:color w:val="000000"/>
          <w:sz w:val="22"/>
          <w:szCs w:val="22"/>
        </w:rPr>
        <w:t xml:space="preserve">An interactive browser application (RevenueIQ) built in React, which adds live AI-generated executive summaries, budget scenario simulation, and anomaly interpretation using the Claude API.</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2. Forecasting Methodology</w:t>
      </w:r>
    </w:p>
    <w:p>
      <w:pPr>
        <w:pStyle w:val="Heading2"/>
        <w:spacing w:after="120" w:before="240"/>
      </w:pPr>
      <w:r>
        <w:rPr>
          <w:rFonts w:ascii="Arial" w:cs="Arial" w:eastAsia="Arial" w:hAnsi="Arial"/>
          <w:b/>
          <w:bCs/>
          <w:color w:val="2d3748"/>
          <w:sz w:val="26"/>
          <w:szCs w:val="26"/>
        </w:rPr>
        <w:t xml:space="preserve">2.1  Why Probabilistic Forecasting?</w:t>
      </w:r>
    </w:p>
    <w:p>
      <w:pPr>
        <w:spacing w:after="120" w:before="80"/>
      </w:pPr>
      <w:r>
        <w:rPr>
          <w:rFonts w:ascii="Arial" w:cs="Arial" w:eastAsia="Arial" w:hAnsi="Arial"/>
          <w:color w:val="000000"/>
          <w:sz w:val="22"/>
          <w:szCs w:val="22"/>
        </w:rPr>
        <w:t xml:space="preserve">A single-number forecast misleads decision-makers because it implies false precision. Real ad performance varies due to seasonality, auction dynamics, creative fatigue, and attribution lag. A probabilistic forecast explicitly communicates uncertainty: the P10 answer is "if things go badly but not catastrophically"; P50 is the most likely outcome; P90 is "if conditions are favorable." This range directly informs budget risk decisions in a way a point estimate cannot.</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2.2  Monte Carlo Simulation</w:t>
      </w:r>
    </w:p>
    <w:p>
      <w:pPr>
        <w:spacing w:after="120" w:before="80"/>
      </w:pPr>
      <w:r>
        <w:rPr>
          <w:rFonts w:ascii="Arial" w:cs="Arial" w:eastAsia="Arial" w:hAnsi="Arial"/>
          <w:color w:val="000000"/>
          <w:sz w:val="22"/>
          <w:szCs w:val="22"/>
        </w:rPr>
        <w:t xml:space="preserve">For each forecast window (30, 60, or 90 days), the system runs 800 independent simulations. Each simulation:</w:t>
      </w:r>
    </w:p>
    <w:p>
      <w:pPr>
        <w:pStyle w:val="ListParagraph"/>
        <w:numPr>
          <w:ilvl w:val="0"/>
          <w:numId w:val="2"/>
        </w:numPr>
        <w:spacing w:after="40" w:before="40"/>
      </w:pPr>
      <w:r>
        <w:rPr>
          <w:rFonts w:ascii="Arial" w:cs="Arial" w:eastAsia="Arial" w:hAnsi="Arial"/>
          <w:color w:val="000000"/>
          <w:sz w:val="22"/>
          <w:szCs w:val="22"/>
        </w:rPr>
        <w:t xml:space="preserve">Draws a channel-level ROAS from a normal distribution parameterised by that channel's historical mean and standard deviation.</w:t>
      </w:r>
    </w:p>
    <w:p>
      <w:pPr>
        <w:pStyle w:val="ListParagraph"/>
        <w:numPr>
          <w:ilvl w:val="0"/>
          <w:numId w:val="2"/>
        </w:numPr>
        <w:spacing w:after="40" w:before="40"/>
      </w:pPr>
      <w:r>
        <w:rPr>
          <w:rFonts w:ascii="Arial" w:cs="Arial" w:eastAsia="Arial" w:hAnsi="Arial"/>
          <w:color w:val="000000"/>
          <w:sz w:val="22"/>
          <w:szCs w:val="22"/>
        </w:rPr>
        <w:t xml:space="preserve">Floors the drawn ROAS at 0.5x to prevent economically impossible outcomes.</w:t>
      </w:r>
    </w:p>
    <w:p>
      <w:pPr>
        <w:pStyle w:val="ListParagraph"/>
        <w:numPr>
          <w:ilvl w:val="0"/>
          <w:numId w:val="2"/>
        </w:numPr>
        <w:spacing w:after="40" w:before="40"/>
      </w:pPr>
      <w:r>
        <w:rPr>
          <w:rFonts w:ascii="Arial" w:cs="Arial" w:eastAsia="Arial" w:hAnsi="Arial"/>
          <w:color w:val="000000"/>
          <w:sz w:val="22"/>
          <w:szCs w:val="22"/>
        </w:rPr>
        <w:t xml:space="preserve">Multiplies the drawn ROAS by the planned budget for that channel.</w:t>
      </w:r>
    </w:p>
    <w:p>
      <w:pPr>
        <w:pStyle w:val="ListParagraph"/>
        <w:numPr>
          <w:ilvl w:val="0"/>
          <w:numId w:val="2"/>
        </w:numPr>
        <w:spacing w:after="40" w:before="40"/>
      </w:pPr>
      <w:r>
        <w:rPr>
          <w:rFonts w:ascii="Arial" w:cs="Arial" w:eastAsia="Arial" w:hAnsi="Arial"/>
          <w:color w:val="000000"/>
          <w:sz w:val="22"/>
          <w:szCs w:val="22"/>
        </w:rPr>
        <w:t xml:space="preserve">Applies a trend multiplier derived from the channel's observed ROAS trajectory.</w:t>
      </w:r>
    </w:p>
    <w:p>
      <w:pPr>
        <w:pStyle w:val="ListParagraph"/>
        <w:numPr>
          <w:ilvl w:val="0"/>
          <w:numId w:val="2"/>
        </w:numPr>
        <w:spacing w:after="40" w:before="40"/>
      </w:pPr>
      <w:r>
        <w:rPr>
          <w:rFonts w:ascii="Arial" w:cs="Arial" w:eastAsia="Arial" w:hAnsi="Arial"/>
          <w:color w:val="000000"/>
          <w:sz w:val="22"/>
          <w:szCs w:val="22"/>
        </w:rPr>
        <w:t xml:space="preserve">Sums the result across all three channels to produce one possible total revenue outcome.</w:t>
      </w:r>
    </w:p>
    <w:p>
      <w:pPr>
        <w:spacing w:after="80" w:before="80"/>
      </w:pPr>
      <w:r>
        <w:t xml:space="preserve"/>
      </w:r>
    </w:p>
    <w:p>
      <w:pPr>
        <w:spacing w:after="120" w:before="80"/>
      </w:pPr>
      <w:r>
        <w:rPr>
          <w:rFonts w:ascii="Arial" w:cs="Arial" w:eastAsia="Arial" w:hAnsi="Arial"/>
          <w:color w:val="000000"/>
          <w:sz w:val="22"/>
          <w:szCs w:val="22"/>
        </w:rPr>
        <w:t xml:space="preserve">Sorting all 800 outcomes and reading off the 10th, 50th, and 90th percentiles gives P10, P50, and P90. The simulation is seeded (seed=42) so results are fully reproducible across runs.</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2.3  Spend-Weighted ROAS — The Core Design Decision</w:t>
      </w:r>
    </w:p>
    <w:p>
      <w:pPr>
        <w:spacing w:after="120" w:before="80"/>
      </w:pPr>
      <w:r>
        <w:rPr>
          <w:rFonts w:ascii="Arial" w:cs="Arial" w:eastAsia="Arial" w:hAnsi="Arial"/>
          <w:b/>
          <w:bCs/>
          <w:color w:val="000000"/>
          <w:sz w:val="22"/>
          <w:szCs w:val="22"/>
        </w:rPr>
        <w:t xml:space="preserve">Problem with naive averaging: </w:t>
      </w:r>
      <w:r>
        <w:rPr>
          <w:rFonts w:ascii="Arial" w:cs="Arial" w:eastAsia="Arial" w:hAnsi="Arial"/>
          <w:color w:val="000000"/>
          <w:sz w:val="22"/>
          <w:szCs w:val="22"/>
        </w:rPr>
        <w:t xml:space="preserve">computing average ROAS as the mean of monthly ROAS ratios gives equal weight to a month with $5 of spend and a month with $50,000 of spend. A channel with one near-zero-spend month (common in real exports, due to campaign pauses or test periods) would have its headline ROAS dragged dramatically downward even if the vast majority of its actual spend was highly profitable.</w:t>
      </w:r>
    </w:p>
    <w:p>
      <w:pPr>
        <w:spacing w:after="80" w:before="80"/>
      </w:pPr>
      <w:r>
        <w:t xml:space="preserve"/>
      </w:r>
    </w:p>
    <w:p>
      <w:pPr>
        <w:spacing w:after="120" w:before="80"/>
      </w:pPr>
      <w:r>
        <w:rPr>
          <w:rFonts w:ascii="Arial" w:cs="Arial" w:eastAsia="Arial" w:hAnsi="Arial"/>
          <w:b/>
          <w:bCs/>
          <w:color w:val="000000"/>
          <w:sz w:val="22"/>
          <w:szCs w:val="22"/>
        </w:rPr>
        <w:t xml:space="preserve">Our solution: </w:t>
      </w:r>
      <w:r>
        <w:rPr>
          <w:rFonts w:ascii="Arial" w:cs="Arial" w:eastAsia="Arial" w:hAnsi="Arial"/>
          <w:color w:val="000000"/>
          <w:sz w:val="22"/>
          <w:szCs w:val="22"/>
        </w:rPr>
        <w:t xml:space="preserve">spend-weighted ROAS, computed as total revenue ÷ total spend across all rows for that channel. This is the same calculation a CFO would use — it weights each dollar of outcome by how many real dollars produced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875" w:sz="18"/>
              <w:bottom w:val="none" w:color="FFFFFF" w:sz="0"/>
              <w:right w:val="none" w:color="FFFFFF" w:sz="0"/>
            </w:tcBorders>
            <w:shd w:fill="f0f4f8" w:val="clear"/>
            <w:tcMar>
              <w:top w:type="dxa" w:w="100"/>
              <w:left w:type="dxa" w:w="180"/>
              <w:bottom w:type="dxa" w:w="100"/>
              <w:right w:type="dxa" w:w="120"/>
            </w:tcMar>
          </w:tcPr>
          <w:p>
            <w:r>
              <w:rPr>
                <w:rFonts w:ascii="Arial" w:cs="Arial" w:eastAsia="Arial" w:hAnsi="Arial"/>
                <w:b/>
                <w:bCs/>
                <w:color w:val="00b875"/>
                <w:sz w:val="20"/>
                <w:szCs w:val="20"/>
              </w:rPr>
              <w:t xml:space="preserve">Validated Impact</w:t>
            </w:r>
          </w:p>
          <w:p>
            <w:pPr>
              <w:spacing w:before="40"/>
            </w:pPr>
            <w:r>
              <w:rPr>
                <w:rFonts w:ascii="Arial" w:cs="Arial" w:eastAsia="Arial" w:hAnsi="Arial"/>
                <w:color w:val="000000"/>
                <w:sz w:val="22"/>
                <w:szCs w:val="22"/>
              </w:rPr>
              <w:t xml:space="preserve">On the sample dataset provided, naive averaging produced a Google Ads ROAS of 0.06× (which would appear to show a severely loss-making channel). Spend-weighted ROAS correctly computed 4.76×, consistent with the platform’s own reported figures. The difference was caused by a handful of low-spend campaign rows with zero attributed revenue dominating the unweighted average.</w:t>
            </w:r>
          </w:p>
        </w:tc>
      </w:tr>
    </w:tbl>
    <w:p>
      <w:pPr>
        <w:spacing w:after="80" w:before="80"/>
      </w:pPr>
      <w:r>
        <w:t xml:space="preserve"/>
      </w:r>
    </w:p>
    <w:p>
      <w:pPr>
        <w:pStyle w:val="Heading2"/>
        <w:spacing w:after="120" w:before="240"/>
      </w:pPr>
      <w:r>
        <w:rPr>
          <w:rFonts w:ascii="Arial" w:cs="Arial" w:eastAsia="Arial" w:hAnsi="Arial"/>
          <w:b/>
          <w:bCs/>
          <w:color w:val="2d3748"/>
          <w:sz w:val="26"/>
          <w:szCs w:val="26"/>
        </w:rPr>
        <w:t xml:space="preserve">2.4  Trend Detection</w:t>
      </w:r>
    </w:p>
    <w:p>
      <w:pPr>
        <w:spacing w:after="120" w:before="80"/>
      </w:pPr>
      <w:r>
        <w:rPr>
          <w:rFonts w:ascii="Arial" w:cs="Arial" w:eastAsia="Arial" w:hAnsi="Arial"/>
          <w:color w:val="000000"/>
          <w:sz w:val="22"/>
          <w:szCs w:val="22"/>
        </w:rPr>
        <w:t xml:space="preserve">To capture whether a channel is improving or declining over time, the system splits the available date range into two halves and computes the spend-weighted ROAS for each half independently. The trend percentage is defined as (ROAS_second_half - ROAS_first_half) / ROAS_first_half. This trend multiplier is applied to the Monte Carlo simulation so that a channel with a strong recent improvement trajectory projects better forward outcomes than one that is deteriorating, even if both have the same historical average ROAS.</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2.5  Seasonality</w:t>
      </w:r>
    </w:p>
    <w:p>
      <w:pPr>
        <w:spacing w:after="120" w:before="80"/>
      </w:pPr>
      <w:r>
        <w:rPr>
          <w:rFonts w:ascii="Arial" w:cs="Arial" w:eastAsia="Arial" w:hAnsi="Arial"/>
          <w:color w:val="000000"/>
          <w:sz w:val="22"/>
          <w:szCs w:val="22"/>
        </w:rPr>
        <w:t xml:space="preserve">A sinusoidal seasonality factor (amplitude 5.5%, period 30 days) is applied when constructing the cumulative revenue series shown in the interactive app. For the scored pipeline output, seasonality is implicitly captured through the historical ROAS data itself: seasonal highs and lows in the training period are reflected in the fitted mean and standard deviation, which the Monte Carlo simulation samples from.</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3. Data Preprocessing</w:t>
      </w:r>
    </w:p>
    <w:p>
      <w:pPr>
        <w:pStyle w:val="Heading2"/>
        <w:spacing w:after="120" w:before="240"/>
      </w:pPr>
      <w:r>
        <w:rPr>
          <w:rFonts w:ascii="Arial" w:cs="Arial" w:eastAsia="Arial" w:hAnsi="Arial"/>
          <w:b/>
          <w:bCs/>
          <w:color w:val="2d3748"/>
          <w:sz w:val="26"/>
          <w:szCs w:val="26"/>
        </w:rPr>
        <w:t xml:space="preserve">3.1  Platform Detection</w:t>
      </w:r>
    </w:p>
    <w:p>
      <w:pPr>
        <w:spacing w:after="120" w:before="80"/>
      </w:pPr>
      <w:r>
        <w:rPr>
          <w:rFonts w:ascii="Arial" w:cs="Arial" w:eastAsia="Arial" w:hAnsi="Arial"/>
          <w:color w:val="000000"/>
          <w:sz w:val="22"/>
          <w:szCs w:val="22"/>
        </w:rPr>
        <w:t xml:space="preserve">Each file in the data/ directory is read and its ad platform is identified by column signature — not by filename. This means renaming a file does not break the pipeline. Detection is done by checking for combinations of distinctive column names: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68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Key Identifying Columns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Bing (MS 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TimePeriod, CampaignId, CampaignName, Spend, Revenue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Google Ads</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segments_date, metrics_cost_micros, metrics_conversions_value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Meta 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date_start, cpc, cpm, ctr, conversion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Canonical (merged)</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date, channel, campaign_type, spend, revenue</w:t>
            </w:r>
          </w:p>
        </w:tc>
      </w:tr>
    </w:tbl>
    <w:p>
      <w:pPr>
        <w:spacing w:after="80" w:before="80"/>
      </w:pPr>
      <w:r>
        <w:t xml:space="preserve"/>
      </w:r>
    </w:p>
    <w:p>
      <w:pPr>
        <w:pStyle w:val="Heading2"/>
        <w:spacing w:after="120" w:before="240"/>
      </w:pPr>
      <w:r>
        <w:rPr>
          <w:rFonts w:ascii="Arial" w:cs="Arial" w:eastAsia="Arial" w:hAnsi="Arial"/>
          <w:b/>
          <w:bCs/>
          <w:color w:val="2d3748"/>
          <w:sz w:val="26"/>
          <w:szCs w:val="26"/>
        </w:rPr>
        <w:t xml:space="preserve">3.2  Schema Normalization</w:t>
      </w:r>
    </w:p>
    <w:p>
      <w:pPr>
        <w:spacing w:after="120" w:before="80"/>
      </w:pPr>
      <w:r>
        <w:rPr>
          <w:rFonts w:ascii="Arial" w:cs="Arial" w:eastAsia="Arial" w:hAnsi="Arial"/>
          <w:color w:val="000000"/>
          <w:sz w:val="22"/>
          <w:szCs w:val="22"/>
        </w:rPr>
        <w:t xml:space="preserve">Each platform's raw export uses different column names, units, and date fields. The normalizers translate each into a single canonical schema: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Canonical Field</w:t>
            </w:r>
          </w:p>
        </w:tc>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Bing Source</w:t>
            </w:r>
          </w:p>
        </w:tc>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Google Source</w:t>
            </w:r>
          </w:p>
        </w:tc>
        <w:tc>
          <w:tcPr>
            <w:tcW w:type="dxa" w:w="234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Meta Source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TimePeriod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segments_date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date_start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spend ($)</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Spend</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metrics_cost_micros ÷ 1,000,000</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spend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revenue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metrics_conversions_value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conversion (proxy)</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conversions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Conversions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metrics_conversions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conversion (proxy)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clicks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Clicks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metrics_clicks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clicks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impressions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Impressions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metrics_impressions</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impressions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campaign_type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CampaignType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campaign_advertising_channel_type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inferred from name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campaign_name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CampaignName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campaign_name</w:t>
            </w:r>
          </w:p>
        </w:tc>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campaign_name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a623" w:sz="18"/>
              <w:bottom w:val="none" w:color="FFFFFF" w:sz="0"/>
              <w:right w:val="none" w:color="FFFFFF" w:sz="0"/>
            </w:tcBorders>
            <w:shd w:fill="f0f4f8" w:val="clear"/>
            <w:tcMar>
              <w:top w:type="dxa" w:w="100"/>
              <w:left w:type="dxa" w:w="180"/>
              <w:bottom w:type="dxa" w:w="100"/>
              <w:right w:type="dxa" w:w="120"/>
            </w:tcMar>
          </w:tcPr>
          <w:p>
            <w:r>
              <w:rPr>
                <w:rFonts w:ascii="Arial" w:cs="Arial" w:eastAsia="Arial" w:hAnsi="Arial"/>
                <w:b/>
                <w:bCs/>
                <w:color w:val="f5a623"/>
                <w:sz w:val="20"/>
                <w:szCs w:val="20"/>
              </w:rPr>
              <w:t xml:space="preserve">Known Assumption — Meta Revenue</w:t>
            </w:r>
          </w:p>
          <w:p>
            <w:pPr>
              <w:spacing w:before="40"/>
            </w:pPr>
            <w:r>
              <w:rPr>
                <w:rFonts w:ascii="Arial" w:cs="Arial" w:eastAsia="Arial" w:hAnsi="Arial"/>
                <w:color w:val="000000"/>
                <w:sz w:val="22"/>
                <w:szCs w:val="22"/>
              </w:rPr>
              <w:t xml:space="preserve">Meta’s raw export contains one ambiguous ‘conversion’ column with fractional numeric values. There is no separate revenue or true integer conversion-count field in the sample export. We treat this column as a conversion-value (revenue) proxy. If the held-out test data includes a distinct purchase-value column, the normalizer should be updated to map it explicitly.</w:t>
            </w:r>
          </w:p>
        </w:tc>
      </w:tr>
    </w:tbl>
    <w:p>
      <w:pPr>
        <w:spacing w:after="80" w:before="80"/>
      </w:pPr>
      <w:r>
        <w:t xml:space="preserve"/>
      </w:r>
    </w:p>
    <w:p>
      <w:pPr>
        <w:pStyle w:val="Heading2"/>
        <w:spacing w:after="120" w:before="240"/>
      </w:pPr>
      <w:r>
        <w:rPr>
          <w:rFonts w:ascii="Arial" w:cs="Arial" w:eastAsia="Arial" w:hAnsi="Arial"/>
          <w:b/>
          <w:bCs/>
          <w:color w:val="2d3748"/>
          <w:sz w:val="26"/>
          <w:szCs w:val="26"/>
        </w:rPr>
        <w:t xml:space="preserve">3.3  Attribution Lag Trimming</w:t>
      </w:r>
    </w:p>
    <w:p>
      <w:pPr>
        <w:spacing w:after="120" w:before="80"/>
      </w:pPr>
      <w:r>
        <w:rPr>
          <w:rFonts w:ascii="Arial" w:cs="Arial" w:eastAsia="Arial" w:hAnsi="Arial"/>
          <w:color w:val="000000"/>
          <w:sz w:val="22"/>
          <w:szCs w:val="22"/>
        </w:rPr>
        <w:t xml:space="preserve">Ad platforms typically take 3-7 days to fully attribute conversions to the campaigns that generated them. Rows near the trailing edge of an export therefore systematically understate revenue — the spend happened but the revenue hasn't been attributed yet. Including these rows in ROAS computation would make recent performance appear artificially worse.</w:t>
      </w:r>
    </w:p>
    <w:p>
      <w:pPr>
        <w:spacing w:after="80" w:before="80"/>
      </w:pPr>
      <w:r>
        <w:t xml:space="preserve"/>
      </w:r>
    </w:p>
    <w:p>
      <w:pPr>
        <w:spacing w:after="120" w:before="80"/>
      </w:pPr>
      <w:r>
        <w:rPr>
          <w:rFonts w:ascii="Arial" w:cs="Arial" w:eastAsia="Arial" w:hAnsi="Arial"/>
          <w:color w:val="000000"/>
          <w:sz w:val="22"/>
          <w:szCs w:val="22"/>
        </w:rPr>
        <w:t xml:space="preserve">The pipeline automatically drops each channel's trailing 7 days before computing statistics. This trimming is only applied to genuinely daily-granularity data (more than 20 unique dates in the channel's history). Monthly or sparse uploads are left untouched, since removing 7 days from a monthly series would eliminate entire periods.</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3.4  Zero-Activity Row Removal</w:t>
      </w:r>
    </w:p>
    <w:p>
      <w:pPr>
        <w:spacing w:after="120" w:before="80"/>
      </w:pPr>
      <w:r>
        <w:rPr>
          <w:rFonts w:ascii="Arial" w:cs="Arial" w:eastAsia="Arial" w:hAnsi="Arial"/>
          <w:color w:val="000000"/>
          <w:sz w:val="22"/>
          <w:szCs w:val="22"/>
        </w:rPr>
        <w:t xml:space="preserve">Real platform exports include rows for days when a campaign was paused, had zero budget, or simply generated no activity. These rows (spend = 0, clicks = 0, revenue = 0) contribute no signal but do affect row counts and can distort statistics that treat all rows as equally informative. They are dropped before any computation.</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3.5  Campaign Consistency Validation</w:t>
      </w:r>
    </w:p>
    <w:p>
      <w:pPr>
        <w:spacing w:after="120" w:before="80"/>
      </w:pPr>
      <w:r>
        <w:rPr>
          <w:rFonts w:ascii="Arial" w:cs="Arial" w:eastAsia="Arial" w:hAnsi="Arial"/>
          <w:color w:val="000000"/>
          <w:sz w:val="22"/>
          <w:szCs w:val="22"/>
        </w:rPr>
        <w:t xml:space="preserve">The pipeline validates the merged dataset before forecasting and reports (but does not halt on) the following classes of issue:</w:t>
      </w:r>
    </w:p>
    <w:p>
      <w:pPr>
        <w:pStyle w:val="ListParagraph"/>
        <w:numPr>
          <w:ilvl w:val="0"/>
          <w:numId w:val="2"/>
        </w:numPr>
        <w:spacing w:after="40" w:before="40"/>
      </w:pPr>
      <w:r>
        <w:rPr>
          <w:rFonts w:ascii="Arial" w:cs="Arial" w:eastAsia="Arial" w:hAnsi="Arial"/>
          <w:color w:val="000000"/>
          <w:sz w:val="22"/>
          <w:szCs w:val="22"/>
        </w:rPr>
        <w:t xml:space="preserve">Unrecognized channel values — channel names outside {Google Ads, Meta Ads, MS Ads}.</w:t>
      </w:r>
    </w:p>
    <w:p>
      <w:pPr>
        <w:pStyle w:val="ListParagraph"/>
        <w:numPr>
          <w:ilvl w:val="0"/>
          <w:numId w:val="2"/>
        </w:numPr>
        <w:spacing w:after="40" w:before="40"/>
      </w:pPr>
      <w:r>
        <w:rPr>
          <w:rFonts w:ascii="Arial" w:cs="Arial" w:eastAsia="Arial" w:hAnsi="Arial"/>
          <w:color w:val="000000"/>
          <w:sz w:val="22"/>
          <w:szCs w:val="22"/>
        </w:rPr>
        <w:t xml:space="preserve">Unparseable dates — rows where the date field cannot be interpreted as a valid calendar date.</w:t>
      </w:r>
    </w:p>
    <w:p>
      <w:pPr>
        <w:pStyle w:val="ListParagraph"/>
        <w:numPr>
          <w:ilvl w:val="0"/>
          <w:numId w:val="2"/>
        </w:numPr>
        <w:spacing w:after="40" w:before="40"/>
      </w:pPr>
      <w:r>
        <w:rPr>
          <w:rFonts w:ascii="Arial" w:cs="Arial" w:eastAsia="Arial" w:hAnsi="Arial"/>
          <w:color w:val="000000"/>
          <w:sz w:val="22"/>
          <w:szCs w:val="22"/>
        </w:rPr>
        <w:t xml:space="preserve">Negative spend — platform export artifacts that should not contribute to ROAS computation.</w:t>
      </w:r>
    </w:p>
    <w:p>
      <w:pPr>
        <w:pStyle w:val="ListParagraph"/>
        <w:numPr>
          <w:ilvl w:val="0"/>
          <w:numId w:val="2"/>
        </w:numPr>
        <w:spacing w:after="40" w:before="40"/>
      </w:pPr>
      <w:r>
        <w:rPr>
          <w:rFonts w:ascii="Arial" w:cs="Arial" w:eastAsia="Arial" w:hAnsi="Arial"/>
          <w:color w:val="000000"/>
          <w:sz w:val="22"/>
          <w:szCs w:val="22"/>
        </w:rPr>
        <w:t xml:space="preserve">Duplicate rows — identical (date, channel, campaign_name) combinations, which may indicate double-loaded files.</w:t>
      </w:r>
    </w:p>
    <w:p>
      <w:pPr>
        <w:pStyle w:val="ListParagraph"/>
        <w:numPr>
          <w:ilvl w:val="0"/>
          <w:numId w:val="2"/>
        </w:numPr>
        <w:spacing w:after="40" w:before="40"/>
      </w:pPr>
      <w:r>
        <w:rPr>
          <w:rFonts w:ascii="Arial" w:cs="Arial" w:eastAsia="Arial" w:hAnsi="Arial"/>
          <w:color w:val="000000"/>
          <w:sz w:val="22"/>
          <w:szCs w:val="22"/>
        </w:rPr>
        <w:t xml:space="preserve">Inconsistent campaign types — the same campaign name appearing under multiple campaign_type values across different rows. Found in 21 Google Ads campaigns in the sample data.</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3.6  Thin-Sample Campaign Handling</w:t>
      </w:r>
    </w:p>
    <w:p>
      <w:pPr>
        <w:spacing w:after="120" w:before="80"/>
      </w:pPr>
      <w:r>
        <w:rPr>
          <w:rFonts w:ascii="Arial" w:cs="Arial" w:eastAsia="Arial" w:hAnsi="Arial"/>
          <w:color w:val="000000"/>
          <w:sz w:val="22"/>
          <w:szCs w:val="22"/>
        </w:rPr>
        <w:t xml:space="preserve">A campaign with less than $50 of total historical spend does not have enough data to compute a statistically meaningful ROAS. Such campaigns are flagged as 'insufficient_data' in the output. They are excluded from anomaly detection baselines (so a $3-spend test campaign cannot distort what counts as 'normal' for a $40,000 active campaign) but are still reported in predictions.csv for transparency.</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4. Model Selection and the Pickle Artifact</w:t>
      </w:r>
    </w:p>
    <w:p>
      <w:pPr>
        <w:pStyle w:val="Heading2"/>
        <w:spacing w:after="120" w:before="240"/>
      </w:pPr>
      <w:r>
        <w:rPr>
          <w:rFonts w:ascii="Arial" w:cs="Arial" w:eastAsia="Arial" w:hAnsi="Arial"/>
          <w:b/>
          <w:bCs/>
          <w:color w:val="2d3748"/>
          <w:sz w:val="26"/>
          <w:szCs w:val="26"/>
        </w:rPr>
        <w:t xml:space="preserve">4.1  Why Not a Supervised ML Model?</w:t>
      </w:r>
    </w:p>
    <w:p>
      <w:pPr>
        <w:spacing w:after="120" w:before="80"/>
      </w:pPr>
      <w:r>
        <w:rPr>
          <w:rFonts w:ascii="Arial" w:cs="Arial" w:eastAsia="Arial" w:hAnsi="Arial"/>
          <w:color w:val="000000"/>
          <w:sz w:val="22"/>
          <w:szCs w:val="22"/>
        </w:rPr>
        <w:t xml:space="preserve">Standard supervised regression models (XGBoost, LightGBM, linear regression) require a labelled training set: rows of features with a known target outcome. In this forecasting problem, we are predicting aggregate revenue for a future budget — a quantity that does not exist in the historical data in a form that can be directly regressed against. Building a supervised model would require constructing proxy targets from lagged windows, which introduces additional assumptions and tuning decisions without a clear accuracy benchmark.</w:t>
      </w:r>
    </w:p>
    <w:p>
      <w:pPr>
        <w:spacing w:after="80" w:before="80"/>
      </w:pPr>
      <w:r>
        <w:t xml:space="preserve"/>
      </w:r>
    </w:p>
    <w:p>
      <w:pPr>
        <w:spacing w:after="120" w:before="80"/>
      </w:pPr>
      <w:r>
        <w:rPr>
          <w:rFonts w:ascii="Arial" w:cs="Arial" w:eastAsia="Arial" w:hAnsi="Arial"/>
          <w:color w:val="000000"/>
          <w:sz w:val="22"/>
          <w:szCs w:val="22"/>
        </w:rPr>
        <w:t xml:space="preserve">A probabilistic statistical model is better suited to this problem: it directly models the distribution of future outcomes from the observed distribution of historical ROAS, rather than trying to learn a mapping function from features to a point estimate.</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4.2  The Pickle Artifact</w:t>
      </w:r>
    </w:p>
    <w:p>
      <w:pPr>
        <w:spacing w:after="120" w:before="80"/>
      </w:pPr>
      <w:r>
        <w:rPr>
          <w:rFonts w:ascii="Arial" w:cs="Arial" w:eastAsia="Arial" w:hAnsi="Arial"/>
          <w:color w:val="000000"/>
          <w:sz w:val="22"/>
          <w:szCs w:val="22"/>
        </w:rPr>
        <w:t xml:space="preserve">The pickle/model.pkl file contains a dictionary with three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version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Version identifier for the model artifact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trained_on_rows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Number of clean rows the priors were fitted from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channel_stats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A ChannelStats object per channel, each containing: avg_roas (spend-weighted), std_roas (spend-weighted standard deviation), trend_pct (first-half vs second-half trend), plus campaign-type and campaign-level breakdowns</w:t>
            </w:r>
          </w:p>
        </w:tc>
      </w:tr>
    </w:tbl>
    <w:p>
      <w:pPr>
        <w:spacing w:after="80" w:before="80"/>
      </w:pPr>
      <w:r>
        <w:t xml:space="preserve"/>
      </w:r>
    </w:p>
    <w:p>
      <w:pPr>
        <w:spacing w:after="120" w:before="80"/>
      </w:pPr>
      <w:r>
        <w:rPr>
          <w:rFonts w:ascii="Arial" w:cs="Arial" w:eastAsia="Arial" w:hAnsi="Arial"/>
          <w:color w:val="000000"/>
          <w:sz w:val="22"/>
          <w:szCs w:val="22"/>
        </w:rPr>
        <w:t xml:space="preserve">This artifact serves two purposes in predict.py. First, it is loaded and logged for audit trail visibility. Second, it provides fallback priors: if a channel in the held-out test data has no rows or insufficient spend to compute reliable statistics on its own, the pipeline uses the channel's trained prior rather than an arbitrary constant. This makes the pipeline robust to partial or missing channel data in the test set.</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5.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c>
          <w:tcPr>
            <w:tcW w:type="dxa" w:w="312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c>
          <w:tcPr>
            <w:tcW w:type="dxa" w:w="312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Risk if Wrong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Historical ROAS is predictive of future 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Standard industry assumption for short-horizon forecasts. Agencies routinely plan budgets from trailing 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If a major creative or audience change occurred at the end of the historical window, the forecast will understate or overstate performance.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ROAS follows a roughly normal distribution around its historical mean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Month-to-month ROAS variation in the sample data is approximately symmetric. The normal approximation is standard in Monte Carlo financial modelling.</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Heavy-tailed events (viral campaigns, algorithm changes) are underrepresented. P90 may be too conservative.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Attribution data is the source of truth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Explicitly required by the challenge brief: 'Existing attribution should be treated as the source of truth.'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Attribution discrepancies across platforms (view-through vs click-through) can double-count conversions.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GA4 and Shopify data are not required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Confirmed in Q&amp;A session: only Google/Meta/Bing ad platform data is required.</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Session-level and order-level data could improve AOV and CVR forecasts if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Meta conversion column is a revenue proxy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Meta's raw export contains no separate revenue field. The 'conversion' column has fractional values consistent with value attribution, not integer counts.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If the column is actually a count and revenue is not tracked in the export, Meta ROAS will be significantly overstated.</w:t>
            </w:r>
          </w:p>
        </w:tc>
      </w:tr>
    </w:tbl>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6. Limitations</w:t>
      </w:r>
    </w:p>
    <w:p>
      <w:pPr>
        <w:pStyle w:val="ListParagraph"/>
        <w:numPr>
          <w:ilvl w:val="0"/>
          <w:numId w:val="2"/>
        </w:numPr>
        <w:spacing w:after="40" w:before="40"/>
      </w:pPr>
      <w:r>
        <w:rPr>
          <w:rFonts w:ascii="Arial" w:cs="Arial" w:eastAsia="Arial" w:hAnsi="Arial"/>
          <w:color w:val="000000"/>
          <w:sz w:val="22"/>
          <w:szCs w:val="22"/>
        </w:rPr>
        <w:t xml:space="preserve">No cross-channel interaction effects: the model treats each channel as independent. In reality, a Meta retargeting campaign's performance depends partly on the top-of-funnel volume that Google Search is generating.</w:t>
      </w:r>
    </w:p>
    <w:p>
      <w:pPr>
        <w:pStyle w:val="ListParagraph"/>
        <w:numPr>
          <w:ilvl w:val="0"/>
          <w:numId w:val="2"/>
        </w:numPr>
        <w:spacing w:after="40" w:before="40"/>
      </w:pPr>
      <w:r>
        <w:rPr>
          <w:rFonts w:ascii="Arial" w:cs="Arial" w:eastAsia="Arial" w:hAnsi="Arial"/>
          <w:color w:val="000000"/>
          <w:sz w:val="22"/>
          <w:szCs w:val="22"/>
        </w:rPr>
        <w:t xml:space="preserve">No external signals: macro events (holidays, competitor activity, economic shifts) are not modelled. The forecast assumes the future environment resembles the historical one.</w:t>
      </w:r>
    </w:p>
    <w:p>
      <w:pPr>
        <w:pStyle w:val="ListParagraph"/>
        <w:numPr>
          <w:ilvl w:val="0"/>
          <w:numId w:val="2"/>
        </w:numPr>
        <w:spacing w:after="40" w:before="40"/>
      </w:pPr>
      <w:r>
        <w:rPr>
          <w:rFonts w:ascii="Arial" w:cs="Arial" w:eastAsia="Arial" w:hAnsi="Arial"/>
          <w:color w:val="000000"/>
          <w:sz w:val="22"/>
          <w:szCs w:val="22"/>
        </w:rPr>
        <w:t xml:space="preserve">Short-history channels are uncertain: MS Ads in the sample data has a very wide standard deviation (8.7x), producing a wide confidence band. This is honest — there is genuine uncertainty — but it can appear alarming. More historical data would narrow it.</w:t>
      </w:r>
    </w:p>
    <w:p>
      <w:pPr>
        <w:pStyle w:val="ListParagraph"/>
        <w:numPr>
          <w:ilvl w:val="0"/>
          <w:numId w:val="2"/>
        </w:numPr>
        <w:spacing w:after="40" w:before="40"/>
      </w:pPr>
      <w:r>
        <w:rPr>
          <w:rFonts w:ascii="Arial" w:cs="Arial" w:eastAsia="Arial" w:hAnsi="Arial"/>
          <w:color w:val="000000"/>
          <w:sz w:val="22"/>
          <w:szCs w:val="22"/>
        </w:rPr>
        <w:t xml:space="preserve">Budget scaling is linear: projecting a 60-day forecast by doubling the 30-day budget assumes no diminishing returns to spend. Real CPCs tend to rise as budgets grow.</w:t>
      </w:r>
    </w:p>
    <w:p>
      <w:pPr>
        <w:pStyle w:val="ListParagraph"/>
        <w:numPr>
          <w:ilvl w:val="0"/>
          <w:numId w:val="2"/>
        </w:numPr>
        <w:spacing w:after="40" w:before="40"/>
      </w:pPr>
      <w:r>
        <w:rPr>
          <w:rFonts w:ascii="Arial" w:cs="Arial" w:eastAsia="Arial" w:hAnsi="Arial"/>
          <w:color w:val="000000"/>
          <w:sz w:val="22"/>
          <w:szCs w:val="22"/>
        </w:rPr>
        <w:t xml:space="preserve">Output schema is a placeholder: the column format in predictions.csv will be updated the moment the official schema is confirmed by the organizers.</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7. AI Integration Strategy</w:t>
      </w:r>
    </w:p>
    <w:p>
      <w:pPr>
        <w:pStyle w:val="Heading2"/>
        <w:spacing w:after="120" w:before="240"/>
      </w:pPr>
      <w:r>
        <w:rPr>
          <w:rFonts w:ascii="Arial" w:cs="Arial" w:eastAsia="Arial" w:hAnsi="Arial"/>
          <w:b/>
          <w:bCs/>
          <w:color w:val="2d3748"/>
          <w:sz w:val="26"/>
          <w:szCs w:val="26"/>
        </w:rPr>
        <w:t xml:space="preserve">7.1  Role of the LLM</w:t>
      </w:r>
    </w:p>
    <w:p>
      <w:pPr>
        <w:spacing w:after="120" w:before="80"/>
      </w:pPr>
      <w:r>
        <w:rPr>
          <w:rFonts w:ascii="Arial" w:cs="Arial" w:eastAsia="Arial" w:hAnsi="Arial"/>
          <w:color w:val="000000"/>
          <w:sz w:val="22"/>
          <w:szCs w:val="22"/>
        </w:rPr>
        <w:t xml:space="preserve">The Claude API (claude-sonnet-4-6) is used for four distinct analytical tasks, each with a purpose-built prompt that injects the actual computed forecast numbers rather than asking the model to reason from scratch: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Executive Summary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5-sentence board-level brief: revenue range, strongest/weakest channel, P10 trigger, one specific budget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Anomaly Interpretation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Causal reasoning about statistically detected outlier campaigns — likely causes, compounding trends, operational risks.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Budget Reallocation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One specific reallocation recommendation with exact dollar amounts and projected ROAS improvement.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Risk Assessment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Top 3 operational risks that could push actual revenue below P10, with specific triggers and mitigations.</w:t>
            </w:r>
          </w:p>
        </w:tc>
      </w:tr>
    </w:tbl>
    <w:p>
      <w:pPr>
        <w:spacing w:after="80" w:before="80"/>
      </w:pPr>
      <w:r>
        <w:t xml:space="preserve"/>
      </w:r>
    </w:p>
    <w:p>
      <w:pPr>
        <w:pStyle w:val="Heading2"/>
        <w:spacing w:after="120" w:before="240"/>
      </w:pPr>
      <w:r>
        <w:rPr>
          <w:rFonts w:ascii="Arial" w:cs="Arial" w:eastAsia="Arial" w:hAnsi="Arial"/>
          <w:b/>
          <w:bCs/>
          <w:color w:val="2d3748"/>
          <w:sz w:val="26"/>
          <w:szCs w:val="26"/>
        </w:rPr>
        <w:t xml:space="preserve">7.2  Prompt Design Principles</w:t>
      </w:r>
    </w:p>
    <w:p>
      <w:pPr>
        <w:pStyle w:val="ListParagraph"/>
        <w:numPr>
          <w:ilvl w:val="0"/>
          <w:numId w:val="2"/>
        </w:numPr>
        <w:spacing w:after="40" w:before="40"/>
      </w:pPr>
      <w:r>
        <w:rPr>
          <w:rFonts w:ascii="Arial" w:cs="Arial" w:eastAsia="Arial" w:hAnsi="Arial"/>
          <w:color w:val="000000"/>
          <w:sz w:val="22"/>
          <w:szCs w:val="22"/>
        </w:rPr>
        <w:t xml:space="preserve">All prompts inject real computed numbers (ROAS, budgets, P10/P50/P90, anomaly details) — the LLM interprets data, it does not generate it.</w:t>
      </w:r>
    </w:p>
    <w:p>
      <w:pPr>
        <w:pStyle w:val="ListParagraph"/>
        <w:numPr>
          <w:ilvl w:val="0"/>
          <w:numId w:val="2"/>
        </w:numPr>
        <w:spacing w:after="40" w:before="40"/>
      </w:pPr>
      <w:r>
        <w:rPr>
          <w:rFonts w:ascii="Arial" w:cs="Arial" w:eastAsia="Arial" w:hAnsi="Arial"/>
          <w:color w:val="000000"/>
          <w:sz w:val="22"/>
          <w:szCs w:val="22"/>
        </w:rPr>
        <w:t xml:space="preserve">Each prompt constrains the output format (e.g. 'exactly 5 sentences', '3 sentences only') to prevent verbose or vague responses that are hard to act on.</w:t>
      </w:r>
    </w:p>
    <w:p>
      <w:pPr>
        <w:pStyle w:val="ListParagraph"/>
        <w:numPr>
          <w:ilvl w:val="0"/>
          <w:numId w:val="2"/>
        </w:numPr>
        <w:spacing w:after="40" w:before="40"/>
      </w:pPr>
      <w:r>
        <w:rPr>
          <w:rFonts w:ascii="Arial" w:cs="Arial" w:eastAsia="Arial" w:hAnsi="Arial"/>
          <w:color w:val="000000"/>
          <w:sz w:val="22"/>
          <w:szCs w:val="22"/>
        </w:rPr>
        <w:t xml:space="preserve">Role framing is used to set the analytical perspective: 'You are a senior ecommerce performance analyst writing a board-level brief.'</w:t>
      </w:r>
    </w:p>
    <w:p>
      <w:pPr>
        <w:pStyle w:val="ListParagraph"/>
        <w:numPr>
          <w:ilvl w:val="0"/>
          <w:numId w:val="2"/>
        </w:numPr>
        <w:spacing w:after="40" w:before="40"/>
      </w:pPr>
      <w:r>
        <w:rPr>
          <w:rFonts w:ascii="Arial" w:cs="Arial" w:eastAsia="Arial" w:hAnsi="Arial"/>
          <w:color w:val="000000"/>
          <w:sz w:val="22"/>
          <w:szCs w:val="22"/>
        </w:rPr>
        <w:t xml:space="preserve">Prompts are independent — each analysis can be regenerated individually without re-running the full forecast.</w:t>
      </w:r>
    </w:p>
    <w:p>
      <w:pPr>
        <w:spacing w:after="80" w:before="80"/>
      </w:pPr>
      <w:r>
        <w:t xml:space="preserve"/>
      </w:r>
    </w:p>
    <w:p>
      <w:pPr>
        <w:pStyle w:val="Heading2"/>
        <w:spacing w:after="120" w:before="240"/>
      </w:pPr>
      <w:r>
        <w:rPr>
          <w:rFonts w:ascii="Arial" w:cs="Arial" w:eastAsia="Arial" w:hAnsi="Arial"/>
          <w:b/>
          <w:bCs/>
          <w:color w:val="2d3748"/>
          <w:sz w:val="26"/>
          <w:szCs w:val="26"/>
        </w:rPr>
        <w:t xml:space="preserve">7.3  Offline / Online Split</w:t>
      </w:r>
    </w:p>
    <w:p>
      <w:pPr>
        <w:spacing w:after="120" w:before="80"/>
      </w:pPr>
      <w:r>
        <w:rPr>
          <w:rFonts w:ascii="Arial" w:cs="Arial" w:eastAsia="Arial" w:hAnsi="Arial"/>
          <w:color w:val="000000"/>
          <w:sz w:val="22"/>
          <w:szCs w:val="22"/>
        </w:rPr>
        <w:t xml:space="preserve">The scored pipeline (run.sh) makes no network calls. All LLM-generated analysis is produced exclusively through the interactive RevenueIQ browser application. This satisfies the submission contract's no-network-at-runtime requirement while still demonstrating meaningful AI integration through the demo workflow.</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8. Architecture Overview</w:t>
      </w:r>
    </w:p>
    <w:p>
      <w:pPr>
        <w:pStyle w:val="Heading2"/>
        <w:spacing w:after="120" w:before="240"/>
      </w:pPr>
      <w:r>
        <w:rPr>
          <w:rFonts w:ascii="Arial" w:cs="Arial" w:eastAsia="Arial" w:hAnsi="Arial"/>
          <w:b/>
          <w:bCs/>
          <w:color w:val="2d3748"/>
          <w:sz w:val="26"/>
          <w:szCs w:val="26"/>
        </w:rPr>
        <w:t xml:space="preserve">8.1  Offline Scoring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454b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Entry 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run.sh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Orchestrates the two-stage pipeline. Accepts DATA_DIR, MODEL_PATH, OUTPUT_PATH as positional arguments with sensible defaults.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Stage 1</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src/generate_features.py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Reads every CSV from data/, auto-detects platform by column signature, normalizes to canonical schema, validates campaign consistency, applies cleaning rules, writes features.parquet.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Stage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src/predict.py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Loads pickle/model.pkl, reads features.parquet, derives budgets (from data/budget.csv if present, else from recent spend run-rate), runs Monte Carlo for 30/60/90-day windows, writes predictions.csv.</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Core library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src/forecast_lib.py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Shared logic used by both stages: normalizers, cleaning, validation, spend-weighted stats engine, Monte Carlo simulation. No UI dependencies.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Training (one-time)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src/train_model.py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Fits channel-level priors from our historical data and serialises them to pickle/model.pkl. Run once before submission; not executed at test time.</w:t>
            </w:r>
          </w:p>
        </w:tc>
      </w:tr>
    </w:tbl>
    <w:p>
      <w:pPr>
        <w:spacing w:after="80" w:before="80"/>
      </w:pPr>
      <w:r>
        <w:t xml:space="preserve"/>
      </w:r>
    </w:p>
    <w:p>
      <w:pPr>
        <w:pStyle w:val="Heading2"/>
        <w:spacing w:after="120" w:before="240"/>
      </w:pPr>
      <w:r>
        <w:rPr>
          <w:rFonts w:ascii="Arial" w:cs="Arial" w:eastAsia="Arial" w:hAnsi="Arial"/>
          <w:b/>
          <w:bCs/>
          <w:color w:val="2d3748"/>
          <w:sz w:val="26"/>
          <w:szCs w:val="26"/>
        </w:rPr>
        <w:t xml:space="preserve">8.2  Interactive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Frontend</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React (JSX), Recharts for visualisations, Tailwind-compatible inline styles. Single-file component (App.jsx), deployable as a static site or run locally.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AI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Direct browser-to-API calls to Anthropic claude-sonnet-4-6. Four independent analysis blocks, each auto-running on forecast generation with manual refresh option.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Data Ingestion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Three upload modes: separate per-platform files (each auto-normalized), single merged file, or built-in demo dataset. Platform detection by column signature.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2"/>
                <w:szCs w:val="22"/>
              </w:rPr>
              <w:t xml:space="preserve">Forecasting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Same Monte Carlo engine as the Python pipeline, re-implemented in JavaScript to run entirely client-side — no backend server required.</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00000"/>
                <w:sz w:val="22"/>
                <w:szCs w:val="22"/>
              </w:rPr>
              <w:t xml:space="preserve">Scenario Simulation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2"/>
                <w:szCs w:val="22"/>
              </w:rPr>
              <w:t xml:space="preserve">Budget slider (50%-200% of plan) and four preset scenarios (-20%, Planned, +20%, +40%). Re-runs Monte Carlo on every slider change.</w:t>
            </w:r>
          </w:p>
        </w:tc>
      </w:tr>
    </w:tbl>
    <w:p>
      <w:pPr>
        <w:spacing w:after="80" w:before="80"/>
      </w:pPr>
      <w:r>
        <w:t xml:space="preserve"/>
      </w:r>
    </w:p>
    <w:p>
      <w:pPr>
        <w:pStyle w:val="Heading2"/>
        <w:spacing w:after="120" w:before="240"/>
      </w:pPr>
      <w:r>
        <w:rPr>
          <w:rFonts w:ascii="Arial" w:cs="Arial" w:eastAsia="Arial" w:hAnsi="Arial"/>
          <w:b/>
          <w:bCs/>
          <w:color w:val="2d3748"/>
          <w:sz w:val="26"/>
          <w:szCs w:val="26"/>
        </w:rPr>
        <w:t xml:space="preserve">8.3  Data Flow</w:t>
      </w:r>
    </w:p>
    <w:p>
      <w:pPr>
        <w:spacing w:after="120" w:before="80"/>
      </w:pPr>
      <w:r>
        <w:rPr>
          <w:rFonts w:ascii="Arial" w:cs="Arial" w:eastAsia="Arial" w:hAnsi="Arial"/>
          <w:color w:val="000000"/>
          <w:sz w:val="22"/>
          <w:szCs w:val="22"/>
        </w:rPr>
        <w:t xml:space="preserve">Interactive app:  CSV Upload → Platform Detection → Normalization → Cleaning → Stats Engine → Monte Carlo → Charts + AI Prompts → Claude API → Displayed Insights</w:t>
      </w:r>
    </w:p>
    <w:p>
      <w:pPr>
        <w:spacing w:after="80" w:before="80"/>
      </w:pPr>
      <w:r>
        <w:t xml:space="preserve"/>
      </w:r>
    </w:p>
    <w:p>
      <w:pPr>
        <w:spacing w:after="120" w:before="80"/>
      </w:pPr>
      <w:r>
        <w:rPr>
          <w:rFonts w:ascii="Arial" w:cs="Arial" w:eastAsia="Arial" w:hAnsi="Arial"/>
          <w:color w:val="000000"/>
          <w:sz w:val="22"/>
          <w:szCs w:val="22"/>
        </w:rPr>
        <w:t xml:space="preserve">Scored pipeline:  data/*.csv → generate_features.py → features.parquet → predict.py + model.pkl → predictions.csv</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9. Reproducibility</w:t>
      </w:r>
    </w:p>
    <w:p>
      <w:pPr>
        <w:pStyle w:val="ListParagraph"/>
        <w:numPr>
          <w:ilvl w:val="0"/>
          <w:numId w:val="2"/>
        </w:numPr>
        <w:spacing w:after="40" w:before="40"/>
      </w:pPr>
      <w:r>
        <w:rPr>
          <w:rFonts w:ascii="Arial" w:cs="Arial" w:eastAsia="Arial" w:hAnsi="Arial"/>
          <w:color w:val="000000"/>
          <w:sz w:val="22"/>
          <w:szCs w:val="22"/>
        </w:rPr>
        <w:t xml:space="preserve">Monte Carlo RNG is seeded with seed=42 via numpy.random.default_rng(42). Identical inputs produce identical outputs on every run.</w:t>
      </w:r>
    </w:p>
    <w:p>
      <w:pPr>
        <w:pStyle w:val="ListParagraph"/>
        <w:numPr>
          <w:ilvl w:val="0"/>
          <w:numId w:val="2"/>
        </w:numPr>
        <w:spacing w:after="40" w:before="40"/>
      </w:pPr>
      <w:r>
        <w:rPr>
          <w:rFonts w:ascii="Arial" w:cs="Arial" w:eastAsia="Arial" w:hAnsi="Arial"/>
          <w:color w:val="000000"/>
          <w:sz w:val="22"/>
          <w:szCs w:val="22"/>
        </w:rPr>
        <w:t xml:space="preserve">All dependency versions are pinned in requirements.txt (pandas==2.2.2, numpy==1.26.4, pyarrow==16.1.0).</w:t>
      </w:r>
    </w:p>
    <w:p>
      <w:pPr>
        <w:pStyle w:val="ListParagraph"/>
        <w:numPr>
          <w:ilvl w:val="0"/>
          <w:numId w:val="2"/>
        </w:numPr>
        <w:spacing w:after="40" w:before="40"/>
      </w:pPr>
      <w:r>
        <w:rPr>
          <w:rFonts w:ascii="Arial" w:cs="Arial" w:eastAsia="Arial" w:hAnsi="Arial"/>
          <w:color w:val="000000"/>
          <w:sz w:val="22"/>
          <w:szCs w:val="22"/>
        </w:rPr>
        <w:t xml:space="preserve">No absolute paths anywhere in the codebase — all paths are relative to the arguments passed to run.sh.</w:t>
      </w:r>
    </w:p>
    <w:p>
      <w:pPr>
        <w:pStyle w:val="ListParagraph"/>
        <w:numPr>
          <w:ilvl w:val="0"/>
          <w:numId w:val="2"/>
        </w:numPr>
        <w:spacing w:after="40" w:before="40"/>
      </w:pPr>
      <w:r>
        <w:rPr>
          <w:rFonts w:ascii="Arial" w:cs="Arial" w:eastAsia="Arial" w:hAnsi="Arial"/>
          <w:color w:val="000000"/>
          <w:sz w:val="22"/>
          <w:szCs w:val="22"/>
        </w:rPr>
        <w:t xml:space="preserve">No interactive prompts. No network calls at runtime.</w:t>
      </w:r>
    </w:p>
    <w:p>
      <w:pPr>
        <w:pStyle w:val="ListParagraph"/>
        <w:numPr>
          <w:ilvl w:val="0"/>
          <w:numId w:val="2"/>
        </w:numPr>
        <w:spacing w:after="40" w:before="40"/>
      </w:pPr>
      <w:r>
        <w:rPr>
          <w:rFonts w:ascii="Arial" w:cs="Arial" w:eastAsia="Arial" w:hAnsi="Arial"/>
          <w:color w:val="000000"/>
          <w:sz w:val="22"/>
          <w:szCs w:val="22"/>
        </w:rPr>
        <w:t xml:space="preserve">Python version: 3.12. Tested on Linux (Ubuntu 24).</w:t>
      </w:r>
    </w:p>
    <w:p>
      <w:pPr>
        <w:spacing w:after="80" w:before="80"/>
      </w:pPr>
      <w:r>
        <w:t xml:space="preserve"/>
      </w:r>
    </w:p>
    <w:p>
      <w:pPr>
        <w:pStyle w:val="Heading1"/>
        <w:pBdr>
          <w:bottom w:val="single" w:color="1e6fef" w:sz="6" w:space="4"/>
        </w:pBdr>
        <w:spacing w:after="160" w:before="320"/>
      </w:pPr>
      <w:r>
        <w:rPr>
          <w:rFonts w:ascii="Arial" w:cs="Arial" w:eastAsia="Arial" w:hAnsi="Arial"/>
          <w:b/>
          <w:bCs/>
          <w:color w:val="1454b8"/>
          <w:sz w:val="32"/>
          <w:szCs w:val="32"/>
        </w:rPr>
        <w:t xml:space="preserve">10. Future Improvements</w:t>
      </w:r>
    </w:p>
    <w:p>
      <w:pPr>
        <w:pStyle w:val="ListParagraph"/>
        <w:numPr>
          <w:ilvl w:val="0"/>
          <w:numId w:val="2"/>
        </w:numPr>
        <w:spacing w:after="40" w:before="40"/>
      </w:pPr>
      <w:r>
        <w:rPr>
          <w:rFonts w:ascii="Arial" w:cs="Arial" w:eastAsia="Arial" w:hAnsi="Arial"/>
          <w:color w:val="000000"/>
          <w:sz w:val="22"/>
          <w:szCs w:val="22"/>
        </w:rPr>
        <w:t xml:space="preserve">Bayesian updating: as new weeks of data arrive, update the channel priors incrementally rather than re-fitting from scratch.</w:t>
      </w:r>
    </w:p>
    <w:p>
      <w:pPr>
        <w:pStyle w:val="ListParagraph"/>
        <w:numPr>
          <w:ilvl w:val="0"/>
          <w:numId w:val="2"/>
        </w:numPr>
        <w:spacing w:after="40" w:before="40"/>
      </w:pPr>
      <w:r>
        <w:rPr>
          <w:rFonts w:ascii="Arial" w:cs="Arial" w:eastAsia="Arial" w:hAnsi="Arial"/>
          <w:color w:val="000000"/>
          <w:sz w:val="22"/>
          <w:szCs w:val="22"/>
        </w:rPr>
        <w:t xml:space="preserve">Diminishing returns modelling: fit a logarithmic spend-response curve per channel so that large budget increases project sub-linear revenue gains, which is more realistic.</w:t>
      </w:r>
    </w:p>
    <w:p>
      <w:pPr>
        <w:pStyle w:val="ListParagraph"/>
        <w:numPr>
          <w:ilvl w:val="0"/>
          <w:numId w:val="2"/>
        </w:numPr>
        <w:spacing w:after="40" w:before="40"/>
      </w:pPr>
      <w:r>
        <w:rPr>
          <w:rFonts w:ascii="Arial" w:cs="Arial" w:eastAsia="Arial" w:hAnsi="Arial"/>
          <w:color w:val="000000"/>
          <w:sz w:val="22"/>
          <w:szCs w:val="22"/>
        </w:rPr>
        <w:t xml:space="preserve">Cross-channel interaction terms: model the lift that upper-funnel Google/Meta spend provides to brand search and direct conversion campaigns.</w:t>
      </w:r>
    </w:p>
    <w:p>
      <w:pPr>
        <w:pStyle w:val="ListParagraph"/>
        <w:numPr>
          <w:ilvl w:val="0"/>
          <w:numId w:val="2"/>
        </w:numPr>
        <w:spacing w:after="40" w:before="40"/>
      </w:pPr>
      <w:r>
        <w:rPr>
          <w:rFonts w:ascii="Arial" w:cs="Arial" w:eastAsia="Arial" w:hAnsi="Arial"/>
          <w:color w:val="000000"/>
          <w:sz w:val="22"/>
          <w:szCs w:val="22"/>
        </w:rPr>
        <w:t xml:space="preserve">Proper seasonality decomposition: use STL decomposition on monthly ROAS series to separate trend, seasonality, and residual — currently handled with a simplified sinusoidal approximation.</w:t>
      </w:r>
    </w:p>
    <w:p>
      <w:pPr>
        <w:pStyle w:val="ListParagraph"/>
        <w:numPr>
          <w:ilvl w:val="0"/>
          <w:numId w:val="2"/>
        </w:numPr>
        <w:spacing w:after="40" w:before="40"/>
      </w:pPr>
      <w:r>
        <w:rPr>
          <w:rFonts w:ascii="Arial" w:cs="Arial" w:eastAsia="Arial" w:hAnsi="Arial"/>
          <w:color w:val="000000"/>
          <w:sz w:val="22"/>
          <w:szCs w:val="22"/>
        </w:rPr>
        <w:t xml:space="preserve">Confirmed output schema: update write_predictions() once the official predictions.csv column format is confirmed by the organizers.</w:t>
      </w:r>
    </w:p>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8"/>
        <w:szCs w:val="18"/>
      </w:rPr>
      <w:t xml:space="preserve">AIgnition 3.0 — Technical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454b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d374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2026-06-30T21:52:30.033Z</dcterms:created>
  <dcterms:modified xsi:type="dcterms:W3CDTF">2026-06-30T21:52:30.033Z</dcterms:modified>
</cp:coreProperties>
</file>

<file path=docProps/custom.xml><?xml version="1.0" encoding="utf-8"?>
<Properties xmlns="http://schemas.openxmlformats.org/officeDocument/2006/custom-properties" xmlns:vt="http://schemas.openxmlformats.org/officeDocument/2006/docPropsVTypes"/>
</file>