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ind w:firstLine="283"/>
      </w:pPr>
      <w:r>
        <w:rPr>
          <w:b/>
        </w:rPr>
        <w:t>“D’une secrète horreur je me sens frissonner.” Lectures d’</w:t>
      </w:r>
      <w:r>
        <w:rPr>
          <w:b/>
          <w:i/>
        </w:rPr>
        <w:t>Iphigénie</w:t>
      </w:r>
      <w:r>
        <w:rPr>
          <w:b/>
        </w:rPr>
        <w:t>.</w:t>
      </w:r>
    </w:p>
    <w:p>
      <w:pPr>
        <w:ind w:firstLine="283"/>
      </w:pPr>
      <w:r>
        <w:t xml:space="preserve">Le 18 août 1674, dans les jardins de Versailles, devant la plus brillante cour d’Europe, Racine donna à voir et à entendre l’une des plus inquiétantes tragédies de son théâtre. Rien, en apparence, n’était moins propre à l’horreur que le cadre somptueux de cette fête royale, donnée à l’occasion de la conquête de la Franche-Comté : les allées, les architectures éphémères, les perspectives, les musiques, les illuminations, tout semblait destiné à célébrer la puissance du monarque, l’ordre des arts et la magnificence d’un monde où le spectacle devait conduire à l’admiration. Or c’est précisément là, dans cet écrin de splendeur, que Racine fait surgir une Grèce primitive, violente, livrée aux vents absents, aux dieux invisibles, à la pression d’une armée impatiente, à la parole d’un prêtre et au sang d’une jeune fille. Au coeur des réjouissances, Racine fait voir la logique sacrificielle, </w:t>
      </w:r>
      <w:r>
        <w:rPr>
          <w:i/>
        </w:rPr>
        <w:t>tragique</w:t>
      </w:r>
      <w:r>
        <w:t>, qui préside aux guerres et aux conflits</w:t>
      </w:r>
    </w:p>
    <w:p>
      <w:pPr>
        <w:ind w:firstLine="283"/>
      </w:pPr>
      <w:r>
        <w:rPr>
          <w:i/>
        </w:rPr>
        <w:t>Iphigénie</w:t>
      </w:r>
      <w:r>
        <w:t xml:space="preserve"> demeure ainsi l’une des tragédies les plus dérangeantes de Racine. Elle n’a ni l’évidence lumineuse de </w:t>
      </w:r>
      <w:r>
        <w:rPr>
          <w:i/>
        </w:rPr>
        <w:t>Bérénice</w:t>
      </w:r>
      <w:r>
        <w:t xml:space="preserve">, ni la noirceur immédiatement reconnaissable de </w:t>
      </w:r>
      <w:r>
        <w:rPr>
          <w:i/>
        </w:rPr>
        <w:t>Britannicus</w:t>
      </w:r>
      <w:r>
        <w:t xml:space="preserve">, ni l’abîme passionnel de </w:t>
      </w:r>
      <w:r>
        <w:rPr>
          <w:i/>
        </w:rPr>
        <w:t>Phèdre</w:t>
      </w:r>
      <w:r>
        <w:t>, dont elle prépare pourtant plusieurs vertiges. Elle se tient dans une zone moins confortable : celle où la terreur ne vient pas seulement de la fureur des passions, mais de leur alliance avec les discours qui les justifient. Chez les Atrides, aucun sentiment ne saurait demeurer pur. L’amour paternel s’égare dans l’ambition politique ; l’obéissance filiale se confond avec le consentement au sacrifice ; l’amour maternel se charge d’orgueil dynastique ; l’héroïsme amoureux d’Achille s’accommode d’aspirations brutales ; la souffrance sincère d’Ériphile se renverse en jalousie meurtrière ; la voix des dieux elle-même devient inséparable des médiations humaines qui la portent, l’interprètent ou l’instrumentalisent. La tragédie ne demande donc pas seulement si Iphigénie sera sacrifiée. Elle demande à quelles paroles, à quels récits, à quels prestiges, à quelles espérances, à quelles autorités les hommes consentent lorsqu’ils se préparent à tuer – en commençant leur œuvre de mort par la perte d’une jeune fille dont chacun connaît l’innocence.</w:t>
      </w:r>
    </w:p>
    <w:p>
      <w:pPr>
        <w:ind w:firstLine="283"/>
      </w:pPr>
      <w:r>
        <w:t>Telle est le spectacle d’horreur qui se déploie dans le parc de Versailles. Certes, le couteau du sacrificateur ne s’abat pas sous les yeux du public ; l’autel reste hors scène; le sang d’Ériphile ne nous parvient que par le récit d’Ulysse. Mais cette mise à distance ne rassure nullement. Au contraire, elle déplace l’effroi vers la parole. La tragédie est tout entière travaillée par ce paradoxe : ce qu’elle ne montre pas, elle le rend plus présent encore par les voix qui l’annoncent, le redoutent, le diffèrent, le commentent ou le reconfigurent. L’oracle, la confidence, le mensonge, le récit forment un réseau verbal qui tient lieu de machine tragique.</w:t>
      </w:r>
    </w:p>
    <w:p>
      <w:pPr>
        <w:ind w:firstLine="283"/>
      </w:pPr>
      <w:r>
        <w:t xml:space="preserve">C’est autour de cette intuition que s’organise le présent volume. Pour ce nouvel opus dédié à la célébration des anniversaires raciniens, il s’agit moins que jamais de proposer une commémoration pieuse, mais plutôt de ressaisir </w:t>
      </w:r>
      <w:r>
        <w:rPr>
          <w:i/>
        </w:rPr>
        <w:t>Iphigénie</w:t>
      </w:r>
      <w:r>
        <w:t xml:space="preserve"> comme une œuvre instable. Cette instabilité est d’abord chronologique, en cette année 1674 marquée par les rivalités dramaturgiques, par l’opposition entre théâtre parlé et tragédie en musique, et par les premiers prodromes de la querelle des Anciens et des Modernes. L’instabilité est aussi celle d’un </w:t>
      </w:r>
      <w:r>
        <w:t>tragique racinien qui hésite entre terreur et pitié, sacrifice et salut, innocence et culpabilité, héroïsme et compromission. L’instabilité est, également, rhétorique, dans cette pièce où la voix des dieux est si incertaine et si essentielle.</w:t>
      </w:r>
    </w:p>
    <w:p>
      <w:pPr>
        <w:ind w:firstLine="283"/>
      </w:pPr>
      <w:r>
        <w:t xml:space="preserve">Qu’on la lise depuis l’angle de l’année 1674, depuis ses sources grecques, depuis l’histoire des formes, depuis la théorie de la parole, depuis l’anthropologie du sacrifice ou depuis les devenirs européens et scéniques qu’elle a laissés, </w:t>
      </w:r>
      <w:r>
        <w:rPr>
          <w:i/>
        </w:rPr>
        <w:t>Iphigénie</w:t>
      </w:r>
      <w:r>
        <w:t xml:space="preserve"> oblige à penser ensemble la poétique et la morale. La pièce ne se contente pas de raconter une fable ancienne : aux dires mêmes du préfacier, la tragédie met en crise les conditions mêmes qui rendent un récit fabuleux supportable, et représentable. </w:t>
      </w:r>
      <w:r>
        <w:rPr>
          <w:i/>
        </w:rPr>
        <w:t>Iphigénie</w:t>
      </w:r>
      <w:r>
        <w:t xml:space="preserve"> est la tragédie de la “créance”. Pourquoi faut-il du sang pour que le vent se lève ? Pourquoi le salut d’une innocente exige-t-il la mort d’une autre jeune fille ? Pourquoi le dénouement heureux pose-t-il déjà une tache éternelle sur les victoires qui s’apprêtent ? Pourquoi les dieux ont-ils toujours soif ? Et pourquoi, au moment où il contribue à la célébration des conquêtes royales, alors qu’il est au faîte de sa gloire, Racine a-t-il cru bon de mettre ainsi à distance la fureur guerrière et d’en montrer la cherté ? </w:t>
      </w:r>
    </w:p>
    <w:p>
      <w:pPr>
        <w:ind w:firstLine="283"/>
      </w:pPr>
      <w:r>
        <w:t>Ces questions n’ont rien perdu de leur force. Elles expliquent la permanence d’</w:t>
      </w:r>
      <w:r>
        <w:rPr>
          <w:i/>
        </w:rPr>
        <w:t>Iphigénie</w:t>
      </w:r>
      <w:r>
        <w:t>, mais aussi la difficulté particulière que la pièce oppose à ses lecteurs, à ses interprètes et à ses metteurs en scène. Racine y tient ensemble des éléments que l’on aimerait séparer : la grandeur et l’abjection, la croyance et l’imposture, le sublime et le sordide. Le présent volume voudrait faire apparaître cette cohérence inquiète. Il suit quatre mouvements : d’abord l’année 1674 et le contexte de création ; ensuite les tragiques propres d’</w:t>
      </w:r>
      <w:r>
        <w:rPr>
          <w:i/>
        </w:rPr>
        <w:t>Iphigénie</w:t>
      </w:r>
      <w:r>
        <w:t xml:space="preserve"> ; puis les rhétoriques de la pièce, où la parole devient l’un des lieux essentiels de l’action ; enfin les devenirs de la tragédie, de ses premières traductions anglaises aux lectures de Voltaire et de Diderot. Une apostille ouvre ensuite vers </w:t>
      </w:r>
      <w:r>
        <w:rPr>
          <w:i/>
        </w:rPr>
        <w:t>Phèdre</w:t>
      </w:r>
      <w:r>
        <w:t>, comme vers le prochain rivage d’un cycle racinien que la pièce de 1674 annonce déjà ; l’entretien avec Stéphane Braunschweig ramène enfin le texte vers la scène contemporaine, où ses énigmes continuent de brûler.</w:t>
      </w:r>
    </w:p>
    <w:p>
      <w:pPr>
        <w:ind w:firstLine="283"/>
      </w:pPr>
      <w:r>
        <w:t>*</w:t>
      </w:r>
    </w:p>
    <w:p>
      <w:pPr>
        <w:ind w:firstLine="283"/>
      </w:pPr>
      <w:r>
        <w:t xml:space="preserve">La première partie du volume replace </w:t>
      </w:r>
      <w:r>
        <w:rPr>
          <w:i/>
        </w:rPr>
        <w:t>Iphigénie</w:t>
      </w:r>
      <w:r>
        <w:t xml:space="preserve"> dans l’épaisseur de son moment historique. L’année 1674 ne saurait être réduite à la seule création de la tragédie de Racine. Elle est marquée par une concurrence intense : Corneille fait donner une nouvelle tragédie, où il fait voir une manière toute nouvelle – personne ne sait que </w:t>
      </w:r>
      <w:r>
        <w:rPr>
          <w:i/>
        </w:rPr>
        <w:t>Suréna</w:t>
      </w:r>
      <w:r>
        <w:t xml:space="preserve"> sera son chant du cygne. Mais surtout, en 1674, la tragédie parlée se voit confrontée à la puissance montante du théâtre en musique. La faveur royale penche désormais vers des formes de spectacle total mêlant décor, danse, chant, machines et effets merveilleux. </w:t>
      </w:r>
    </w:p>
    <w:p>
      <w:pPr>
        <w:ind w:firstLine="283"/>
      </w:pPr>
      <w:r>
        <w:t>Bénédicte Louvat ouvre cette perspective en étudiant la place d’</w:t>
      </w:r>
      <w:r>
        <w:rPr>
          <w:i/>
        </w:rPr>
        <w:t>Iphigénie</w:t>
      </w:r>
      <w:r>
        <w:t xml:space="preserve"> dans le paysage théâtral et musical du milieu des années 1670. L’enjeu n’est pas seulement de rappeler que la pièce de Racine est contemporaine d’</w:t>
      </w:r>
      <w:r>
        <w:rPr>
          <w:i/>
        </w:rPr>
        <w:t>Alceste</w:t>
      </w:r>
      <w:r>
        <w:t xml:space="preserve"> de Quinault et Lully, ni qu’elle fut créée dans le cadre des divertissements de Versailles. Il s’agit de comprendre ce que cette situation fait à la pièce elle-même. </w:t>
      </w:r>
      <w:r>
        <w:rPr>
          <w:i/>
        </w:rPr>
        <w:t>Iphigénie</w:t>
      </w:r>
      <w:r>
        <w:t xml:space="preserve"> apparaît dans un moment où les formes spectaculaires fondées sur la musique, la machine et l’image imposent leur puissance d’attraction. La tragédie de Racine s’inscrit certes contre certaines séductions de l’opéra, comme en témoigne la préface, mais elle ne se définit pas par un simple refus du spectaculaire. Créée dans un dispositif de cour, dotée de décors, inscrite dans une fête royale, elle participe elle aussi d’une esthétique de l’événement. Elle intériorise pourtant le merveilleux, le déporte, le confie au récit plutôt qu’à </w:t>
      </w:r>
      <w:r>
        <w:t xml:space="preserve">la machine. Racine ne supprime pas entièrement Diane, les vents, le tonnerre ou l’horreur sacrée ; il les fait passer dans la parole d’Ulysse, dans cette hypotypose finale où le théâtre parlé rivalise avec les prestiges de l’image. La contribution de Bénédicte Louvat permet ainsi de nuancer l’opposition trop simple entre une tragédie racinienne purement verbale et un opéra livré aux séductions visuelles. </w:t>
      </w:r>
      <w:r>
        <w:rPr>
          <w:i/>
        </w:rPr>
        <w:t>Iphigénie</w:t>
      </w:r>
      <w:r>
        <w:t xml:space="preserve"> est peut-être, selon la formule de Christian Delmas, une « tragédie à machines rentrée » : une œuvre où le merveilleux n’est pas évacué, mais déplacé du plateau vers l’imagination du spectateur. Mais elle est surtout une “tragédie de combat”: la pièce dialogue avec les spectacles de son temps, non en s’opposant frontalement, mais en transportant leurs effets dans le régime propre de la parole tragique. C’est pourquoi le dénouement, si souvent interprété comme une protestation de vraisemblance contre la machine euripidienne ou opératique, gagne à être compris comme une solution dramaturgique plus complexe : le spectacle subsiste, mais il devient récit ; l’apparition divine subsiste, mais elle est filtrée par le regard incertain d’un soldat ; la fête versaillaise subsiste, mais elle se trouve traversée par une « sainte horreur » qui trouble la célébration.</w:t>
      </w:r>
    </w:p>
    <w:p>
      <w:pPr>
        <w:ind w:firstLine="283"/>
      </w:pPr>
      <w:r>
        <w:t xml:space="preserve">Marc Douguet déplace l’analyse du côté de la composition dramatique, en rapprochant </w:t>
      </w:r>
      <w:r>
        <w:rPr>
          <w:i/>
        </w:rPr>
        <w:t>Iphigénie</w:t>
      </w:r>
      <w:r>
        <w:t xml:space="preserve"> de </w:t>
      </w:r>
      <w:r>
        <w:rPr>
          <w:i/>
        </w:rPr>
        <w:t>Suréna</w:t>
      </w:r>
      <w:r>
        <w:t xml:space="preserve">, autre tragédie créée en 1674. Le parallèle est d’abord formel : dans les deux pièces, chaque acte tend à être dominé par la présence continue d’un personnage focal, tandis que les autres figures viennent autour de lui selon des configurations plus limitées. Cette ressemblance ne doit pas être forcée : elle n’est parfaite ni chez Racine ni chez Corneille, et elle ne signifie pas que les deux dramaturges aient répondu de la même manière aux mêmes contraintes. Mais elle permet de poser à nouveaux frais la question de l’espace scénique, de l’unité de lieu et de la liaison des scènes. L’intérêt de la contribution est précisément de ne pas réduire cette question à une topographie. Dans </w:t>
      </w:r>
      <w:r>
        <w:rPr>
          <w:i/>
        </w:rPr>
        <w:t>Iphigénie</w:t>
      </w:r>
      <w:r>
        <w:t xml:space="preserve">, le lieu n’est pas seulement un problème de vraisemblance à résoudre. Il est un foyer de signification. Le camp grec, ouvert aux vents, soumis à l’attente, dominé par l’autorité d’Agamemnon et exposé aux mouvements de l’armée, n’a pas besoin d’être exactement territorialisé pour produire ses effets. Racine ne construit pas un espace selon une logique cornélienne de cohérence locale ; il organise plutôt des régimes de focalisation. La tragédie se compose comme une succession de points d’intensité, autour desquels viennent se nouer les scènes. </w:t>
      </w:r>
      <w:r>
        <w:rPr>
          <w:i/>
        </w:rPr>
        <w:t>Iphigénie</w:t>
      </w:r>
      <w:r>
        <w:t xml:space="preserve"> se trouve alors rapprochée de </w:t>
      </w:r>
      <w:r>
        <w:rPr>
          <w:i/>
        </w:rPr>
        <w:t>Suréna</w:t>
      </w:r>
      <w:r>
        <w:t>, non parce que Racine écrirait à la manière de Corneille, mais parce que l’année 1674 voit deux grands dramaturges éprouver chacun, dans des directions différentes, les ressources d’une dramaturgie de la concentration.</w:t>
      </w:r>
    </w:p>
    <w:p>
      <w:pPr>
        <w:ind w:firstLine="283"/>
      </w:pPr>
      <w:r>
        <w:t>Avec Jérôme Lecompte, la réflexion se porte sur la préface d’</w:t>
      </w:r>
      <w:r>
        <w:rPr>
          <w:i/>
        </w:rPr>
        <w:t>Iphigénie</w:t>
      </w:r>
      <w:r>
        <w:t xml:space="preserve"> et sur la position de Racine dans la Querelle des Anciens et des Modernes, dont le feu couvait déjà. L’étude part d’un détail décisif : la citation de Quintilien qui clôt le paratexte racinien. Loin de n’être qu’un ornement érudit ou une autorité placée au terme d’un plaidoyer, elle constitue le point d’aboutissement d’une stratégie polémique. Racine ne se contente pas d’opposer Euripide à ses modernes adversaires ; il inscrit sa défense des Anciens dans un réseau intellectuel et institutionnel, celui de Rapin, de Lamoignon, de Boileau, d’une culture humaniste qui fait de la lecture des textes antiques un exercice de discernement. La force de cette contribution tient à ce qu’elle montre un Racine qui, à l’égard des Anciens, mêle fidélité et souplesse. La préface d’</w:t>
      </w:r>
      <w:r>
        <w:rPr>
          <w:i/>
        </w:rPr>
        <w:t>Iphigénie</w:t>
      </w:r>
      <w:r>
        <w:t xml:space="preserve"> ne prône pas une imitation servile. Au contraire, elle revendique le droit de choisir, d’adapter, de combiner des variantes mythologiques pour produire un dénouement nouveau.</w:t>
      </w:r>
    </w:p>
    <w:p>
      <w:pPr>
        <w:ind w:firstLine="283"/>
      </w:pPr>
      <w:r>
        <w:t>*</w:t>
      </w:r>
    </w:p>
    <w:p>
      <w:pPr>
        <w:ind w:firstLine="283"/>
      </w:pPr>
      <w:r>
        <w:t>La deuxième partie du volume interroge ce que l’on pourrait appeler les tragiques d’</w:t>
      </w:r>
      <w:r>
        <w:rPr>
          <w:i/>
        </w:rPr>
        <w:t>Iphigénie</w:t>
      </w:r>
      <w:r>
        <w:t>, au pluriel. Car la pièce ne repose pas sur une seule forme de terreur ni sur un seul objet de pitié. Elle multiplie les foyers de malaise. Le sacrifice d’Iphigénie est annoncé, différé, préparé, empêché ; mais la tragédie ne s’annule pas avec son salut. Ériphile meurt à sa place. Agamemnon survit à son consentement. Clytemnestre obtient la vie de sa fille sans que le monde soit moralement réparé. Iphigénie, sauvée, pleure son ennemie. Les vents se lèvent, mais le sang a coulé, et coulera de nouveau. Le tragique de la pièce tient donc à ce reste : quelque chose demeure irréconcilié dans l’apparence d’un dénouement heureux, dont personne n’est dupe.</w:t>
      </w:r>
    </w:p>
    <w:p>
      <w:pPr>
        <w:ind w:firstLine="283"/>
      </w:pPr>
      <w:r>
        <w:t xml:space="preserve">Constance Cagnat-Deboeuf part d’une formule apparemment ironique des </w:t>
      </w:r>
      <w:r>
        <w:rPr>
          <w:i/>
        </w:rPr>
        <w:t>Remarques sur l’Iphigénie de M. Racine</w:t>
      </w:r>
      <w:r>
        <w:t xml:space="preserve"> : dans cette tragédie, « il ne s’agit que d’obtenir du vent ». La réduction polémique du sujet à une disproportion absurde (sacrifier une jeune fille </w:t>
      </w:r>
      <w:r>
        <w:rPr>
          <w:i/>
        </w:rPr>
        <w:t>pour du vent</w:t>
      </w:r>
      <w:r>
        <w:t>) devient le point de départ d’une lecture morale et métaphorique. Que poursuivent donc Agamemnon et les Grecs ? Des vents favorables, sans doute, au sens littéral exigé par la fable. Mais aussi du « vent » au sens figuré : la vaine gloire, l’ambition, l’orgueil, la chimère d’un empire promis, l’illusion d’une grandeur politique qui demande pour prix le sang d’une innocente. L’article montre ainsi combien la météorologie d’</w:t>
      </w:r>
      <w:r>
        <w:rPr>
          <w:i/>
        </w:rPr>
        <w:t>Iphigénie</w:t>
      </w:r>
      <w:r>
        <w:t xml:space="preserve"> engage une anthropologie morale. Les vents qui appellent les vaisseaux, puis les abandonnent au port, ne sont pas seulement des forces naturelles ou des signes divins : ils deviennent l’image des passions qui flattent les hommes. La gloire n’est pas une valeur héroïque, mais une passion de domination, dérivée de la </w:t>
      </w:r>
      <w:r>
        <w:rPr>
          <w:i/>
        </w:rPr>
        <w:t>libido dominandi</w:t>
      </w:r>
      <w:r>
        <w:t xml:space="preserve"> dont l’élève de Port-Royal n'ignore rien. Clytemnestre elle-même, lorsqu’elle combat pour sa fille, n’est pas soustraite à cette logique : son amour maternel peut être traversé par le désir de grandeur que lui promet l’alliance avec Achille. Le tragique, ici, c’est la contamination des liens les plus sacrés au souffle mortel de la </w:t>
      </w:r>
      <w:r>
        <w:rPr>
          <w:i/>
        </w:rPr>
        <w:t>vana gloria</w:t>
      </w:r>
      <w:r>
        <w:t>.</w:t>
      </w:r>
    </w:p>
    <w:p>
      <w:pPr>
        <w:ind w:firstLine="283"/>
      </w:pPr>
      <w:r>
        <w:t xml:space="preserve">Caroline Labrune concentre son étude sur Ériphile et sur la nature du tragique attaché à ce personnage longtemps jugé secondaire, voire commode. Elle apparaît ici comme une figure tragique à part entière, élaborée par Racine dans un dialogue profond avec sa propre œuvre, et plus précisément avec </w:t>
      </w:r>
      <w:r>
        <w:rPr>
          <w:i/>
        </w:rPr>
        <w:t>Andromaque</w:t>
      </w:r>
      <w:r>
        <w:t>. Renonçant au parallèle facile entre Ériphile et Hermione, l’article rapproche au contraire la Lesbienne de la princesse troyenne. Avant d’être une jalouse, Ériphile apparaît d’abord comme une captive. Elle partage avec Andromaque la tristesse, les fers, l’arrachement, la dépendance à l’égard d’un vainqueur. Mais cette ressemblance initiale se renverse. Là où Andromaque demeure fidèle au mort et au fils, Ériphile se trouve prise dans un amour pour son vainqueur ; là où la captive troyenne tire son pathétique d’une résistance, la captive de Lesbos bascule dans le désir, puis dans la jalousie et la dénonciation. Le tragique d’Ériphile naît de ce mouvement : elle commence comme une figure de pitié, devient une figure de terreur, puis se voit finalement reconnue comme victime au moment même où elle meurt.</w:t>
      </w:r>
    </w:p>
    <w:p>
      <w:pPr>
        <w:ind w:firstLine="283"/>
      </w:pPr>
      <w:r>
        <w:t>Les deux contributions se répondent avec force. L’une suit le vent de la vaine gloire, l’autre le destin d’une captive jalouse ; l’une met au jour le vide moral de ce que les Grecs poursuivent, l’autre révèle le coût humain du mécanisme de substitution ; l’une insiste sur la circulation de l’orgueil, l’autre sur la transformation du pathétique en terreur. Ensemble, elles montrent que le tragique d’</w:t>
      </w:r>
      <w:r>
        <w:rPr>
          <w:i/>
        </w:rPr>
        <w:t>Iphigénie</w:t>
      </w:r>
      <w:r>
        <w:t xml:space="preserve"> ne se limite pas au danger couru par l’héroïne éponyme. La pièce est tragique parce qu’elle expose un monde où les liens d’amour deviennent des liens de mort, où l’innocence ne suffit pas à préserver du sang, où la simple survie peut servir une forme de culpabilité.</w:t>
      </w:r>
    </w:p>
    <w:p>
      <w:pPr>
        <w:ind w:firstLine="283"/>
      </w:pPr>
      <w:r>
        <w:t>*</w:t>
      </w:r>
    </w:p>
    <w:p>
      <w:pPr>
        <w:ind w:firstLine="283"/>
      </w:pPr>
      <w:r>
        <w:t>La troisième partie du volume s’attache aux rhétoriques d’</w:t>
      </w:r>
      <w:r>
        <w:rPr>
          <w:i/>
        </w:rPr>
        <w:t>Iphigénie</w:t>
      </w:r>
      <w:r>
        <w:t>. Le terme doit s’entendre largement. Il ne désigne pas seulement l’art de bien parler, mais l’ensemble des dispositifs par lesquels la parole agit : elle persuade, trompe, transmet, suspend, console, inquiète, fait espérer, produit des images, dénoue l’intrigue. Dans cette tragédie où le sacrifice central demeure hors scène, le tragique exige des médiations verbales.</w:t>
      </w:r>
    </w:p>
    <w:p>
      <w:pPr>
        <w:ind w:firstLine="283"/>
      </w:pPr>
      <w:r>
        <w:t xml:space="preserve">Hubert Aupetit propose une lecture volontairement décapante, qu’il place sous le signe de « l’expiration mythologique ». L’hypothèse est forte : la mythologie, chez Racine, ne serait pas d’abord un système de croyances à représenter, mais un langage permettant de dire ce que la langue ordinaire ne parvient pas à saisir dans les passions. Si l’on regarde </w:t>
      </w:r>
      <w:r>
        <w:rPr>
          <w:i/>
        </w:rPr>
        <w:t>Iphigénie</w:t>
      </w:r>
      <w:r>
        <w:t xml:space="preserve"> naïvement, comme un spectateur qui ne croirait plus aux dieux, aux bûchers et aux sacrifices, que reste-t-il ? L’amour, répond l’article ; mais un amour pris dans des triangles plus complexes qu’il n’y paraît. Le vrai nœud racinien n’est pas seulement de savoir qui doit mourir, mais de savoir comment l’amour, la haine, l’obéissance et le désenchantement circulent entre les personnages. La mythologie apparaît </w:t>
      </w:r>
      <w:r>
        <w:rPr>
          <w:i/>
        </w:rPr>
        <w:t xml:space="preserve">in fine </w:t>
      </w:r>
      <w:r>
        <w:t>vidée de sa présence ontologique pour devenir puissance de figuration. Elle ne disparaît pas : elle expire dans la parole, et cette expiration même fait théâtre.</w:t>
      </w:r>
    </w:p>
    <w:p>
      <w:pPr>
        <w:ind w:firstLine="283"/>
      </w:pPr>
      <w:r>
        <w:t>Claire Fourquet-Gracieux interroge de son côté l’attribution problématique de la parole. La pièce s’ouvre sur un oracle dont le sens semble clair : il faut sacrifier Iphigénie. Pourtant, cette clarté apparente ne résout rien. Elle déplace la difficulté vers la source de l’énoncé. Qui parle ? Quels dieux peuvent vouloir un tel meurtre ? Que signifie une parole divine lorsqu’elle n’existe pour les personnages qu’à travers des voix humaines — Calchas, Agamemnon, Ulysse, Achille, Arcas ? L’oracle n’est pas seulement un contenu ; il est une chaîne d’énonciation. Cette analyse est particulièrement précieuse parce qu’elle montre que la question de l’identité, centrale dans le dénouement, se double d’une question d’attribution. On s’est trompé de victime : mais on s’est aussi trompé, peut-être, de dieu. Le problème de l’attribution touche dès lors à la politique : ceux qui parlent au nom des dieux disposent d’un pouvoir redoutable sur les corps.</w:t>
      </w:r>
    </w:p>
    <w:p>
      <w:pPr>
        <w:ind w:firstLine="283"/>
      </w:pPr>
      <w:r>
        <w:t xml:space="preserve">Pierre Lyraud consacre son étude au drame de l’espérance. La tragédie, en apparence, semble plus naturellement vouée à la crainte, à la pitié, au désespoir. Mais elle ne peut fonctionner sans espérance : espérance des personnages, espérance des spectateurs, espérance toujours menacée, toujours relancée, toujours susceptible d’être déçue. Dans </w:t>
      </w:r>
      <w:r>
        <w:rPr>
          <w:i/>
        </w:rPr>
        <w:t>Iphigénie</w:t>
      </w:r>
      <w:r>
        <w:t>, cette passion joue à plusieurs niveaux. Les personnages espèrent : Agamemnon espère sauver sa fille sans perdre son autorité, Clytemnestre espère un mariage, Achille espère imposer sa volonté, Iphigénie espère l’amour et la reconnaissance, Ériphile espère connaître son nom et peut-être ravir Achille. Le spectateur, de son côté, espère avec certains personnages et contre d’autres. Il espère la survie d’Iphigénie, mais il craint que l’espérance d’Ériphile ne se réalise. Il ne sait jamais exactement quelle tradition Racine va retenir, ni comment il va la transformer. L’espérance tragique est donc à la fois interne et externe, psychologique et poétique.</w:t>
      </w:r>
    </w:p>
    <w:p>
      <w:pPr>
        <w:ind w:firstLine="283"/>
      </w:pPr>
      <w:r>
        <w:t xml:space="preserve">Ces trois lectures font apparaître une même vérité : dans </w:t>
      </w:r>
      <w:r>
        <w:rPr>
          <w:i/>
        </w:rPr>
        <w:t>Iphigénie</w:t>
      </w:r>
      <w:r>
        <w:t>, parler, c’est agir sur l’avenir.. La tragédie racinienne ne se réduit pas à l’accomplissement d’un destin ; elle se construit dans l’écart entre ce qui est dit, ce qui est cru, ce qui est espéré et ce qui advient.</w:t>
      </w:r>
    </w:p>
    <w:p>
      <w:pPr>
        <w:ind w:firstLine="283"/>
      </w:pPr>
      <w:r>
        <w:t>*</w:t>
      </w:r>
    </w:p>
    <w:p>
      <w:pPr>
        <w:ind w:firstLine="283"/>
      </w:pPr>
      <w:r>
        <w:t>La quatrième partie suit quelques-uns des devenirs d’</w:t>
      </w:r>
      <w:r>
        <w:rPr>
          <w:i/>
        </w:rPr>
        <w:t>Iphigénie</w:t>
      </w:r>
      <w:r>
        <w:t>. Une grande tragédie ne se mesure pas seulement à sa création, mais à la série des déplacements qu’elle rend possibles. Les réceptions d’</w:t>
      </w:r>
      <w:r>
        <w:rPr>
          <w:i/>
        </w:rPr>
        <w:t>Iphigénie</w:t>
      </w:r>
      <w:r>
        <w:t xml:space="preserve"> mettent ainsi au jour ce que Racine avait tenu dans une subtile tension : la place des dieux, la part du spectacle, la complexité psychologique, le pathétique familial, la critique du fanatisme, le sublime de la douleur.</w:t>
      </w:r>
    </w:p>
    <w:p>
      <w:pPr>
        <w:ind w:firstLine="283"/>
      </w:pPr>
      <w:r>
        <w:t>Tristan Alonge étudie les premières traductions anglaises de la pièce, celles d’Abel Boyer et de Charles Johnson. Le titre de l’article — « Le retour des Dieux » — dit l’essentiel du phénomène. Là où Racine avait pris soin de reléguer le divin aux marges, de ne pas montrer Diane, de filtrer le surnaturel par des récits et des formulations incertaines, les adaptateurs anglais tendent à réintroduire une présence plus nette du divin. Ce retour s’inscrit dans une transformation plus générale de la dramaturgie racinienne pour la scène londonienne : moins de soliloques, moins de psychologie, moins de récits, davantage d’action, de dialogue, et de spectaculaire. Par ce contraste, l’article révèle la hardiesse racinienne : non pas supprimer le sacré, mais le rendre indécidable ; non pas nier les dieux, mais montrer que leur voix nous parvient toujours déjà mêlée aux passions et aux intérêts des hommes.</w:t>
      </w:r>
    </w:p>
    <w:p>
      <w:pPr>
        <w:ind w:firstLine="283"/>
      </w:pPr>
      <w:r>
        <w:t xml:space="preserve">Nicolas Fréry s’intéresse à la prédilection de Voltaire et de Diderot pour </w:t>
      </w:r>
      <w:r>
        <w:rPr>
          <w:i/>
        </w:rPr>
        <w:t>Iphigénie</w:t>
      </w:r>
      <w:r>
        <w:t xml:space="preserve">. L’étude montre combien </w:t>
      </w:r>
      <w:r>
        <w:rPr>
          <w:i/>
        </w:rPr>
        <w:t>Iphigénie</w:t>
      </w:r>
      <w:r>
        <w:t xml:space="preserve"> devient, au XVIIIe siècle, un lieu de réflexion esthétique et idéologique. Esthétiquement, elle fournit des exemples de vers sublimes, de silences déchirants, de situations où le sentiment excède la dialectique. Idéologiquement, elle nourrit une critique du fanatisme, des oracles, des autorités religieuses qui exigent le sang innocent. La pièce peut donc être admirée à la fois comme sommet de l’art classique et comme matériau pour une pensée des Lumières. C’est l’un de ses paradoxes : œuvre des Anciens relue par les Modernes, tragédie de la croyance susceptible d’alimenter une critique de la superstition, poème de cour devenu instrument de réflexion philosophique.</w:t>
      </w:r>
    </w:p>
    <w:p>
      <w:pPr>
        <w:ind w:firstLine="283"/>
      </w:pPr>
      <w:r>
        <w:t>Ces devenirs anglais et philosophiques achèvent de montrer qu’</w:t>
      </w:r>
      <w:r>
        <w:rPr>
          <w:i/>
        </w:rPr>
        <w:t>Iphigénie</w:t>
      </w:r>
      <w:r>
        <w:t xml:space="preserve"> est une œuvre de contrastes féconds. Plus on la traduit, plus on mesure l’ambiguïté de son divin ; plus on l’admire au XVIIIe siècle, plus on voit qu’elle déborde les catégories qu’on appellera bientôt “classiques” ; plus on la simplifie, plus sa complexité initiale devient visible.</w:t>
      </w:r>
    </w:p>
    <w:p>
      <w:pPr>
        <w:ind w:firstLine="283"/>
      </w:pPr>
      <w:r>
        <w:t xml:space="preserve">L’apostille placée à la suite du parcours critique ouvre une transition vers </w:t>
      </w:r>
      <w:r>
        <w:rPr>
          <w:i/>
        </w:rPr>
        <w:t>Phèdre</w:t>
      </w:r>
      <w:r>
        <w:t xml:space="preserve">, prochaine étape du cycle anniversaire en 2027. L’étude fait apparaître une ligne de fuite : </w:t>
      </w:r>
      <w:r>
        <w:rPr>
          <w:i/>
        </w:rPr>
        <w:t>Iphigénie</w:t>
      </w:r>
      <w:r>
        <w:t xml:space="preserve"> et </w:t>
      </w:r>
      <w:r>
        <w:rPr>
          <w:i/>
        </w:rPr>
        <w:t>Phèdre</w:t>
      </w:r>
      <w:r>
        <w:t xml:space="preserve">, les deux dernières tragédies profanes de Racine, gagnent à être lues ensemble, comme témoin d’une possible relecture “queer” du théâtre racinien, si l’on entend ce mot comme une attention portée aux formes d’indifférenciation, de trouble et de dénaturation qui travaillent les tragédies. La transition vers </w:t>
      </w:r>
      <w:r>
        <w:rPr>
          <w:i/>
        </w:rPr>
        <w:t>Phèdre</w:t>
      </w:r>
      <w:r>
        <w:t xml:space="preserve"> se fait par Thésée, mais aussi, plus secrètement, par Sapho, par Œnone, par les formes du désir féminin, par les attachements serviles, maternels, érotiques ou impurs qui déstabilisent les relations établies.</w:t>
      </w:r>
    </w:p>
    <w:p>
      <w:pPr>
        <w:ind w:firstLine="283"/>
      </w:pPr>
      <w:r>
        <w:t>Le volume se conclut par un entretien avec Stéphane Braunschweig, dont la mise en scène d’</w:t>
      </w:r>
      <w:r>
        <w:rPr>
          <w:i/>
        </w:rPr>
        <w:t>Iphigénie</w:t>
      </w:r>
      <w:r>
        <w:t xml:space="preserve"> a donné à la pièce une résonance contemporaine saisissante. Créé dans le contexte de la crise sanitaire, le spectacle a trouvé dans l’immobilité d’Aulis une image du monde à l’arrêt. Les vents suspendus, la flotte bloquée, l’économie de guerre paralysée, la recherche d’un sacrifice susceptible de remettre le monde en mouvement : autant d’éléments </w:t>
      </w:r>
      <w:r>
        <w:t>qui pouvaient entrer en écho avec l’expérience collective du confinement, des vies suspendues, des débats sur ce qu’il fallait sauver, sacrifier ou relancer. Braunschweig insiste sur la dimension politique de la pièce : tension entre pouvoir religieux et pouvoir d’État, cynisme d’Ulysse, raison d’État, sacrifice exigé pour débloquer une communauté. Mais il insiste aussi sur la contention du vers racinien, sur cette intensité qui ne doit pas devenir expressivité excessive. Racine demande moins l’explosion que la retenue, moins la couleur que la justesse de l’accent, moins la noblesse figée que le concret du sens.</w:t>
      </w:r>
    </w:p>
    <w:p>
      <w:pPr>
        <w:ind w:firstLine="283"/>
      </w:pPr>
      <w:r>
        <w:t xml:space="preserve">Après les analyses historiques, dramaturgiques, rhétoriques et critiques, l’entretien rappelle que </w:t>
      </w:r>
      <w:r>
        <w:rPr>
          <w:i/>
        </w:rPr>
        <w:t>Iphigénie</w:t>
      </w:r>
      <w:r>
        <w:t xml:space="preserve"> demeure une pièce à jouer, une machine de présence, une épreuve pour les corps et les voix. Elle vérifie que les questions de 1674 restent les nôtres.</w:t>
      </w:r>
    </w:p>
    <w:p>
      <w:pPr>
        <w:ind w:firstLine="283"/>
      </w:pPr>
      <w:r>
        <w:t>*</w:t>
      </w:r>
    </w:p>
    <w:p>
      <w:pPr>
        <w:ind w:firstLine="283"/>
      </w:pPr>
      <w:r>
        <w:t xml:space="preserve">À travers ces parcours, </w:t>
      </w:r>
      <w:r>
        <w:rPr>
          <w:i/>
        </w:rPr>
        <w:t>Iphigénie</w:t>
      </w:r>
      <w:r>
        <w:t xml:space="preserve"> apparaît, avant les pièces bibliques, comme une tragédie du </w:t>
      </w:r>
      <w:r>
        <w:rPr>
          <w:i/>
        </w:rPr>
        <w:t>reste</w:t>
      </w:r>
      <w:r>
        <w:t xml:space="preserve">. Reste d’un merveilleux pourtant congédié, reste de la </w:t>
      </w:r>
      <w:r>
        <w:rPr>
          <w:i/>
        </w:rPr>
        <w:t>machina</w:t>
      </w:r>
      <w:r>
        <w:t xml:space="preserve"> dans un récit qui prétend en faire l’économie, reste de la culpabilité dans l’euphorie du dénouement, reste surtout d’une malédiction familiale qui vient échouer sur les rives  d’Aulis. C’est peut-être ce reste qui explique la puissance durable de la pièce. Racine ne résout pas vraiment ce qu’il dénoue. Il sauve Iphigénie, mais sans préserver la Grèce : les soldats lèvent l’ancre, mais déjà souillés et, comme le roi qui les conduit, maudits. Peu, on le sait, jouiront d’un heureux retour.</w:t>
      </w:r>
    </w:p>
    <w:p>
      <w:pPr>
        <w:ind w:firstLine="283"/>
      </w:pPr>
      <w:r>
        <w:t>Le titre du volume, emprunté à la pièce — « D’une secrète horreur je me sens frissonner » — pourrait ainsi désigner non seulement l’émotion d’un personnage, mais l’expérience même du lecteur et du spectateur. La pièce nous regarde depuis un monde où l’on croyait encore pouvoir faire lever les vents par le sang, mais elle parle à toutes les époques qui cherchent des victimes pour relancer leurs navires. Elle appartient à l’Antiquité par son mythe, au XVIIe siècle par ses querelles, au XVIIIe par ses admirateurs, à notre temps par ses mises en scène et par les questions qu’elle adresse à nos communautés inquiètes. Nous “frissonnons”, parce qu’</w:t>
      </w:r>
      <w:r>
        <w:rPr>
          <w:i/>
        </w:rPr>
        <w:t xml:space="preserve">Iphigénie </w:t>
      </w:r>
      <w:r>
        <w:t xml:space="preserve"> ne cesse de demander ce que valent nos départs lorsque quelqu’un, quelque part, est resté sur l’autel.</w:t>
      </w:r>
    </w:p>
    <w:p>
      <w:pPr>
        <w:ind w:firstLine="283"/>
      </w:pPr>
      <w:r>
        <w:t>Au terme de la pièce, certes, les vents se lèvent. “Tout s'empresse, tout part. La seule Iphigénie / Dans ce commun bonheur pleure son ennemie.” Les Grecs partent vers Troie. Iphigénie, seule, pleure la victime honnie et offerte : dissidence discrète d’une princesse jusque là si monstrueusement obéissante. À cet instant, au coeur des réjouissances louis-quatorziennes, Racine suspend la fête, la victoire, le départ – la gloire. Il laisse une jeune fille innocente et survivante porter le deuil de sa pitoyable ennemie. Iphigénie nous invite à considérer son histoire non depuis le triomphe du vent retrouvé, mais depuis la rive sanglante et désertée de ses larmes.</w:t>
      </w:r>
    </w:p>
    <w:p>
      <w:pPr>
        <w:ind w:firstLine="283"/>
      </w:pPr>
      <w:r>
        <w:t xml:space="preserve">C’est depuis ce bord que ce volume invite à reprendre </w:t>
      </w:r>
      <w:r>
        <w:rPr>
          <w:i/>
        </w:rPr>
        <w:t>Iphigénie</w:t>
      </w:r>
      <w:r>
        <w:t>.</w:t>
      </w:r>
    </w:p>
    <w:p>
      <w:pPr>
        <w:ind w:firstLine="283"/>
      </w:pPr>
      <w:r>
        <w:rPr>
          <w:i/>
        </w:rPr>
        <w:t>Tony Gheeraert, Victoire Malenfer, Caroline Labrune, Servane L’Hopital</w:t>
      </w:r>
    </w:p>
    <w:p>
      <w:r>
        <w:br w:type="page"/>
      </w:r>
    </w:p>
    <w:p>
      <w:pPr>
        <w:pStyle w:val="Titre3"/>
      </w:pPr>
      <w:r>
        <w:rPr>
          <w:b/>
          <w:i/>
          <w:sz w:val="26"/>
        </w:rPr>
        <w:t xml:space="preserve">Iphigénie </w:t>
      </w:r>
      <w:r>
        <w:rPr>
          <w:b/>
          <w:sz w:val="26"/>
        </w:rPr>
        <w:t>dans le paysage théâtral et musical du milieu des années 1670</w:t>
      </w:r>
    </w:p>
    <w:p>
      <w:pPr>
        <w:ind w:firstLine="283"/>
      </w:pPr>
      <w:r>
        <w:t xml:space="preserve">En octobre 1676, Louis XIV fit représenter à Versailles cinq tragédies de Corneille, la plus ancienne étant </w:t>
      </w:r>
      <w:r>
        <w:rPr>
          <w:i/>
        </w:rPr>
        <w:t>Cinna</w:t>
      </w:r>
      <w:r>
        <w:t xml:space="preserve">, la plus récente </w:t>
      </w:r>
      <w:r>
        <w:rPr>
          <w:i/>
        </w:rPr>
        <w:t>Sertorius</w:t>
      </w:r>
      <w:r>
        <w:t xml:space="preserve">. Corneille signifia sa gratitude dans un poème qui commençait ainsi : </w:t>
      </w:r>
    </w:p>
    <w:p>
      <w:pPr>
        <w:pStyle w:val="TEIverse"/>
        <w:spacing w:line="240" w:lineRule="auto"/>
        <w:ind w:left="397"/>
        <w:jc w:val="left"/>
      </w:pPr>
      <w:r>
        <w:rPr>
          <w:sz w:val="22"/>
        </w:rPr>
        <w:t>Est-il vrai, grand Monarque, &amp; puis-je me vanter,</w:t>
      </w:r>
      <w:r>
        <w:br/>
      </w:r>
      <w:r>
        <w:rPr>
          <w:sz w:val="22"/>
        </w:rPr>
        <w:t>Que tu prennes plaisir à me ressusciter ?</w:t>
      </w:r>
      <w:r>
        <w:br/>
      </w:r>
      <w:r>
        <w:rPr>
          <w:sz w:val="22"/>
        </w:rPr>
        <w:t>Qu’au bout de quarante ans, Cinna, Pompée, Horace,</w:t>
      </w:r>
      <w:r>
        <w:br/>
      </w:r>
      <w:r>
        <w:rPr>
          <w:sz w:val="22"/>
        </w:rPr>
        <w:t>Reviennent à la mode &amp; retrouvent leur place,</w:t>
      </w:r>
      <w:r>
        <w:br/>
      </w:r>
      <w:r>
        <w:rPr>
          <w:sz w:val="22"/>
        </w:rPr>
        <w:t>Et que l’heureux brillant de mes jeunes Rivaux,</w:t>
      </w:r>
      <w:r>
        <w:br/>
      </w:r>
      <w:r>
        <w:rPr>
          <w:sz w:val="22"/>
        </w:rPr>
        <w:t>N’oste point le vieux lustre à mes premiers travaux[1] ?</w:t>
      </w:r>
    </w:p>
    <w:p>
      <w:pPr>
        <w:pStyle w:val="TEIparagraphconsecutive"/>
      </w:pPr>
      <w:r>
        <w:t xml:space="preserve">Le fait, et le poème, sont connus. On connaît moins le contexte dans lequel ce poème fut diffusé, par l’intermédiaire du </w:t>
      </w:r>
      <w:r>
        <w:rPr>
          <w:i/>
        </w:rPr>
        <w:t>Mercure galant</w:t>
      </w:r>
      <w:r>
        <w:t xml:space="preserve">. Dans la première livraison de l’année 1677, qui couvre les mois de janvier à mars, Donneau de Visé évoque les </w:t>
      </w:r>
      <w:r>
        <w:t xml:space="preserve">spectacles donnés à la cour et à la ville, parmi lesquels les deux </w:t>
      </w:r>
      <w:r>
        <w:rPr>
          <w:i/>
        </w:rPr>
        <w:t>Phèdre</w:t>
      </w:r>
      <w:r>
        <w:t xml:space="preserve"> de Racine et de Pradon et </w:t>
      </w:r>
      <w:r>
        <w:rPr>
          <w:i/>
        </w:rPr>
        <w:t xml:space="preserve">Le Festin de Pierre </w:t>
      </w:r>
      <w:r>
        <w:t>mis en vers par Thomas Corneille. Il en vient ensuite à l’</w:t>
      </w:r>
      <w:r>
        <w:rPr>
          <w:i/>
        </w:rPr>
        <w:t>Isis</w:t>
      </w:r>
      <w:r>
        <w:t xml:space="preserve"> de Quinault et Lully : </w:t>
      </w:r>
    </w:p>
    <w:p>
      <w:pPr>
        <w:pStyle w:val="TEIquote"/>
        <w:spacing w:line="240" w:lineRule="auto"/>
        <w:ind w:left="397"/>
        <w:jc w:val="both"/>
      </w:pPr>
      <w:r>
        <w:rPr>
          <w:sz w:val="22"/>
        </w:rPr>
        <w:t>L’Opéra estant en France sur le pied de la Comédie, […] je ne doy pas oublier de vous dire qu’Isis Opéra nouveau a esté representé à S. Germain pendant une partie du Carnaval. Si cet Ouvrage merite quelque gloire, elle est deuë à Monsieur Quinaut. Le Sujet &amp; les Vers de cette Tragédie sont dignes de cet illustre Autheur, &amp; ne luy ont point fait perdre la réputation qu’il s’est acquise. Monsieur de Lully en a fait la Musique ; il ne peut étre comparé à personne, puis qu’il est le seul dont on en voit aujourd’huy en France. Je ne parle point de la beauté de ce dernier Ouvrage de sa composition ; son génie est si connu, qu’il a fait oublier celuy de tous les autres.</w:t>
      </w:r>
    </w:p>
    <w:p>
      <w:pPr>
        <w:pStyle w:val="TEIparagraphconsecutive"/>
      </w:pPr>
      <w:r>
        <w:t>Après avoir fait l’éloge des musiciens, des costumes, des décors et des danses, il poursuit ainsi :</w:t>
      </w:r>
    </w:p>
    <w:p>
      <w:pPr>
        <w:pStyle w:val="TEIquote"/>
        <w:spacing w:line="240" w:lineRule="auto"/>
        <w:ind w:left="397"/>
        <w:jc w:val="both"/>
      </w:pPr>
      <w:r>
        <w:rPr>
          <w:sz w:val="22"/>
        </w:rPr>
        <w:t>Les beautez de cet Opera n’ont point fait perdre au Roy &amp; à toute la Cour le souvenir des inimitables Tragédies de M. de Corneille l’aîné, qui furent représentées à Versailles pendant l’automne dernier. Je vous envoye la Copie que vous m’avez demandée des Vers que fit cet illustre Autheur pour en remercier sa Majesté</w:t>
      </w:r>
      <w:r>
        <w:rPr>
          <w:rStyle w:val="Appelnotedebasdep"/>
        </w:rPr>
        <w:footnoteReference w:id="2"/>
      </w:r>
      <w:r>
        <w:rPr>
          <w:sz w:val="22"/>
        </w:rPr>
        <w:t xml:space="preserve">. </w:t>
      </w:r>
    </w:p>
    <w:p>
      <w:pPr>
        <w:pStyle w:val="TEIparagraphconsecutive"/>
      </w:pPr>
      <w:r>
        <w:t>Le propos appelle au moins trois commentaires. L’éloge de Quinault n’est rien moins que fortuit : le librettiste de Lully fait alors l’objet d’une forme de cabale et plusieurs poètes ont tenté de le remplacer, en vain jusqu’à cette date, aux côtés du musicien ; mais surtout, l’</w:t>
      </w:r>
      <w:r>
        <w:t xml:space="preserve">opéra et le théâtre parlé sont alors considérés comme deux formes de spectacle également légitimes, du moins par l’organe de presse on ne peut plus favorable aux Modernes qu’est </w:t>
      </w:r>
      <w:r>
        <w:rPr>
          <w:i/>
        </w:rPr>
        <w:t>Le Mercure galant</w:t>
      </w:r>
      <w:r>
        <w:t xml:space="preserve"> ; si le goût de la cour s’est tourné vers le théâtre en musique et les opéras de Lully et Quinault, le roi n’a pas tout à fait oublié le théâtre parlé, comme en témoigne la représentation des tragédies de Corneille quelques mois plus tôt. </w:t>
      </w:r>
    </w:p>
    <w:p>
      <w:pPr>
        <w:ind w:firstLine="283"/>
      </w:pPr>
      <w:r>
        <w:t xml:space="preserve">Quelle était la situation deux ans et demi plus tôt, en cet été 1674 où Louis XIV avait décidé de célébrer ses récentes victoires en Franche-Comté par une série de divertissements </w:t>
      </w:r>
      <w:r>
        <w:t>mêlant théâtre et musique ?</w:t>
      </w:r>
      <w:r>
        <w:t xml:space="preserve"> Après le pot-pourri qu’étaient </w:t>
      </w:r>
      <w:r>
        <w:rPr>
          <w:i/>
        </w:rPr>
        <w:t>Les Fêtes de l’Amour et de Bacchus</w:t>
      </w:r>
      <w:r>
        <w:t xml:space="preserve">, créées en novembre 1672, Lully et Quinault avaient donné, à l’Académie Royale de Musique désormais sise dans l’ancienne salle de la troupe de Molière, </w:t>
      </w:r>
      <w:r>
        <w:rPr>
          <w:i/>
        </w:rPr>
        <w:t>Cadmus et Hermione</w:t>
      </w:r>
      <w:r>
        <w:t xml:space="preserve"> en avril 1673 puis </w:t>
      </w:r>
      <w:r>
        <w:rPr>
          <w:i/>
        </w:rPr>
        <w:t xml:space="preserve">Alceste </w:t>
      </w:r>
      <w:r>
        <w:t xml:space="preserve">en janvier 1674. De son côté, Molière avait tenté, jusqu’à sa mort survenue deux mois avant la création de </w:t>
      </w:r>
      <w:r>
        <w:rPr>
          <w:i/>
        </w:rPr>
        <w:t>Cadmus et Hermione</w:t>
      </w:r>
      <w:r>
        <w:t xml:space="preserve">, de prolonger le modèle du théâtre à insertions musicales. Il avait confié à Marc-Antoine Charpentier la composition de nouvelles musiques pour les comédies-ballets antérieures à la rupture avec Lully, en raison de la nécessité d’appliquer les ordonnances réduisant de manière drastique l’emploi de la musique au théâtre, mais aussi la conception des intermèdes de deux dernières comédies-ballets. Après </w:t>
      </w:r>
      <w:r>
        <w:rPr>
          <w:i/>
        </w:rPr>
        <w:t>Psyché</w:t>
      </w:r>
      <w:r>
        <w:t xml:space="preserve"> en janvier 1671 furent ainsi donnés </w:t>
      </w:r>
      <w:r>
        <w:rPr>
          <w:i/>
        </w:rPr>
        <w:t>La Comtesse d’Escarbagnas</w:t>
      </w:r>
      <w:r>
        <w:t xml:space="preserve"> et surtout </w:t>
      </w:r>
      <w:r>
        <w:rPr>
          <w:i/>
        </w:rPr>
        <w:t>Le Malade imaginaire</w:t>
      </w:r>
      <w:r>
        <w:t>, créé exceptionnellement à la ville et non à la cour, sans doute en raison de la suspension de la vie théâtrale consécutive à la mort du dauphin en novembre 1672</w:t>
      </w:r>
      <w:r>
        <w:rPr>
          <w:rStyle w:val="Appelnotedebasdep"/>
        </w:rPr>
        <w:footnoteReference w:id="3"/>
      </w:r>
      <w:r>
        <w:t>. Quant au théâtre du Marais, il avait cherché à se spécialiser dans la tragédie à machines, avec la représentation, en février 1671, des</w:t>
      </w:r>
      <w:r>
        <w:rPr>
          <w:i/>
        </w:rPr>
        <w:t xml:space="preserve"> Amours du Soleil </w:t>
      </w:r>
      <w:r>
        <w:t xml:space="preserve">de Donneau de Visé puis, un an plus tard, des </w:t>
      </w:r>
      <w:r>
        <w:rPr>
          <w:i/>
        </w:rPr>
        <w:t>Amours de Bacchus et d’Ariane</w:t>
      </w:r>
      <w:r>
        <w:t xml:space="preserve">. Il connaissait cependant une éclipse sur ce terrain : trois années s’écoulèrent entre la dernière création de Donneau de Visé et la </w:t>
      </w:r>
      <w:r>
        <w:rPr>
          <w:i/>
        </w:rPr>
        <w:t xml:space="preserve">Circé </w:t>
      </w:r>
      <w:r>
        <w:t>de Thomas Corneille et de Donneau de Visé, donnée pour la première fois en mars 1675.</w:t>
      </w:r>
    </w:p>
    <w:p>
      <w:pPr>
        <w:ind w:firstLine="283"/>
      </w:pPr>
      <w:r>
        <w:t>De toutes parts donc, à la ville comme à la cour, c’étaient des modèles dramatiques et spectaculaires fondés sur d’autres éléments que le seul verbe qui triomphaient, quelles que fussent les modalités précises du dialogue entre les arts. La situation pouvait paraître préoccupante aux partisans des Anciens, et le Père Rapin s’inquiétait, dès 1674, de ce que « la fantaisie des Opéra de Musique, dont le peuple et même la plupart des honnêtes gens se sont laissé entêter, sera peut-être capable dans la suite de décourager les esprits pour la Tragédie, si l’on ne pense à les exciter par la gloire et par la récompense</w:t>
      </w:r>
      <w:r>
        <w:rPr>
          <w:vertAlign w:val="superscript"/>
        </w:rPr>
        <w:t xml:space="preserve"> </w:t>
      </w:r>
      <w:r>
        <w:rPr>
          <w:rStyle w:val="Appelnotedebasdep"/>
        </w:rPr>
        <w:footnoteReference w:id="4"/>
      </w:r>
      <w:r>
        <w:t xml:space="preserve"> ». </w:t>
      </w:r>
    </w:p>
    <w:p>
      <w:pPr>
        <w:pStyle w:val="Titre3"/>
      </w:pPr>
      <w:r>
        <w:rPr>
          <w:b/>
          <w:i/>
          <w:sz w:val="26"/>
        </w:rPr>
        <w:t xml:space="preserve">Iphigénie </w:t>
      </w:r>
      <w:r>
        <w:rPr>
          <w:b/>
          <w:sz w:val="26"/>
        </w:rPr>
        <w:t>à la cour : la rivalité avec la tragédie en musique</w:t>
      </w:r>
    </w:p>
    <w:p>
      <w:pPr>
        <w:ind w:firstLine="283"/>
      </w:pPr>
      <w:r>
        <w:tab/>
      </w:r>
      <w:r>
        <w:t>C’est dans ce contexte, on le sait, que l’</w:t>
      </w:r>
      <w:r>
        <w:rPr>
          <w:i/>
        </w:rPr>
        <w:t xml:space="preserve">Iphigénie </w:t>
      </w:r>
      <w:r>
        <w:t xml:space="preserve">de Racine a été conçue et créée. Conçue précisément pour contrer ou à tout le moins tenir à distance la force de frappe de l’opéra et surtout la tentative d’annexion d’Euripide que pouvait représenter </w:t>
      </w:r>
      <w:r>
        <w:rPr>
          <w:i/>
        </w:rPr>
        <w:t>Alceste</w:t>
      </w:r>
      <w:r>
        <w:t xml:space="preserve"> ; mais créée dans un cadre constitutivement favorable, et depuis toujours, aux spectacles musicaux, celui des divertissements royaux donnés à Versailles au cours de l’été 1674. Dix ans après la célèbre fête des « Plaisirs de l’Île enchantée » qui avait vu, entre autres spectacles, la création de </w:t>
      </w:r>
      <w:r>
        <w:rPr>
          <w:i/>
        </w:rPr>
        <w:t>La Princesse d’Élide</w:t>
      </w:r>
      <w:r>
        <w:t xml:space="preserve"> et de </w:t>
      </w:r>
      <w:r>
        <w:rPr>
          <w:i/>
        </w:rPr>
        <w:t>Tartuffe</w:t>
      </w:r>
      <w:r>
        <w:t>, ces « Divertissements de Versailles, donnés par le Roi au retour de la conquête de la Franche-Comté, en l’année 1674 », comme les nomme Félibien</w:t>
      </w:r>
      <w:r>
        <w:rPr>
          <w:rStyle w:val="Appelnotedebasdep"/>
        </w:rPr>
        <w:footnoteReference w:id="5"/>
      </w:r>
      <w:r>
        <w:t xml:space="preserve">, en différaient par bien des aspects : alors que ceux de 1664 étaient concentrés sur sept jours (du 8 au 13 mai) et unifiés autour d’un fil conducteur, un épisode célèbre du </w:t>
      </w:r>
      <w:r>
        <w:rPr>
          <w:i/>
        </w:rPr>
        <w:t xml:space="preserve">Roland furieux </w:t>
      </w:r>
      <w:r>
        <w:t xml:space="preserve">de l’Arioste, ceux de 1674 prenaient la forme de six journées de fêtes réparties sur près de deux mois, sans lien thématique les unes avec autres. Le 4 juillet (première journée), </w:t>
      </w:r>
      <w:r>
        <w:rPr>
          <w:i/>
        </w:rPr>
        <w:t xml:space="preserve">Alceste </w:t>
      </w:r>
      <w:r>
        <w:t>de Lully et Quinault était donnée dans la cour de marbre ; le 11 juillet (deuxième journée), on put entendre l’</w:t>
      </w:r>
      <w:r>
        <w:rPr>
          <w:i/>
        </w:rPr>
        <w:t>Églogue de Versailles</w:t>
      </w:r>
      <w:r>
        <w:t xml:space="preserve"> à Trianon ; le 19 juillet (troisième journée), c’est </w:t>
      </w:r>
      <w:r>
        <w:rPr>
          <w:i/>
        </w:rPr>
        <w:t xml:space="preserve">Le Malade imaginaire </w:t>
      </w:r>
      <w:r>
        <w:t xml:space="preserve">qui était représenté devant la grotte de Thétis ; le 28 juillet (quatrième journée), on reprenait les </w:t>
      </w:r>
      <w:r>
        <w:rPr>
          <w:i/>
        </w:rPr>
        <w:t xml:space="preserve">Fêtes de l’Amour et de Bacchus </w:t>
      </w:r>
      <w:r>
        <w:t xml:space="preserve">dans le petit parc ; trois semaines plus tard, le 18 août était créée </w:t>
      </w:r>
      <w:r>
        <w:rPr>
          <w:i/>
        </w:rPr>
        <w:t xml:space="preserve">Iphigénie </w:t>
      </w:r>
      <w:r>
        <w:t xml:space="preserve">(cinquième journée), avant un feu d’artifice sur le canal ; l’ensemble s’acheva le 31 août (sixième journée) par des illuminations sur le canal. </w:t>
      </w:r>
    </w:p>
    <w:p>
      <w:pPr>
        <w:ind w:firstLine="283"/>
      </w:pPr>
      <w:r>
        <w:t>Dernières spécificités des divertissements de 1674 du point de vue qui nous intéresse : ils étaient constitués d’une majorité de reprises (</w:t>
      </w:r>
      <w:r>
        <w:rPr>
          <w:i/>
        </w:rPr>
        <w:t>La Grotte de Versailles ou l’églogue de Versailles</w:t>
      </w:r>
      <w:r>
        <w:t xml:space="preserve">, pastorale de Quinault et Lully, avait été créée, à Versailles évidemment, en 1668 ; </w:t>
      </w:r>
      <w:r>
        <w:rPr>
          <w:i/>
        </w:rPr>
        <w:t xml:space="preserve">Les Fêtes de l’Amour et de Bacchus </w:t>
      </w:r>
      <w:r>
        <w:t xml:space="preserve">dataient de novembre 1672 ; </w:t>
      </w:r>
      <w:r>
        <w:rPr>
          <w:i/>
        </w:rPr>
        <w:t xml:space="preserve">Le Malade imaginaire </w:t>
      </w:r>
      <w:r>
        <w:t xml:space="preserve">avait été donné pour la première fois au Palais-Royal en février 1673 ; le spectacle le plus récent était </w:t>
      </w:r>
      <w:r>
        <w:rPr>
          <w:i/>
        </w:rPr>
        <w:t>Alceste</w:t>
      </w:r>
      <w:r>
        <w:t xml:space="preserve">, également créée au Palais-Royal moins de six mois plus tôt) ; ils mêlaient tous théâtre et musique, selon la formule, propre à la comédie-ballet, de l’alternance pour </w:t>
      </w:r>
      <w:r>
        <w:rPr>
          <w:i/>
        </w:rPr>
        <w:t>Le Malade imaginaire</w:t>
      </w:r>
      <w:r>
        <w:t xml:space="preserve">, ou de l’utilisation simultanée des arts pour les trois autres. </w:t>
      </w:r>
      <w:r>
        <w:rPr>
          <w:i/>
        </w:rPr>
        <w:t>Iphigénie</w:t>
      </w:r>
      <w:r>
        <w:t xml:space="preserve"> faisait donc doublement exception : comme tragédie unie, mais aussi comme création. Ce dernier point mérite qu’on s’y arrête. Si, en effet, le théâtre parlé a toujours fait l’objet de représentations en visite – </w:t>
      </w:r>
      <w:r>
        <w:rPr>
          <w:i/>
        </w:rPr>
        <w:t>Mithridate</w:t>
      </w:r>
      <w:r>
        <w:t xml:space="preserve"> avait ainsi été plusieurs fois donné, à Saint-Germain ou à Saint-Cloud, devant Monsieur, Madame et toute la cour, entre février et août 1673</w:t>
      </w:r>
      <w:r>
        <w:rPr>
          <w:rStyle w:val="Appelnotedebasdep"/>
        </w:rPr>
        <w:footnoteReference w:id="6"/>
      </w:r>
      <w:r>
        <w:t xml:space="preserve"> – , s’il est par ailleurs fréquent que les spectacles musicaux soient créés à la cour, dont ils sont souvent l’émanation – comme en témoigne la série des comédies-ballets – il est rarissime que des pièces sans musique soient données pour la première fois dans le cadre curial. Au vrai, on ne connaît, avant </w:t>
      </w:r>
      <w:r>
        <w:rPr>
          <w:i/>
        </w:rPr>
        <w:t>Iphigénie</w:t>
      </w:r>
      <w:r>
        <w:t xml:space="preserve">, que deux exemples : celui de </w:t>
      </w:r>
      <w:r>
        <w:rPr>
          <w:i/>
        </w:rPr>
        <w:t xml:space="preserve">Tartuffe </w:t>
      </w:r>
      <w:r>
        <w:t>créé dans le cadre des fêtes de 1664 déjà évoquées et celui de l’</w:t>
      </w:r>
      <w:r>
        <w:rPr>
          <w:i/>
        </w:rPr>
        <w:t xml:space="preserve">Othon </w:t>
      </w:r>
      <w:r>
        <w:t>de Corneille donné pour la première fois à Fontainebleau deux mois plus tard</w:t>
      </w:r>
      <w:r>
        <w:rPr>
          <w:rStyle w:val="Appelnotedebasdep"/>
        </w:rPr>
        <w:footnoteReference w:id="7"/>
      </w:r>
      <w:r>
        <w:t xml:space="preserve">. </w:t>
      </w:r>
    </w:p>
    <w:p>
      <w:pPr>
        <w:ind w:firstLine="283"/>
      </w:pPr>
      <w:r>
        <w:t xml:space="preserve">Quelles étaient les raisons qui pouvaient expliquer qu’une telle faveur fût faite à Racine ? Selon Georges Forestier, elles étaient au nombre de trois : d’une part la triple protection de Mmes de Montespan et de Thianges ainsi que de Colbert, mais aussi la « faveur toute particulière que Louis XIV avait manifestée l’année précédente envers </w:t>
      </w:r>
      <w:r>
        <w:rPr>
          <w:i/>
        </w:rPr>
        <w:t>Mithridate</w:t>
      </w:r>
      <w:r>
        <w:t xml:space="preserve"> » et le désir de célébrer ses victoires, qui pouvait trouver un prolongement ou une forme d’écho, indirect et subtil, dans </w:t>
      </w:r>
      <w:r>
        <w:rPr>
          <w:i/>
        </w:rPr>
        <w:t>Iphigénie</w:t>
      </w:r>
      <w:r>
        <w:t>, « méditation sur le terrible inconfort de la condition royale</w:t>
      </w:r>
      <w:r>
        <w:rPr>
          <w:rStyle w:val="Appelnotedebasdep"/>
        </w:rPr>
        <w:footnoteReference w:id="8"/>
      </w:r>
      <w:r>
        <w:t xml:space="preserve"> ».</w:t>
      </w:r>
    </w:p>
    <w:p>
      <w:pPr>
        <w:ind w:firstLine="283"/>
      </w:pPr>
      <w:r>
        <w:t xml:space="preserve">On peut former une hypothèse complémentaire et se demander si le roi, fou d’opéra en même temps qu’admirateur de Racine, n’avait pas voulu se donner le plaisir d’une forme de compétition entre théâtre parlé et théâtre musical, de même qu’il avait souhaité voir représentées, le 11 décembre 1663 à l’hôtel de Condé, la série de pièces consacrées à </w:t>
      </w:r>
      <w:r>
        <w:rPr>
          <w:i/>
        </w:rPr>
        <w:t>L’École des femmes</w:t>
      </w:r>
      <w:r>
        <w:t xml:space="preserve"> (</w:t>
      </w:r>
      <w:r>
        <w:rPr>
          <w:i/>
        </w:rPr>
        <w:t>La Critique de L’École des femmes</w:t>
      </w:r>
      <w:r>
        <w:t xml:space="preserve">, </w:t>
      </w:r>
      <w:r>
        <w:rPr>
          <w:i/>
        </w:rPr>
        <w:t>L’Impromptu de Versailles</w:t>
      </w:r>
      <w:r>
        <w:t xml:space="preserve">, </w:t>
      </w:r>
      <w:r>
        <w:rPr>
          <w:i/>
        </w:rPr>
        <w:t xml:space="preserve">le Portrait du peintre </w:t>
      </w:r>
      <w:r>
        <w:t xml:space="preserve">et </w:t>
      </w:r>
      <w:r>
        <w:rPr>
          <w:i/>
        </w:rPr>
        <w:t xml:space="preserve">L’Impromptu </w:t>
      </w:r>
      <w:r>
        <w:t xml:space="preserve">de Montfleury renommé pour l’occasion </w:t>
      </w:r>
      <w:r>
        <w:rPr>
          <w:i/>
        </w:rPr>
        <w:t>Impromptu de l</w:t>
      </w:r>
      <w:r>
        <w:rPr>
          <w:i/>
        </w:rPr>
        <w:t>’Hô</w:t>
      </w:r>
      <w:r>
        <w:rPr>
          <w:i/>
        </w:rPr>
        <w:t>tel de Condé</w:t>
      </w:r>
      <w:r>
        <w:t xml:space="preserve">), soit des textes </w:t>
      </w:r>
      <w:r>
        <w:rPr>
          <w:i/>
        </w:rPr>
        <w:t xml:space="preserve">pro </w:t>
      </w:r>
      <w:r>
        <w:t xml:space="preserve">et </w:t>
      </w:r>
      <w:r>
        <w:rPr>
          <w:i/>
        </w:rPr>
        <w:t>contra</w:t>
      </w:r>
      <w:r>
        <w:t xml:space="preserve"> que, en arbitre des querelles et des divertissements, le roi pouvait prendre plaisir à voir se répondre</w:t>
      </w:r>
      <w:r>
        <w:rPr>
          <w:rStyle w:val="Appelnotedebasdep"/>
        </w:rPr>
        <w:footnoteReference w:id="9"/>
      </w:r>
      <w:r>
        <w:t>.</w:t>
      </w:r>
    </w:p>
    <w:p>
      <w:pPr>
        <w:ind w:firstLine="283"/>
      </w:pPr>
      <w:r>
        <w:t xml:space="preserve">Racine fut, en tout cas, engagé malgré lui dans la logique de production d’un spectacle de cour, celle-là même qui caractérisait les représentations du théâtre en musique, comme l’atteste l’état de la dépense relative à la construction des théâtres et des décors. Ont ainsi été </w:t>
      </w:r>
      <w:r>
        <w:t xml:space="preserve">versés 100 livres à Vigarani pour la construction de quatre théâtres (pour </w:t>
      </w:r>
      <w:r>
        <w:rPr>
          <w:i/>
        </w:rPr>
        <w:t>Alceste</w:t>
      </w:r>
      <w:r>
        <w:t xml:space="preserve">, </w:t>
      </w:r>
      <w:r>
        <w:rPr>
          <w:i/>
        </w:rPr>
        <w:t>Le Malade imaginaire</w:t>
      </w:r>
      <w:r>
        <w:t xml:space="preserve">, </w:t>
      </w:r>
      <w:r>
        <w:rPr>
          <w:i/>
        </w:rPr>
        <w:t>Les Fêtes de l’Amour et de Bacchus</w:t>
      </w:r>
      <w:r>
        <w:t xml:space="preserve"> et </w:t>
      </w:r>
      <w:r>
        <w:rPr>
          <w:i/>
        </w:rPr>
        <w:t>Iphigénie</w:t>
      </w:r>
      <w:r>
        <w:t>, représentés dans quatre lieux différents), 100 livres également au sieur Bouvet « pour toute la peinture par lui faite pour la comédie d’</w:t>
      </w:r>
      <w:r>
        <w:rPr>
          <w:i/>
        </w:rPr>
        <w:t>Iphigénie</w:t>
      </w:r>
      <w:r>
        <w:t xml:space="preserve"> suivant son mémoire » ; quant au sieur Clinchamp, « qui a eu soin de faire travailler au théâtre de l’Orangerie et de faire faire ce qui a été nécessaire pour la représentation d’</w:t>
      </w:r>
      <w:r>
        <w:rPr>
          <w:i/>
        </w:rPr>
        <w:t>Iphigénie</w:t>
      </w:r>
      <w:r>
        <w:t>, le tout pendant 10 jours », il lui a été versé, « à raison de 10 livres par jour, la somme de cent livres</w:t>
      </w:r>
      <w:r>
        <w:rPr>
          <w:rStyle w:val="Appelnotedebasdep"/>
        </w:rPr>
        <w:footnoteReference w:id="10"/>
      </w:r>
      <w:r>
        <w:t xml:space="preserve"> ».</w:t>
      </w:r>
    </w:p>
    <w:p>
      <w:pPr>
        <w:ind w:firstLine="283"/>
      </w:pPr>
      <w:r>
        <w:t xml:space="preserve">Comme la reprise du </w:t>
      </w:r>
      <w:r>
        <w:rPr>
          <w:i/>
        </w:rPr>
        <w:t>Malade imaginaire</w:t>
      </w:r>
      <w:r>
        <w:t xml:space="preserve"> un mois plus tôt, la création d’</w:t>
      </w:r>
      <w:r>
        <w:rPr>
          <w:i/>
        </w:rPr>
        <w:t>Iphigénie</w:t>
      </w:r>
      <w:r>
        <w:t xml:space="preserve"> eut lieu, en effet, dans un théâtre éphémère conçu pour cette seule représentation et exploitant le cadre des jardins de Versailles, en l’occurrence l’allée de l’Orangerie, le trompe-l’œil et la perspective réelle se superposant, et permettant de célébrer surtout la magnificence royale, comme l’indique la description de Félibien. Il raconte en effet : </w:t>
      </w:r>
    </w:p>
    <w:p>
      <w:pPr>
        <w:pStyle w:val="TEIquote"/>
        <w:spacing w:line="240" w:lineRule="auto"/>
        <w:ind w:left="397"/>
        <w:jc w:val="both"/>
      </w:pPr>
      <w:r>
        <w:rPr>
          <w:sz w:val="22"/>
        </w:rPr>
        <w:t>Après que leurs Majestés eurent fait collation au son des violons et des hautbois, toutes les tables furent abandonnées au pillage […] et le Roi étant remonté dans sa calèche, s’en alla suivi de toute la Cour au bout de l’allée qui va dans l’Orangerie, où l’on avait dressé un Théâtre.</w:t>
      </w:r>
    </w:p>
    <w:p>
      <w:pPr>
        <w:pStyle w:val="TEIquote"/>
        <w:spacing w:line="240" w:lineRule="auto"/>
        <w:ind w:left="397"/>
        <w:jc w:val="both"/>
      </w:pPr>
      <w:r>
        <w:rPr>
          <w:sz w:val="22"/>
        </w:rPr>
        <w:t xml:space="preserve">La décoration était tout différente de celle des autres dont il a été parlé, mais très agréable : elle représentait une longue allée de verdure, où de part et d’autre il y avait des bassins de fontaine, et d’espace en espace des grottes d’un ouvrage rustique, mais travaillé très délicatement. Sur leur entablement régnait une balustrade, où étaient arrangés des vases de porcelaine pleins de fleurs. Les bassins des fontaines étaient de marbre, soutenus par des Tritons dorés ; et dans ces bassins on en voyait d’autres plus élevés, qui portaient de grandes statues d’or. Cette allée se terminait dans le fond du Théâtre par des tentes qui avaient rapport à celles qui couvraient l’Orchestre ; et au-delà paraissait une longue allée, qui était l’allée même de l’Orangerie, bordée des deux côtés de grands orangers et de grenadiers entremêlés de plusieurs vases de porcelaine remplis de diverses fleurs. Entre chaque arbre il y avait de grands candélabres et des guéridons d’or et d’azur, qui portaient des girandoles de cristal allumées de plusieurs bougies. Cette allée finissait par un portique de marbre : les pilastres qui en soutenaient la corniche, étaient de lapis, et la porte paraissait toute d’orfèvrerie. </w:t>
      </w:r>
    </w:p>
    <w:p>
      <w:pPr>
        <w:pStyle w:val="TEIquote"/>
        <w:spacing w:line="240" w:lineRule="auto"/>
        <w:ind w:left="397"/>
        <w:jc w:val="both"/>
      </w:pPr>
      <w:r>
        <w:rPr>
          <w:sz w:val="22"/>
        </w:rPr>
        <w:t>Sur ce Théâtre orné de la manière que je viens de dire, la Troupe des Comédiens du Roy représenta la Tragédie d’IPHIGENIE, dernier Ouvrage du sieur Racine, qui reçut de toute la Cour l’estime qu’ont toujours eu</w:t>
      </w:r>
      <w:r>
        <w:rPr>
          <w:sz w:val="22"/>
        </w:rPr>
        <w:t>e</w:t>
      </w:r>
      <w:r>
        <w:rPr>
          <w:sz w:val="22"/>
        </w:rPr>
        <w:t xml:space="preserve"> les pièces de cet Auteur</w:t>
      </w:r>
      <w:r>
        <w:rPr>
          <w:rStyle w:val="Appelnotedebasdep"/>
        </w:rPr>
        <w:footnoteReference w:id="11"/>
      </w:r>
      <w:r>
        <w:rPr>
          <w:sz w:val="22"/>
        </w:rPr>
        <w:t>.</w:t>
      </w:r>
    </w:p>
    <w:p>
      <w:pPr>
        <w:pStyle w:val="TEIparagraphconsecutive"/>
      </w:pPr>
      <w:r>
        <w:t>Contrairement aux autres parties de la relation, celle qui nous intéresse est malheureusement dépourvue d’un prolongement iconographique – plus exactement, la gravure qui vient clore le récit de la cinquième journée représente le feu d’artifice tiré au-dessus de la pièce d’eau du canal. Ce fait s’explique sans doute, comme la brièveté du commentaire relatif à la pièce elle-même, par les liens très étroits qui unissent le rédacteur de cette relation aux frères Perrault, et notamment à l’auteur de la défense d’</w:t>
      </w:r>
      <w:r>
        <w:rPr>
          <w:i/>
        </w:rPr>
        <w:t>Alceste</w:t>
      </w:r>
      <w:r>
        <w:t>, cible de la préface d’</w:t>
      </w:r>
      <w:r>
        <w:rPr>
          <w:i/>
        </w:rPr>
        <w:t>Iphigénie</w:t>
      </w:r>
      <w:r>
        <w:t xml:space="preserve"> parue dans l’intervalle qui sépare la création de la tragédie à Versailles de la publication de la relation en 1676. </w:t>
      </w:r>
    </w:p>
    <w:p>
      <w:pPr>
        <w:ind w:firstLine="283"/>
      </w:pPr>
      <w:r>
        <w:tab/>
      </w:r>
      <w:r>
        <w:t xml:space="preserve">Car </w:t>
      </w:r>
      <w:r>
        <w:rPr>
          <w:i/>
        </w:rPr>
        <w:t xml:space="preserve">Iphigénie </w:t>
      </w:r>
      <w:r>
        <w:t xml:space="preserve">est doublement liée à </w:t>
      </w:r>
      <w:r>
        <w:rPr>
          <w:i/>
        </w:rPr>
        <w:t>Alceste</w:t>
      </w:r>
      <w:r>
        <w:t xml:space="preserve"> : elle l’est par sa genèse et, d’abord, par le choix d’Euripide puis de ce sujet précisément ; elle l’est ensuite par sa préface, postérieure à la publication du livret de l’opéra de Quinault et Lully et de la </w:t>
      </w:r>
      <w:r>
        <w:rPr>
          <w:i/>
        </w:rPr>
        <w:t xml:space="preserve">Critique de l’opéra, ou Examen de la tragédie intitulée </w:t>
      </w:r>
      <w:r>
        <w:t xml:space="preserve">Alceste, ou le triomphe d’Alcide, qui paraissent tous deux en 1674. Offensif et délibérément polémique, le texte de la préface rappelle la </w:t>
      </w:r>
      <w:r>
        <w:rPr>
          <w:i/>
        </w:rPr>
        <w:t xml:space="preserve">doxa </w:t>
      </w:r>
      <w:r>
        <w:t>en matière de poétique tragique et annexe Euripide à la seule tragédie parlée, déniant aux auteurs de tragédies en musique le droit de se l’approprier</w:t>
      </w:r>
      <w:r>
        <w:rPr>
          <w:rStyle w:val="Appelnotedebasdep"/>
        </w:rPr>
        <w:footnoteReference w:id="12"/>
      </w:r>
      <w:r>
        <w:t xml:space="preserve">. Mais c’est, en réalité, dès la genèse de la pièce que se manifeste cette dimension polémique : le choix d’Euripide par Racine est déterminé par la volonté d’en découdre avec le librettiste de Lully qui avait quitté l’inépuisable vivier de sujets merveilleux qu’étaient les </w:t>
      </w:r>
      <w:r>
        <w:rPr>
          <w:i/>
        </w:rPr>
        <w:t xml:space="preserve">Métamorphoses </w:t>
      </w:r>
      <w:r>
        <w:t>d’Ovide, source habituelle des tragédies à machines et autres pièces à grand spectacle, pour le tragique grec. Comme le rappelle une fois encore Georges Forestier, ce n’est pas Racine qui est venu à Euripide, c’est Euripide qui est venu à lui, par l’intermédiaire de l’opéra, alors que Racine est à ce  moment-là de sa carrière considéré essentiellement comme un spécialiste de la tragédie romaine (</w:t>
      </w:r>
      <w:r>
        <w:rPr>
          <w:i/>
        </w:rPr>
        <w:t xml:space="preserve">La Thébaïde </w:t>
      </w:r>
      <w:r>
        <w:t xml:space="preserve">est loin et </w:t>
      </w:r>
      <w:r>
        <w:rPr>
          <w:i/>
        </w:rPr>
        <w:t xml:space="preserve">Andromaque </w:t>
      </w:r>
      <w:r>
        <w:t>peut passer pour une exception, un pas de côté</w:t>
      </w:r>
      <w:r>
        <w:rPr>
          <w:rStyle w:val="Appelnotedebasdep"/>
        </w:rPr>
        <w:footnoteReference w:id="13"/>
      </w:r>
      <w:r>
        <w:t xml:space="preserve">). De ce point de vue, il n’est peut-être pas nécessaire de revenir sur les raisons qui, toujours selon Georges Forestier, expliquent que Racine, après avoir hésité entre les deux sujets d’Iphigénie – créature féminine dont les malheurs pouvaient toucher autant, sinon davantage, que ceux d’Alceste – choisit finalement celui d’Iphigénie à Aulide, Iphigénie sacrifiée et non sacrifiante. Outre sa dimension aristotélicienne (un père se prépare à mettre à mort sa fille), le choix du sujet se justifie sans doute essentiellement par la nature du dénouement de la pièce grecque et la possibilité qu’elle offrait dès lors d’opposer à l’opéra et à ses défenseurs un merveilleux rationnel et fondé sur les seuls ressorts de la poésie. </w:t>
      </w:r>
    </w:p>
    <w:p>
      <w:pPr>
        <w:ind w:firstLine="283"/>
      </w:pPr>
      <w:r>
        <w:t>Mais précisément : pour éviter le merveilleux propre au sujet – et qui était l’élément le plus « opératique » de la pièce donc  – Racine avait été contraint d’enfreindre une des lois de la composition tragique, telles du moins qu’elles avaient pu être fixées et appliquées par Corneille, à savoir l’intangibilité du dénouement reçu. Si Iphigénie est bien épargnée, Racine n’a pas conservé la substitution miraculeuse d’une biche à la fille d’Agamemnon et, pour sauver Iphigénie sans faire intervenir la déesse à l’origine de cette substitution, il lui a fallu inventer l’épisode d’Ériphile…</w:t>
      </w:r>
    </w:p>
    <w:p>
      <w:pPr>
        <w:pStyle w:val="Titre3"/>
      </w:pPr>
      <w:r>
        <w:rPr>
          <w:b/>
          <w:i/>
          <w:sz w:val="26"/>
        </w:rPr>
        <w:t xml:space="preserve">Iphigénie </w:t>
      </w:r>
      <w:r>
        <w:rPr>
          <w:b/>
          <w:sz w:val="26"/>
        </w:rPr>
        <w:t>à la ville : la confrontation avec le modèle cornélien</w:t>
      </w:r>
    </w:p>
    <w:p>
      <w:pPr>
        <w:ind w:firstLine="283"/>
      </w:pPr>
      <w:r>
        <w:t>Et c’est bien ce qui est en jeu dans la deuxième confrontation qui marque l’histoire de la création et des premières représentations d’</w:t>
      </w:r>
      <w:r>
        <w:rPr>
          <w:i/>
        </w:rPr>
        <w:t>Iphigénie</w:t>
      </w:r>
      <w:r>
        <w:t xml:space="preserve">. La pièce a suscité un certain nombre de réserves qu’on ne peut pas expliquer uniquement par la jalousie et la méchanceté des cornéliens, et qui tiennent à la difficulté qu’il y a à greffer sans dommages un épisode sur un sujet aussi connu et à lier de manière nécessaire action principale et action secondaire. Corneille, précisément, avait été confronté à pareille difficulté lorsqu’il avait entrepris de réécrire </w:t>
      </w:r>
      <w:r>
        <w:rPr>
          <w:i/>
        </w:rPr>
        <w:t>Œdipe roi</w:t>
      </w:r>
      <w:r>
        <w:t>, et y avait remédié en donnant une sœur à Œdipe et en l’insérant dans la trame reçue. Racine ne procède pas autrement, et il est certain qu’il s’inspire du précédent cornélien en la matière. Mais il est confronté ce faisant à ce que, dans le prolongement de ce que nous avions appelé le « complexe de Dircé » pour l’</w:t>
      </w:r>
      <w:r>
        <w:rPr>
          <w:i/>
        </w:rPr>
        <w:t xml:space="preserve">Œdipe </w:t>
      </w:r>
      <w:r>
        <w:t>de Corneille</w:t>
      </w:r>
      <w:r>
        <w:rPr>
          <w:rStyle w:val="Appelnotedebasdep"/>
        </w:rPr>
        <w:footnoteReference w:id="14"/>
      </w:r>
      <w:r>
        <w:t xml:space="preserve">, Marc Escola </w:t>
      </w:r>
      <w:r>
        <w:t>nomme le « complexe d</w:t>
      </w:r>
      <w:r>
        <w:t>’Ér</w:t>
      </w:r>
      <w:r>
        <w:t>iphile</w:t>
      </w:r>
      <w:r>
        <w:rPr>
          <w:rStyle w:val="Appelnotedebasdep"/>
        </w:rPr>
        <w:footnoteReference w:id="15"/>
      </w:r>
      <w:r>
        <w:t xml:space="preserve"> », soit la difficulté structurelle qu’il y à exister pleinement pour cette deuxième intrigue face à l’autorité de l’hypotexte antique. </w:t>
      </w:r>
    </w:p>
    <w:p>
      <w:pPr>
        <w:ind w:firstLine="283"/>
      </w:pPr>
      <w:r>
        <w:t>La deuxième confrontation autour d’</w:t>
      </w:r>
      <w:r>
        <w:rPr>
          <w:i/>
        </w:rPr>
        <w:t>Iphigénie</w:t>
      </w:r>
      <w:r>
        <w:t xml:space="preserve"> a lieu à la ville, et a pour protagonistes Leclerc et Coras, auteurs d’une </w:t>
      </w:r>
      <w:r>
        <w:rPr>
          <w:i/>
        </w:rPr>
        <w:t xml:space="preserve">Iphigénie </w:t>
      </w:r>
      <w:r>
        <w:t xml:space="preserve">donnée au théâtre Guénégaud au mois de mai 1675, et retirée au bout de cinq représentations. Le cas de figure est donc un peu différent des « vraies » pièces rivales et configurations à la </w:t>
      </w:r>
      <w:r>
        <w:rPr>
          <w:i/>
        </w:rPr>
        <w:t>Bérénice</w:t>
      </w:r>
      <w:r>
        <w:t xml:space="preserve"> : après la création à Versailles, un délai de six mois ou peu s’en faut s’écoule avant la série de représentations de la pièce de Racine à l’Hôtel de Bourgogne ; elle est jouée à la ville à partir de la fin du mois de </w:t>
      </w:r>
      <w:r>
        <w:t>décembre 1674 et jusqu’en janvier 1675 et connaît un succès triomphal.</w:t>
      </w:r>
      <w:r>
        <w:t xml:space="preserve"> Ce n’est que quatre mois après qu’une autre </w:t>
      </w:r>
      <w:r>
        <w:rPr>
          <w:i/>
        </w:rPr>
        <w:t xml:space="preserve">Iphigénie </w:t>
      </w:r>
      <w:r>
        <w:t xml:space="preserve">lui est opposée, sur la scène rivale du Guénégaud. </w:t>
      </w:r>
      <w:r>
        <w:t xml:space="preserve">Que la tragédie publiée sous le seul nom de Leclerc ne soit pas inoubliable, nul ne le conteste ; qu’elle ait été le fruit d’une commande des cornéliens, la chose n’est guère discutable. Elle constitue cependant un témoignage tout à fait digne d’intérêt de la manière dont le coup de force de Racine, à savoir le crime de « lèse-poétique » qu’il a commis sur le dénouement d’Euripide a pu être reçu par une partie du public. Deux textes au moins en témoignent : la préface de Leclerc et les anonymes </w:t>
      </w:r>
      <w:r>
        <w:rPr>
          <w:i/>
        </w:rPr>
        <w:t>Remarques sur l’</w:t>
      </w:r>
      <w:r>
        <w:t xml:space="preserve">Iphigénie </w:t>
      </w:r>
      <w:r>
        <w:rPr>
          <w:i/>
        </w:rPr>
        <w:t xml:space="preserve">de Racine </w:t>
      </w:r>
      <w:r>
        <w:t>également parues en 1675.</w:t>
      </w:r>
    </w:p>
    <w:p>
      <w:pPr>
        <w:ind w:firstLine="283"/>
      </w:pPr>
      <w:r>
        <w:t xml:space="preserve">Arrêtons-nous sur la préface de Leclerc. L’auteur y justifie la critique du dénouement racinien en se fondant sur un passage du </w:t>
      </w:r>
      <w:r>
        <w:rPr>
          <w:i/>
        </w:rPr>
        <w:t>Discours de la tragédie</w:t>
      </w:r>
      <w:r>
        <w:t xml:space="preserve"> de Corneille, qu’il ne cite pas. Car Leclerc est un plagiaire – il plagie Corneille dans sa préface et Rotrou dans sa pièce – ; mais c’est un plagiaire qui nous dit quelque chose de la réception de la pièce de Racine et de la manière dont a pu être perçu, par une partie du public, cet épisode d</w:t>
      </w:r>
      <w:r>
        <w:t>’Ér</w:t>
      </w:r>
      <w:r>
        <w:t>iphile dont on peut penser qu’il s’articule plus ou moins bien avec les données grecques. Plus généralement – et la chose ne manque pas de piquant –, Leclerc se livre, comme l’avait fait Racine dans la préface de sa pièce à l’encontre de Quinault et de son défenseur Perrault, à une petite leçon d’orthodoxie euripidéenne :</w:t>
      </w:r>
    </w:p>
    <w:p>
      <w:pPr>
        <w:pStyle w:val="TEIquote"/>
        <w:spacing w:line="240" w:lineRule="auto"/>
        <w:ind w:left="397"/>
        <w:jc w:val="both"/>
      </w:pPr>
      <w:r>
        <w:rPr>
          <w:sz w:val="22"/>
        </w:rPr>
        <w:t>C</w:t>
      </w:r>
      <w:r>
        <w:rPr>
          <w:sz w:val="22"/>
        </w:rPr>
        <w:t xml:space="preserve">’est encore une maxime établie, qu’il n’est pas permis de changer l’action principale des </w:t>
      </w:r>
      <w:r>
        <w:rPr>
          <w:sz w:val="22"/>
        </w:rPr>
        <w:t>s</w:t>
      </w:r>
      <w:r>
        <w:rPr>
          <w:sz w:val="22"/>
        </w:rPr>
        <w:t>ujets re</w:t>
      </w:r>
      <w:r>
        <w:rPr>
          <w:sz w:val="22"/>
        </w:rPr>
        <w:t>ç</w:t>
      </w:r>
      <w:r>
        <w:rPr>
          <w:sz w:val="22"/>
        </w:rPr>
        <w:t>us de la Fable, non plus que de ceux qui sont tir</w:t>
      </w:r>
      <w:r>
        <w:rPr>
          <w:sz w:val="22"/>
        </w:rPr>
        <w:t>és</w:t>
      </w:r>
      <w:r>
        <w:rPr>
          <w:sz w:val="22"/>
        </w:rPr>
        <w:t xml:space="preserve"> des Histoires absolument connu</w:t>
      </w:r>
      <w:r>
        <w:rPr>
          <w:sz w:val="22"/>
        </w:rPr>
        <w:t>e</w:t>
      </w:r>
      <w:r>
        <w:rPr>
          <w:sz w:val="22"/>
        </w:rPr>
        <w:t>s, et nous ne sommes v</w:t>
      </w:r>
      <w:r>
        <w:rPr>
          <w:sz w:val="22"/>
        </w:rPr>
        <w:t>é</w:t>
      </w:r>
      <w:r>
        <w:rPr>
          <w:sz w:val="22"/>
        </w:rPr>
        <w:t>ritablement ma</w:t>
      </w:r>
      <w:r>
        <w:rPr>
          <w:sz w:val="22"/>
        </w:rPr>
        <w:t>î</w:t>
      </w:r>
      <w:r>
        <w:rPr>
          <w:sz w:val="22"/>
        </w:rPr>
        <w:t xml:space="preserve">tres que des </w:t>
      </w:r>
      <w:r>
        <w:rPr>
          <w:sz w:val="22"/>
        </w:rPr>
        <w:t>i</w:t>
      </w:r>
      <w:r>
        <w:rPr>
          <w:sz w:val="22"/>
        </w:rPr>
        <w:t>ncidents que l’</w:t>
      </w:r>
      <w:r>
        <w:rPr>
          <w:sz w:val="22"/>
        </w:rPr>
        <w:t>a</w:t>
      </w:r>
      <w:r>
        <w:rPr>
          <w:sz w:val="22"/>
        </w:rPr>
        <w:t>uditeur croit aisément, qu</w:t>
      </w:r>
      <w:r>
        <w:rPr>
          <w:sz w:val="22"/>
        </w:rPr>
        <w:t xml:space="preserve">and il </w:t>
      </w:r>
      <w:r>
        <w:rPr>
          <w:sz w:val="22"/>
        </w:rPr>
        <w:t>voi</w:t>
      </w:r>
      <w:r>
        <w:rPr>
          <w:sz w:val="22"/>
        </w:rPr>
        <w:t>t</w:t>
      </w:r>
      <w:r>
        <w:rPr>
          <w:sz w:val="22"/>
        </w:rPr>
        <w:t xml:space="preserve"> qu’ils co</w:t>
      </w:r>
      <w:r>
        <w:rPr>
          <w:sz w:val="22"/>
        </w:rPr>
        <w:t>nduisent à ce qu’il sait</w:t>
      </w:r>
      <w:r>
        <w:rPr>
          <w:sz w:val="22"/>
        </w:rPr>
        <w:t xml:space="preserve"> ê</w:t>
      </w:r>
      <w:r>
        <w:rPr>
          <w:sz w:val="22"/>
        </w:rPr>
        <w:t>tre v</w:t>
      </w:r>
      <w:r>
        <w:rPr>
          <w:sz w:val="22"/>
        </w:rPr>
        <w:t>é</w:t>
      </w:r>
      <w:r>
        <w:rPr>
          <w:sz w:val="22"/>
        </w:rPr>
        <w:t>ritabl</w:t>
      </w:r>
      <w:r>
        <w:rPr>
          <w:sz w:val="22"/>
        </w:rPr>
        <w:t>e et</w:t>
      </w:r>
      <w:r>
        <w:rPr>
          <w:sz w:val="22"/>
        </w:rPr>
        <w:t xml:space="preserve"> dont la Fable </w:t>
      </w:r>
      <w:r>
        <w:rPr>
          <w:sz w:val="22"/>
        </w:rPr>
        <w:t>et</w:t>
      </w:r>
      <w:r>
        <w:rPr>
          <w:sz w:val="22"/>
        </w:rPr>
        <w:t xml:space="preserve"> l’Histoire lu</w:t>
      </w:r>
      <w:r>
        <w:rPr>
          <w:sz w:val="22"/>
        </w:rPr>
        <w:t>i</w:t>
      </w:r>
      <w:r>
        <w:rPr>
          <w:sz w:val="22"/>
        </w:rPr>
        <w:t xml:space="preserve"> ont laissé une forte imp</w:t>
      </w:r>
      <w:r>
        <w:rPr>
          <w:sz w:val="22"/>
        </w:rPr>
        <w:t xml:space="preserve">ression. </w:t>
      </w:r>
    </w:p>
    <w:p>
      <w:pPr>
        <w:pStyle w:val="TEIparagraphconsecutive"/>
      </w:pPr>
      <w:r>
        <w:t>Cette « maxime établie »… par Corneille, dont Leclerc s’approprie très précisément un développement du deuxième Discours</w:t>
      </w:r>
      <w:r>
        <w:rPr>
          <w:rStyle w:val="Appelnotedebasdep"/>
        </w:rPr>
        <w:footnoteReference w:id="16"/>
      </w:r>
      <w:r>
        <w:t xml:space="preserve">, constitue le cadre théorique dans lequel il peut comparer les deux adaptations du même sujet, l’une – la sienne – exemplairement fidèle à Euripide et aux ressorts essentiels de son </w:t>
      </w:r>
      <w:r>
        <w:rPr>
          <w:i/>
        </w:rPr>
        <w:t>Iphigénie</w:t>
      </w:r>
      <w:r>
        <w:t xml:space="preserve"> et l’autre – celle de Racine – qui s’en écarte non seulement en son dénouement, « catastrophe généralement reçue », mais encore, et précisément pour pouvoir préparer un dénouement alternatif, en « joignant » « des intrigues d’amour et des jalousies hors d’œuvre » : </w:t>
      </w:r>
    </w:p>
    <w:p>
      <w:pPr>
        <w:pStyle w:val="TEIquote"/>
        <w:spacing w:line="240" w:lineRule="auto"/>
        <w:ind w:left="397"/>
        <w:jc w:val="both"/>
      </w:pPr>
      <w:r>
        <w:rPr>
          <w:sz w:val="22"/>
        </w:rPr>
        <w:t xml:space="preserve">On remarquera aisément que nous avons pris des routes toutes différentes, quoique nous ayons traité le même sujet. M. Racine a suivi Euripide où je l’ai quitté et il l’a quitté où je l’ai suivi. Il peut avoir eu ses raisons comme j’ai eu les miennes. Il a cru que le </w:t>
      </w:r>
      <w:r>
        <w:rPr>
          <w:sz w:val="22"/>
        </w:rPr>
        <w:t xml:space="preserve">sacrifice de la véritable Iphigénie donnerait de l’horreur, et il n’a fait qu’exciter la compassion et arracher des larmes. Il a trouvé que le sujet était trop nu s’il ne donnait une rivale à Iphigénie, et il m’a paru que les irrésolutions d’un père combattu par les sentiments de la Nature et par le devoir d’un chef d’armée qui exigeait le sang d’une fille qui lui était si chère : Que le désespoir d’une mère qui apprend qu’elle l’a conduite au sacrifice, lorsqu’elle s’attendait à la voir l’épouse du plus fameux héros de la Grèce ; Que la constance de cette fille qui s’offre si généreusement à être la victime des Grecs quelque secrète joie qu’elle ressentit à se voir aimé d’Achille : Enfin que la juste colère de cet amant de qui le nom avait servi pour la conduite de la mort. J’ai jugé, dis-je que toutes ces choses suffisaient pour attacher et remplir l’esprit de l’auditeur pendant cinq actes, et pour y produire cette terreur et cette pitié si essentielles à la tragédie, sans qu’il </w:t>
      </w:r>
      <w:r>
        <w:rPr>
          <w:sz w:val="22"/>
        </w:rPr>
        <w:t>fût</w:t>
      </w:r>
      <w:r>
        <w:rPr>
          <w:sz w:val="22"/>
        </w:rPr>
        <w:t xml:space="preserve"> besoin d’y joindre des intrigues d’amour et des jalousies hors d’œuvre, qui n’auraient fait que rompre le fil de l’action principale, dont la véritable beauté consiste dans la simplification et dans l’union des parties qui la composent. […] Enfin j’ai conservé avec Euripide une catastrophe généralement reçue et que M. Racine traite d’absurde dans sa préface</w:t>
      </w:r>
      <w:r>
        <w:rPr>
          <w:rStyle w:val="Appelnotedebasdep"/>
        </w:rPr>
        <w:footnoteReference w:id="17"/>
      </w:r>
      <w:r>
        <w:rPr>
          <w:sz w:val="22"/>
        </w:rPr>
        <w:t xml:space="preserve"> sans songer qu’il offense Euripide à qui il a tant d’obligation. Elle n’a pourtant choqué personne, et dans la représentation on a senti de la joie de voir cette princesse innocente sauvée par le secours de cette même Diane qui avait demandé sa mort.</w:t>
      </w:r>
      <w:r>
        <w:rPr>
          <w:rStyle w:val="Appelnotedebasdep"/>
        </w:rPr>
        <w:footnoteReference w:id="18"/>
      </w:r>
      <w:r>
        <w:rPr>
          <w:sz w:val="22"/>
        </w:rPr>
        <w:t xml:space="preserve"> </w:t>
      </w:r>
    </w:p>
    <w:p>
      <w:pPr>
        <w:pStyle w:val="Titre3"/>
      </w:pPr>
      <w:r>
        <w:rPr>
          <w:b/>
          <w:sz w:val="26"/>
        </w:rPr>
        <w:t>Montrer ou raconter : le devenir opératique d’</w:t>
      </w:r>
      <w:r>
        <w:rPr>
          <w:b/>
          <w:i/>
          <w:sz w:val="26"/>
        </w:rPr>
        <w:t>Iphigénie</w:t>
      </w:r>
    </w:p>
    <w:p>
      <w:pPr>
        <w:ind w:firstLine="283"/>
      </w:pPr>
      <w:r>
        <w:t xml:space="preserve">De son côté, Leclerc garde le dénouement reçu et le dispositif choisi par Euripide et seul acceptable dans une pièce parlée, à savoir un récit, en l’occurrence à plusieurs voix, selon le principe, très efficace, du récit coupé. La dernière partie en est confiée à Ulysse, qui rapporte le discours de Diane justifiant en ces termes l’enlèvement d’Iphigénie : </w:t>
      </w:r>
    </w:p>
    <w:p>
      <w:pPr>
        <w:pStyle w:val="TEIverse"/>
        <w:spacing w:line="240" w:lineRule="auto"/>
        <w:ind w:left="397"/>
        <w:jc w:val="left"/>
      </w:pPr>
      <w:r>
        <w:rPr>
          <w:sz w:val="22"/>
        </w:rPr>
        <w:t>L’horreur régnait partout, quand après mille éclairs</w:t>
      </w:r>
      <w:r>
        <w:br/>
      </w:r>
      <w:r>
        <w:rPr>
          <w:sz w:val="22"/>
        </w:rPr>
        <w:t>Diane sur son char a paru dans les airs.</w:t>
      </w:r>
      <w:r>
        <w:br/>
      </w:r>
      <w:r>
        <w:rPr>
          <w:sz w:val="22"/>
        </w:rPr>
        <w:t>Clytemnestre voulait garder pour l’Hyménée</w:t>
      </w:r>
      <w:r>
        <w:br/>
      </w:r>
      <w:r>
        <w:rPr>
          <w:sz w:val="22"/>
        </w:rPr>
        <w:t>Sa fille à mes autels par son vœu destinée,</w:t>
      </w:r>
      <w:r>
        <w:br/>
      </w:r>
      <w:r>
        <w:rPr>
          <w:sz w:val="22"/>
        </w:rPr>
        <w:t>Ô Grecs, a-t-elle dit, j’ai puni ce mépris,</w:t>
      </w:r>
      <w:r>
        <w:br/>
      </w:r>
      <w:r>
        <w:rPr>
          <w:sz w:val="22"/>
        </w:rPr>
        <w:t>Mais le sang de sa fille était d’un trop grand prix</w:t>
      </w:r>
      <w:r>
        <w:br/>
      </w:r>
      <w:r>
        <w:rPr>
          <w:sz w:val="22"/>
        </w:rPr>
        <w:t>Pour en pouvoir souffrir le cruel sacrifice,</w:t>
      </w:r>
      <w:r>
        <w:br/>
      </w:r>
      <w:r>
        <w:rPr>
          <w:sz w:val="22"/>
        </w:rPr>
        <w:t>Je l’aime, il me suffit que son vœu s’accomplisse.</w:t>
      </w:r>
      <w:r>
        <w:br/>
      </w:r>
      <w:r>
        <w:rPr>
          <w:sz w:val="22"/>
        </w:rPr>
        <w:t>Partez, Grecs, poursuit-elle, Achille sois constant,</w:t>
      </w:r>
      <w:r>
        <w:br/>
      </w:r>
      <w:r>
        <w:rPr>
          <w:sz w:val="22"/>
        </w:rPr>
        <w:t>Je dois la rendre un jour, c’est le prix qui t’attend.</w:t>
      </w:r>
      <w:r>
        <w:br/>
      </w:r>
      <w:r>
        <w:rPr>
          <w:sz w:val="22"/>
        </w:rPr>
        <w:t>La Déesse à ces mots se couvre d’un nuage,</w:t>
      </w:r>
      <w:r>
        <w:br/>
      </w:r>
      <w:r>
        <w:rPr>
          <w:sz w:val="22"/>
        </w:rPr>
        <w:t>Tout le Camp est charmé de cet heureux présage[19]…</w:t>
      </w:r>
    </w:p>
    <w:p>
      <w:pPr>
        <w:pStyle w:val="TEIparagraphconsecutive"/>
      </w:pPr>
      <w:r>
        <w:t xml:space="preserve">Le discours de la déesse fait explicitement signe vers la suite de l’histoire, que dramatise </w:t>
      </w:r>
      <w:r>
        <w:rPr>
          <w:i/>
        </w:rPr>
        <w:t>Iphigénie en Tauride</w:t>
      </w:r>
      <w:r>
        <w:t xml:space="preserve">, où l’on retrouve la fille d’Agamemnon et de Clytemnestre devenue prêtresse de Diane-Artémis tout en dotant d’un habillage moderne – une rivalité entre Diane et Clytemnestre quant au destin de la jeune vierge – le sujet connu. Il en allait de même chez </w:t>
      </w:r>
      <w:r>
        <w:t xml:space="preserve">Rotrou qui, cependant, avait fait le choix de la représentation non médiatisée de ce dénouement spectaculaire, dans le cadre d’une authentique tragédie à machines. Alors que tous les personnages sont réunis, Iphigénie supplie Achille de cesser de s’opposer à son sacrifice (« IPHIGÉNIE : N’empêchez point ma mort, / ACHILLE : Conservez-moi le jour. / IPHIGÉNIE : Epargnez mon honneur, / ACHILLE : Epargnez mon amour… »), puis Calchas, « </w:t>
      </w:r>
      <w:r>
        <w:rPr>
          <w:i/>
        </w:rPr>
        <w:t>à genoux auprès d’Iphigénie</w:t>
      </w:r>
      <w:r>
        <w:t xml:space="preserve"> », «</w:t>
      </w:r>
      <w:r>
        <w:rPr>
          <w:i/>
        </w:rPr>
        <w:t xml:space="preserve"> prend le couteau, et comme il veut porter le coup, il se fait un grand tonnerre. Iphigénie disparaît, et est enlevée au Ciel</w:t>
      </w:r>
      <w:r>
        <w:rPr>
          <w:rStyle w:val="Appelnotedebasdep"/>
        </w:rPr>
        <w:footnoteReference w:id="20"/>
      </w:r>
      <w:r>
        <w:t xml:space="preserve"> ». Alors « </w:t>
      </w:r>
      <w:r>
        <w:rPr>
          <w:i/>
        </w:rPr>
        <w:t>Le ciel s’ouvre</w:t>
      </w:r>
      <w:r>
        <w:t xml:space="preserve"> » puis « DIANE </w:t>
      </w:r>
      <w:r>
        <w:rPr>
          <w:i/>
        </w:rPr>
        <w:t>au ciel</w:t>
      </w:r>
      <w:r>
        <w:t xml:space="preserve"> », tandis que</w:t>
      </w:r>
      <w:r>
        <w:rPr>
          <w:i/>
        </w:rPr>
        <w:t xml:space="preserve"> </w:t>
      </w:r>
      <w:r>
        <w:t xml:space="preserve">« </w:t>
      </w:r>
      <w:r>
        <w:rPr>
          <w:i/>
        </w:rPr>
        <w:t>Tous se mettent à genoux</w:t>
      </w:r>
      <w:r>
        <w:t xml:space="preserve"> » annonce : </w:t>
      </w:r>
    </w:p>
    <w:p>
      <w:pPr>
        <w:pStyle w:val="TEIverse"/>
        <w:spacing w:line="240" w:lineRule="auto"/>
        <w:ind w:left="397"/>
        <w:jc w:val="left"/>
      </w:pPr>
      <w:r>
        <w:rPr>
          <w:sz w:val="22"/>
        </w:rPr>
        <w:t>Je sais le respect de la Grèce,</w:t>
      </w:r>
      <w:r>
        <w:br/>
      </w:r>
      <w:r>
        <w:rPr>
          <w:sz w:val="22"/>
        </w:rPr>
        <w:t>Son dessein me tient lieu d’effet,</w:t>
      </w:r>
      <w:r>
        <w:br/>
      </w:r>
      <w:r>
        <w:rPr>
          <w:sz w:val="22"/>
        </w:rPr>
        <w:t>Et j’ai vu d’un œil satisfait</w:t>
      </w:r>
      <w:r>
        <w:br/>
      </w:r>
      <w:r>
        <w:rPr>
          <w:sz w:val="22"/>
        </w:rPr>
        <w:t>La piété de sa Princesse,</w:t>
      </w:r>
      <w:r>
        <w:br/>
      </w:r>
      <w:r>
        <w:rPr>
          <w:sz w:val="22"/>
        </w:rPr>
        <w:t>Son sang de ma faveur est un trop digne prix,</w:t>
      </w:r>
      <w:r>
        <w:br/>
      </w:r>
      <w:r>
        <w:rPr>
          <w:sz w:val="22"/>
        </w:rPr>
        <w:t>Et pour faire paraître à quel point je l’estime,</w:t>
      </w:r>
      <w:r>
        <w:br/>
      </w:r>
      <w:r>
        <w:rPr>
          <w:sz w:val="22"/>
        </w:rPr>
        <w:t>Je la veux pour Prêtresse et non pas pour victime,</w:t>
      </w:r>
      <w:r>
        <w:br/>
      </w:r>
      <w:r>
        <w:rPr>
          <w:sz w:val="22"/>
        </w:rPr>
        <w:t>Et l’ai déjà rendue aux rives de Tauris.</w:t>
      </w:r>
    </w:p>
    <w:p>
      <w:pPr>
        <w:pStyle w:val="TEIparagraphconsecutive"/>
      </w:pPr>
      <w:r>
        <w:t xml:space="preserve">Après s’être adressée encore à ceux qui s’apprêtent à partir combattre à Troie « </w:t>
      </w:r>
      <w:r>
        <w:rPr>
          <w:i/>
        </w:rPr>
        <w:t xml:space="preserve">Elle se disparaît </w:t>
      </w:r>
      <w:r>
        <w:t>[sic]</w:t>
      </w:r>
      <w:r>
        <w:rPr>
          <w:i/>
        </w:rPr>
        <w:t>, et le ciel se ferme</w:t>
      </w:r>
      <w:r>
        <w:rPr>
          <w:rStyle w:val="Appelnotedebasdep"/>
        </w:rPr>
        <w:footnoteReference w:id="21"/>
      </w:r>
      <w:r>
        <w:t xml:space="preserve"> ». </w:t>
      </w:r>
    </w:p>
    <w:p>
      <w:pPr>
        <w:ind w:firstLine="283"/>
      </w:pPr>
      <w:r>
        <w:t>Racine explore, quant à lui, une troisième voie, qui constitue à bien des égards une combinaison profondément originale des exigences du récit et de l’efficacité de la représentation, combinaison qui sollicite la seule imagination du spectateur. Il invente d’abord tout l’appareil spectaculaire qui entoure le sacrifice, puisant dans un imaginaire cosmique absent de l’hypotexte antique. Ériphil</w:t>
      </w:r>
      <w:r>
        <w:t xml:space="preserve">e, </w:t>
      </w:r>
      <w:r>
        <w:t>ayant été désignée par Calcha</w:t>
      </w:r>
      <w:r>
        <w:t xml:space="preserve">s, </w:t>
      </w:r>
      <w:r>
        <w:t>s’empare du couteau du sacrificateur :</w:t>
      </w:r>
    </w:p>
    <w:p>
      <w:pPr>
        <w:pStyle w:val="TEIverse"/>
        <w:spacing w:line="240" w:lineRule="auto"/>
        <w:ind w:left="397"/>
        <w:jc w:val="left"/>
      </w:pPr>
      <w:r>
        <w:rPr>
          <w:sz w:val="22"/>
        </w:rPr>
        <w:t>À peine son sang coule et fait rougir la terre ;</w:t>
      </w:r>
      <w:r>
        <w:br/>
      </w:r>
      <w:r>
        <w:rPr>
          <w:sz w:val="22"/>
        </w:rPr>
        <w:t>Les Dieux font sur l’Autel entendre le tonnerre,</w:t>
      </w:r>
      <w:r>
        <w:br/>
      </w:r>
      <w:r>
        <w:rPr>
          <w:sz w:val="22"/>
        </w:rPr>
        <w:t>Les Vents agitent l’air d’heureux frémissements,</w:t>
      </w:r>
      <w:r>
        <w:br/>
      </w:r>
      <w:r>
        <w:rPr>
          <w:sz w:val="22"/>
        </w:rPr>
        <w:t>Et la Mer leur répond par ses mugissements.</w:t>
      </w:r>
      <w:r>
        <w:br/>
      </w:r>
      <w:r>
        <w:rPr>
          <w:sz w:val="22"/>
        </w:rPr>
        <w:t>La Rive au loin gémit blanchissante d’écume.</w:t>
      </w:r>
      <w:r>
        <w:br/>
      </w:r>
      <w:r>
        <w:rPr>
          <w:sz w:val="22"/>
        </w:rPr>
        <w:t>La flamme du Bûcher d’elle-même s’allume.</w:t>
      </w:r>
      <w:r>
        <w:br/>
      </w:r>
      <w:r>
        <w:rPr>
          <w:sz w:val="22"/>
        </w:rPr>
        <w:t>Le Ciel brille d’éclairs, s’entr’ouvre, et parmi nous</w:t>
      </w:r>
      <w:r>
        <w:br/>
      </w:r>
      <w:r>
        <w:rPr>
          <w:sz w:val="22"/>
        </w:rPr>
        <w:t>Jette une sainte horreur, qui nous rassure tous.</w:t>
      </w:r>
      <w:r>
        <w:br/>
      </w:r>
      <w:r>
        <w:rPr>
          <w:sz w:val="22"/>
        </w:rPr>
        <w:t>Le soldat étonné dit que dans une nue</w:t>
      </w:r>
      <w:r>
        <w:br/>
      </w:r>
      <w:r>
        <w:rPr>
          <w:sz w:val="22"/>
        </w:rPr>
        <w:t>Jusque sur le bûcher Diane est descendue,</w:t>
      </w:r>
      <w:r>
        <w:br/>
      </w:r>
      <w:r>
        <w:rPr>
          <w:sz w:val="22"/>
        </w:rPr>
        <w:t>Et croit que s’élevant au travers de ses feux,</w:t>
      </w:r>
      <w:r>
        <w:br/>
      </w:r>
      <w:r>
        <w:rPr>
          <w:sz w:val="22"/>
        </w:rPr>
        <w:t>Elle portait au ciel notre encens et nos vœux.</w:t>
      </w:r>
      <w:r>
        <w:br/>
      </w:r>
      <w:r>
        <w:rPr>
          <w:sz w:val="22"/>
        </w:rPr>
        <w:t>Tout s’empresse, tout part. La seule Iphigénie</w:t>
      </w:r>
      <w:r>
        <w:br/>
      </w:r>
      <w:r>
        <w:rPr>
          <w:sz w:val="22"/>
        </w:rPr>
        <w:t>Dans ce commun bonheur pleure son Ennemie[22].</w:t>
      </w:r>
    </w:p>
    <w:p>
      <w:pPr>
        <w:pStyle w:val="TEIparagraphconsecutive"/>
      </w:pPr>
      <w:r>
        <w:t xml:space="preserve">Sans évacuer complètement l’action de la déesse, il la déporte aux marges du récit, confiant son évocation à un personnage dont l’autorité n’est guère assurée. Et s’il est loisible de considérer que c’est là une manière de congédier les dieux païens autant que le merveilleux opératique, on </w:t>
      </w:r>
      <w:r>
        <w:t>peut aussi être attentif au fait que Racine, qui aurait pu se passer tout à fait de la mention de Diane, l’a précisément conservée…</w:t>
      </w:r>
    </w:p>
    <w:p>
      <w:pPr>
        <w:ind w:firstLine="283"/>
      </w:pPr>
      <w:r>
        <w:t>Au-delà des « modifications apportées par Racine au dénouement de la fable antique », qui « constituent la pierre d’achoppement de toute évaluation de la pièce », comme le note Marc Escola, et comme le confirment la préface et le texte de l’</w:t>
      </w:r>
      <w:r>
        <w:rPr>
          <w:i/>
        </w:rPr>
        <w:t>Iphigénie</w:t>
      </w:r>
      <w:r>
        <w:t xml:space="preserve"> de Leclerc, c’est donc aussi l’alternative entre montrer et raconter qui travaille le dénouement des adaptations modernes de la pièce d’Euripide et confronte leurs auteurs à la représentation du merveilleux. On prolongera brièvement cette réflexion en rappelant d’abord l’analyse de Christian Delmas qui, dans un article important</w:t>
      </w:r>
      <w:r>
        <w:rPr>
          <w:rStyle w:val="Appelnotedebasdep"/>
        </w:rPr>
        <w:footnoteReference w:id="23"/>
      </w:r>
      <w:r>
        <w:t xml:space="preserve">, voyait en </w:t>
      </w:r>
      <w:r>
        <w:rPr>
          <w:i/>
        </w:rPr>
        <w:t xml:space="preserve">Iphigénie </w:t>
      </w:r>
      <w:r>
        <w:t>une pièce héritière des tragédies à machines des années 1650-1670 et proposait de la lire comme une « tragédie à machines rentrée », participant en réalité de la même esthétique spectaculaire qu’</w:t>
      </w:r>
      <w:r>
        <w:rPr>
          <w:i/>
        </w:rPr>
        <w:t>Alceste</w:t>
      </w:r>
      <w:r>
        <w:t>. Le merveilleux se trouvait certes rationalisé et intériorisé par Racine, qui en confiait l’évocation au seul verbe ; cependant, « loin de la rejeter mais en restant dans le cadre de la tragédie sans ornements, tout se passe comme si, face aux déploiements trop exclusivement spectaculaires de l’opéra naissant, indirectement attaqué dans la préface d’</w:t>
      </w:r>
      <w:r>
        <w:rPr>
          <w:i/>
        </w:rPr>
        <w:t>Iphigénie</w:t>
      </w:r>
      <w:r>
        <w:t xml:space="preserve"> à propos de l’</w:t>
      </w:r>
      <w:r>
        <w:rPr>
          <w:i/>
        </w:rPr>
        <w:t xml:space="preserve">Alceste </w:t>
      </w:r>
      <w:r>
        <w:t>grecque, Racine avait choisi pour les fêtes de Versailles de s’appuyer sur la formule toute française de la tragédie à machines</w:t>
      </w:r>
      <w:r>
        <w:rPr>
          <w:rStyle w:val="Appelnotedebasdep"/>
        </w:rPr>
        <w:footnoteReference w:id="24"/>
      </w:r>
      <w:r>
        <w:t xml:space="preserve"> ». </w:t>
      </w:r>
    </w:p>
    <w:p>
      <w:pPr>
        <w:ind w:firstLine="283"/>
      </w:pPr>
      <w:r>
        <w:t>Il se trouve qu’au XVIII</w:t>
      </w:r>
      <w:r>
        <w:rPr>
          <w:vertAlign w:val="superscript"/>
        </w:rPr>
        <w:t>e</w:t>
      </w:r>
      <w:r>
        <w:t xml:space="preserve"> siècle, certains admirateurs de Racine ont tâché de le réconcilier avec l’esthétique de la tragédie à machines devenue alors celle de l’opéra et, regrettant que le dénouement fût tout en récit, ont appelé de leurs vœux sa « mise en action ». C’est le cas de Luneau de Boisjermain qui, dans une édition du théâtre de Racine, propose le réaménagement suivant : </w:t>
      </w:r>
    </w:p>
    <w:p>
      <w:pPr>
        <w:pStyle w:val="TEIquote"/>
        <w:spacing w:line="240" w:lineRule="auto"/>
        <w:ind w:left="397"/>
        <w:jc w:val="both"/>
      </w:pPr>
      <w:r>
        <w:rPr>
          <w:sz w:val="22"/>
        </w:rPr>
        <w:t>Nous n’avons qu’un regret à former, c’est que Racine n’ait point composé sa pièce dans un temps où le théâtre fût, comme aujourd’hui, dégagé de la foule des spectateurs qui inondaient autrefois le lieu de la scène ; ce poète n’aurait pas manqué de mettre en action la catastrophe qu’il n’a mise qu’en récit. On eût vu, d’un côté, un père consterné, une mère éperdue, vingt rois en suspens, l’autel, le bûcher, le prêtre, le couteau, la victime ; eh, quelle victime ! de l’autre, Achille menaçant, l’armée en émeute, le sang de toutes parts prêt à couler. Ériphile alors serait survenue ; Calchas l’aurait désignée pour l’unique objet de la colère céleste ; et cette princesse, s’emparant du couteau sacré, aurait expiré bientôt sous les coups qu’elle se serait portés.</w:t>
      </w:r>
      <w:r>
        <w:rPr>
          <w:rStyle w:val="Appelnotedebasdep"/>
        </w:rPr>
        <w:footnoteReference w:id="25"/>
      </w:r>
    </w:p>
    <w:p>
      <w:pPr>
        <w:pStyle w:val="TEIparagraphconsecutive"/>
      </w:pPr>
      <w:r>
        <w:t>Comme le rappelle Marc Escola dans une section entièrement consacrée à cette expérience</w:t>
      </w:r>
      <w:r>
        <w:rPr>
          <w:rStyle w:val="Appelnotedebasdep"/>
        </w:rPr>
        <w:footnoteReference w:id="26"/>
      </w:r>
      <w:r>
        <w:t xml:space="preserve">, elle était, semble-t-il, dans l’air au milieu des années 1760 : en 1765, le théoricien du théâtre Bricaire de La Dixmétrie proposait une réécriture très précise du dénouement fondé sur le principe d’une représentation du récit dans ses </w:t>
      </w:r>
      <w:r>
        <w:rPr>
          <w:i/>
        </w:rPr>
        <w:t>Lettres sur l’état présent de nos spectacles</w:t>
      </w:r>
      <w:r>
        <w:t>. Quant à la Comédie-Française, elle proposait, en 1769, une nouvelle version d’</w:t>
      </w:r>
      <w:r>
        <w:rPr>
          <w:i/>
        </w:rPr>
        <w:t>Iphigénie</w:t>
      </w:r>
      <w:r>
        <w:t xml:space="preserve"> avec un « dénouement […] en action</w:t>
      </w:r>
      <w:r>
        <w:rPr>
          <w:rStyle w:val="Appelnotedebasdep"/>
        </w:rPr>
        <w:footnoteReference w:id="27"/>
      </w:r>
      <w:r>
        <w:t xml:space="preserve"> »…</w:t>
      </w:r>
    </w:p>
    <w:p>
      <w:pPr>
        <w:ind w:firstLine="283"/>
      </w:pPr>
      <w:r>
        <w:t>La création à la cour puis la reprise à la ville d’</w:t>
      </w:r>
      <w:r>
        <w:rPr>
          <w:i/>
        </w:rPr>
        <w:t xml:space="preserve">Iphigénie </w:t>
      </w:r>
      <w:r>
        <w:t xml:space="preserve">s’inscrit ainsi dans un dispositif doublement polémique, puisque Racine doit se positionner désormais sur deux fronts et face à deux ennemis : d’une part Quinault, Lully, Donneau de Visé et les représentants non seulement de l’opéra, mais d’une conception du spectacle fondée sur les pouvoirs des éléments extra-poétiques ; d’autre part Corneille et les cornéliens. Or les deux sont intimement liés dans le cas présent : c’est pour faire pièce à l’opéra que Racine modifie le dénouement reçu et commet ce faisant ce que les cornéliens pouvaient considérer comme un crime de « lèse-poétique ». Avant d’être le chef-d’œuvre incontestable qu’elle est devenue, </w:t>
      </w:r>
      <w:r>
        <w:rPr>
          <w:i/>
        </w:rPr>
        <w:t xml:space="preserve">Iphigénie </w:t>
      </w:r>
      <w:r>
        <w:t xml:space="preserve">est donc d’abord, comme bien d’autres pièces de Racine, une œuvre de combat, par laquelle le dramaturge cherche à conquérir les différents espaces du spectacle parisien. </w:t>
      </w:r>
    </w:p>
    <w:p>
      <w:pPr>
        <w:ind w:firstLine="283"/>
      </w:pPr>
      <w:r>
        <w:rPr>
          <w:b/>
        </w:rPr>
        <w:t>Annexe : chronologie des événements</w:t>
      </w:r>
    </w:p>
    <w:p>
      <w:pPr>
        <w:ind w:firstLine="283"/>
      </w:pPr>
      <w:r>
        <w:t>11 janvier 1674 : création d’</w:t>
      </w:r>
      <w:r>
        <w:rPr>
          <w:i/>
        </w:rPr>
        <w:t xml:space="preserve">Alceste ou le Triomphe d’Alcide </w:t>
      </w:r>
      <w:r>
        <w:t xml:space="preserve">de Lully et Quinault au Palais-Royal. </w:t>
      </w:r>
    </w:p>
    <w:p>
      <w:pPr>
        <w:ind w:firstLine="283"/>
      </w:pPr>
      <w:r>
        <w:t>18 août 1674 : création d’</w:t>
      </w:r>
      <w:r>
        <w:rPr>
          <w:i/>
        </w:rPr>
        <w:t xml:space="preserve">Iphigénie </w:t>
      </w:r>
      <w:r>
        <w:t xml:space="preserve">à Versailles. </w:t>
      </w:r>
    </w:p>
    <w:p>
      <w:pPr>
        <w:ind w:firstLine="283"/>
      </w:pPr>
      <w:r>
        <w:t xml:space="preserve">Fin 1674 ? (permis d’imprimer du 16 juillet) : </w:t>
      </w:r>
      <w:r>
        <w:rPr>
          <w:i/>
        </w:rPr>
        <w:t>La Critique d’</w:t>
      </w:r>
      <w:r>
        <w:t xml:space="preserve">Alceste de Perrault. </w:t>
      </w:r>
    </w:p>
    <w:p>
      <w:pPr>
        <w:ind w:firstLine="283"/>
      </w:pPr>
      <w:r>
        <w:t>Fin décembre 1674 : reprises d’</w:t>
      </w:r>
      <w:r>
        <w:rPr>
          <w:i/>
        </w:rPr>
        <w:t xml:space="preserve">Iphigénie </w:t>
      </w:r>
      <w:r>
        <w:t xml:space="preserve">à l’Hôtel de Bourgogne. </w:t>
      </w:r>
    </w:p>
    <w:p>
      <w:pPr>
        <w:ind w:firstLine="283"/>
      </w:pPr>
      <w:r>
        <w:t>Fin janvier (?) 1675 : publication d’</w:t>
      </w:r>
      <w:r>
        <w:rPr>
          <w:i/>
        </w:rPr>
        <w:t>Iphigénie</w:t>
      </w:r>
      <w:r>
        <w:t xml:space="preserve">. </w:t>
      </w:r>
    </w:p>
    <w:p>
      <w:pPr>
        <w:ind w:firstLine="283"/>
      </w:pPr>
      <w:r>
        <w:t>24 mai 1675 : création de l’</w:t>
      </w:r>
      <w:r>
        <w:rPr>
          <w:i/>
        </w:rPr>
        <w:t xml:space="preserve">Iphigénie </w:t>
      </w:r>
      <w:r>
        <w:t xml:space="preserve">de Leclerc et Coras au théâtre Guénégaud. </w:t>
      </w:r>
    </w:p>
    <w:p>
      <w:pPr>
        <w:ind w:firstLine="283"/>
      </w:pPr>
      <w:r>
        <w:t xml:space="preserve">26 mai 1675 : publication des </w:t>
      </w:r>
      <w:r>
        <w:rPr>
          <w:i/>
        </w:rPr>
        <w:t xml:space="preserve">Remarques sur les Iphigénie de M. Racine et de M. Coras </w:t>
      </w:r>
      <w:r>
        <w:t xml:space="preserve">(anonyme). </w:t>
      </w:r>
    </w:p>
    <w:p>
      <w:pPr>
        <w:ind w:firstLine="283"/>
      </w:pPr>
      <w:r>
        <w:t>1676 : publication de l’</w:t>
      </w:r>
      <w:r>
        <w:rPr>
          <w:i/>
        </w:rPr>
        <w:t xml:space="preserve">Iphigénie </w:t>
      </w:r>
      <w:r>
        <w:t>de Leclerc et Coras (sous le seul nom de Leclerc).</w:t>
      </w:r>
    </w:p>
    <w:p>
      <w:r>
        <w:br w:type="page"/>
      </w:r>
    </w:p>
    <w:p>
      <w:pPr>
        <w:pStyle w:val="Titre1"/>
      </w:pPr>
      <w:r>
        <w:t xml:space="preserve">Un motif dramaturgique récurrent dans </w:t>
      </w:r>
      <w:r>
        <w:rPr>
          <w:i/>
        </w:rPr>
        <w:t>Iphigénie</w:t>
      </w:r>
      <w:r>
        <w:t xml:space="preserve"> et </w:t>
      </w:r>
      <w:r>
        <w:rPr>
          <w:i/>
        </w:rPr>
        <w:t>Suréna</w:t>
      </w:r>
      <w:r>
        <w:t xml:space="preserve"> </w:t>
      </w:r>
    </w:p>
    <w:p>
      <w:pPr>
        <w:ind w:firstLine="283"/>
      </w:pPr>
      <w:r>
        <w:t>La composition d’</w:t>
      </w:r>
      <w:r>
        <w:rPr>
          <w:i/>
        </w:rPr>
        <w:t>Iphigénie</w:t>
      </w:r>
      <w:r>
        <w:t xml:space="preserve"> présente une similitude avec celle de </w:t>
      </w:r>
      <w:r>
        <w:rPr>
          <w:i/>
        </w:rPr>
        <w:t>Suréna</w:t>
      </w:r>
      <w:r>
        <w:t xml:space="preserve"> (autre tragédie créée en 1674), qui mérite peut-être de retenir notre attention. </w:t>
      </w:r>
      <w:r>
        <w:t xml:space="preserve">Parmi les pièces de Racine et de Corneille, ces deux pièces ont la caractéristique d'avoir dans chaque acte le plateau occupé par un même personnage, qui </w:t>
      </w:r>
      <w:r>
        <w:t xml:space="preserve">« </w:t>
      </w:r>
      <w:r>
        <w:t>domine</w:t>
      </w:r>
      <w:r>
        <w:t xml:space="preserve"> » par sa présence l’acte en question, tandis que les autres personnages font des apparitions plus limitées. Les tableaux d’occupation scénique 1 et 2 mettent en valeur la récurrence de ce motif</w:t>
      </w:r>
      <w:r>
        <w:rPr>
          <w:rStyle w:val="Appelnotedebasdep"/>
        </w:rPr>
        <w:footnoteReference w:id="28"/>
      </w:r>
      <w:r>
        <w:t>.</w:t>
      </w:r>
    </w:p>
    <w:p>
      <w:pPr>
        <w:ind w:firstLine="283"/>
      </w:pPr>
      <w:r>
        <w:t xml:space="preserve">Tableau 1. Racine, </w:t>
      </w:r>
      <w:r>
        <w:rPr>
          <w:i/>
        </w:rPr>
        <w:t>Iphigénie</w:t>
      </w:r>
      <w:r>
        <w:t>.</w:t>
      </w:r>
    </w:p>
    <w:p>
      <w:pPr>
        <w:ind w:firstLine="283"/>
      </w:pPr>
      <w:r>
        <w:t xml:space="preserve">Tableau 2. Corneille, </w:t>
      </w:r>
      <w:r>
        <w:rPr>
          <w:i/>
        </w:rPr>
        <w:t>Suréna</w:t>
      </w:r>
      <w:r>
        <w:t>.</w:t>
      </w:r>
    </w:p>
    <w:p>
      <w:pPr>
        <w:ind w:firstLine="283"/>
      </w:pPr>
      <w:r>
        <w:t xml:space="preserve">Un simple examen formel des tableaux précédents nous invite à faire preuve de prudence. L’application de ce principe de composition n’est en effet parfaite dans aucune des deux pièces. La ressemblance entre celles-ci sous ce rapport est également à nuancer. Si </w:t>
      </w:r>
      <w:r>
        <w:rPr>
          <w:i/>
        </w:rPr>
        <w:t>Suréna</w:t>
      </w:r>
      <w:r>
        <w:t xml:space="preserve"> ne présente qu’une seule exception (Eurydice est absente de la scène 4 de l’acte IV), </w:t>
      </w:r>
      <w:r>
        <w:rPr>
          <w:i/>
        </w:rPr>
        <w:t>Iphigénie</w:t>
      </w:r>
      <w:r>
        <w:t xml:space="preserve"> altère le motif de façon beaucoup plus marquée. À l’acte II, nous retenons Iphigénie comme personnage principal plutôt qu’Ériphile : cette dernière apparaît à la fois et à tour de rôle comme la protégée (ou la confidente) et la rivale secrète d’Iphigénie, et nous verrons que sa présence continue sur le plateau, bien qu’essentielle à la progression de l’intrigue, ne peut être considérée comme un principe structurant pour la composition. Les quatre scènes où elle apparaît seule avec sa confidente Doris posent d’ailleurs des problèmes de liaison avec les suivantes ou les précédentes, qui ont déjà été bien étudiés</w:t>
      </w:r>
      <w:r>
        <w:rPr>
          <w:rStyle w:val="Appelnotedebasdep"/>
        </w:rPr>
        <w:footnoteReference w:id="29"/>
      </w:r>
      <w:r>
        <w:t xml:space="preserve">. La permanence d’un même personnage tout au long de l’acte est donc mise à mal dans ces scènes (premières et dernières scènes des actes II et IV) ; dans la scène 7 de l’acte II, également marquée par la présence d’Ériphile (Iphigénie sort et laisse seuls Ériphile et Achille) ; dans la scène 6 de l’acte III (Clytemnestre s’absente brièvement du plateau, laissant seuls Iphigénie et Achille) ; dans la scène 2 de l’acte IV (l’entrée d’Agamemnon est précédée par une scène entre Clytemnestre et sa confidente) ; à l’acte V, enfin, où Iphigénie et Clytemnestre se relaient sur le plateau sans que l’une domine plus que l’autre l’ensemble de l’acte. </w:t>
      </w:r>
    </w:p>
    <w:p>
      <w:pPr>
        <w:ind w:firstLine="283"/>
      </w:pPr>
      <w:r>
        <w:t>Il n’en demeure pas moins que la composition d’</w:t>
      </w:r>
      <w:r>
        <w:rPr>
          <w:i/>
        </w:rPr>
        <w:t>Iphigénie</w:t>
      </w:r>
      <w:r>
        <w:t xml:space="preserve"> se distingue de celle des autres pièces de Racine, où le dramaturge renouvelle beaucoup plus fréquemment la configuration </w:t>
      </w:r>
      <w:r>
        <w:t>scénique</w:t>
      </w:r>
      <w:r>
        <w:rPr>
          <w:rStyle w:val="Appelnotedebasdep"/>
        </w:rPr>
        <w:footnoteReference w:id="30"/>
      </w:r>
      <w:r>
        <w:t xml:space="preserve"> : rien de comparable, notamment, à l’acte III d’</w:t>
      </w:r>
      <w:r>
        <w:rPr>
          <w:i/>
        </w:rPr>
        <w:t>Andromaque</w:t>
      </w:r>
      <w:r>
        <w:t xml:space="preserve"> ou de </w:t>
      </w:r>
      <w:r>
        <w:rPr>
          <w:i/>
        </w:rPr>
        <w:t>Britannicus</w:t>
      </w:r>
      <w:r>
        <w:rPr>
          <w:b/>
        </w:rPr>
        <w:t>,</w:t>
      </w:r>
      <w:r>
        <w:t xml:space="preserve"> où il prenait plaisir à concaténer les rencontres et à faire défiler, par paires, l’intégralité de la distribution (selon le schéma « Oreste-Hermione/Hermione-Andromaque/Andromaque-Pyrrhus » et « Néron-Burrhus/Burrhus-Agrippine/Agrippine-Britannicus/Britannicus-Junie/ Britannicus-Junie-Néron/Néron-Burrhus »). </w:t>
      </w:r>
    </w:p>
    <w:p>
      <w:pPr>
        <w:ind w:firstLine="283"/>
      </w:pPr>
      <w:r>
        <w:t xml:space="preserve">Il faut cependant d’emblée se garder de toute interprétation téléologique qui verrait dans </w:t>
      </w:r>
      <w:r>
        <w:rPr>
          <w:i/>
        </w:rPr>
        <w:t>Iphigénie</w:t>
      </w:r>
      <w:r>
        <w:t xml:space="preserve"> et </w:t>
      </w:r>
      <w:r>
        <w:rPr>
          <w:i/>
        </w:rPr>
        <w:t>Suréna</w:t>
      </w:r>
      <w:r>
        <w:t xml:space="preserve"> le symptôme d’une évolution plus profonde. On peut déceler chez Corneille une tendance à faire rester un même personnage du début à la fin de chaque acte (</w:t>
      </w:r>
      <w:r>
        <w:rPr>
          <w:i/>
        </w:rPr>
        <w:t>Pulchérie</w:t>
      </w:r>
      <w:r>
        <w:t xml:space="preserve"> est déjà presque aussi systématique que </w:t>
      </w:r>
      <w:r>
        <w:rPr>
          <w:i/>
        </w:rPr>
        <w:t>Suréna</w:t>
      </w:r>
      <w:r>
        <w:t xml:space="preserve">). </w:t>
      </w:r>
      <w:r>
        <w:t xml:space="preserve">En revanche, comme dans les précédentes pièces de Racine, il est beaucoup plus difficile dans </w:t>
      </w:r>
      <w:r>
        <w:rPr>
          <w:i/>
        </w:rPr>
        <w:t>Phèdre et Hippolyte</w:t>
      </w:r>
      <w:r>
        <w:t xml:space="preserve"> d’associer un acte et un personnage. Nous ne devons par ailleurs pas oublier que le travail de composition opéré par Corneille, qui avait presque tout à inventer pour écrire </w:t>
      </w:r>
      <w:r>
        <w:rPr>
          <w:i/>
        </w:rPr>
        <w:t>Suréna</w:t>
      </w:r>
      <w:r>
        <w:t xml:space="preserve"> (et qui n’avait en tout cas aucune source dramatique à sa disposition), est foncièrement différent de celui opéré par Racine pour écrire </w:t>
      </w:r>
      <w:r>
        <w:rPr>
          <w:i/>
        </w:rPr>
        <w:t>Iphigénie</w:t>
      </w:r>
      <w:r>
        <w:t xml:space="preserve"> : même si, on le verra, Racine n’effectue pas les mêmes choix qu’Euripide, il s’agit en partie d’un travail d’adaptation.</w:t>
      </w:r>
    </w:p>
    <w:p>
      <w:pPr>
        <w:ind w:firstLine="283"/>
      </w:pPr>
      <w:r>
        <w:t xml:space="preserve">Que faire donc de cette ressemblance formelle entre </w:t>
      </w:r>
      <w:r>
        <w:rPr>
          <w:i/>
        </w:rPr>
        <w:t>Iphigénie</w:t>
      </w:r>
      <w:r>
        <w:t xml:space="preserve"> et </w:t>
      </w:r>
      <w:r>
        <w:rPr>
          <w:i/>
        </w:rPr>
        <w:t>Suréna</w:t>
      </w:r>
      <w:r>
        <w:t>, avec toutes les nuances et les réserves qui l’accompagnent ? Ou, plus modestement : cette ressemblance peut-elle être d’une quelconque utilité aux critiques, poéticiens, herméneutes et/ou historiens du théâtre que nous sommes ?</w:t>
      </w:r>
    </w:p>
    <w:p>
      <w:pPr>
        <w:pStyle w:val="Titre1"/>
      </w:pPr>
      <w:r>
        <w:rPr>
          <w:sz w:val="32"/>
        </w:rPr>
        <w:t>Fiction de théâtre et changement de lieu à l’entracte</w:t>
      </w:r>
    </w:p>
    <w:p>
      <w:pPr>
        <w:ind w:firstLine="283"/>
      </w:pPr>
      <w:r>
        <w:t xml:space="preserve">Il serait tentant de mettre en rapport ces deux compositions avec certaines remarques de Corneille concernant la conception de l’espace dramatique. Interpréter les tragédies de la seconde moitié du </w:t>
      </w:r>
      <w:r>
        <w:rPr>
          <w:smallCaps/>
        </w:rPr>
        <w:t>xvii</w:t>
      </w:r>
      <w:r>
        <w:rPr>
          <w:vertAlign w:val="superscript"/>
        </w:rPr>
        <w:t>e</w:t>
      </w:r>
      <w:r>
        <w:t xml:space="preserve"> siècle au prisme de l’unité de lieu pose un problème dont les théoriciens de l’époque, et notamment Corneille, ont bien eu conscience : l’unité de lieu favorise la vraisemblance de la représentation (le plateau représente le même lieu du début à la fin de la représentation, de sorte que, en théorie du moins, la représentation n’est pas interrompue et que le spectateur n’est jamais ramené à sa position de spectateur) ; en revanche, elle compromet fortement la vraisemblance de l’histoire représentée. </w:t>
      </w:r>
    </w:p>
    <w:p>
      <w:pPr>
        <w:ind w:firstLine="283"/>
      </w:pPr>
      <w:r>
        <w:t xml:space="preserve">En effet, quel lieu unique, dans </w:t>
      </w:r>
      <w:r>
        <w:rPr>
          <w:i/>
        </w:rPr>
        <w:t>Andromaque</w:t>
      </w:r>
      <w:r>
        <w:t xml:space="preserve">, pourrait servir de dénominateur commun à l’ambassade d’Oreste (I, 2), aux confidences d’Hermione (II, 1) et aux plaintes d’Andromaque (IV, 1) ? Quel lieu unique, dans </w:t>
      </w:r>
      <w:r>
        <w:rPr>
          <w:i/>
        </w:rPr>
        <w:t>Iphigénie</w:t>
      </w:r>
      <w:r>
        <w:t>, pourrait accueillir la visite qu’Achille et Ulysse rendent à Agamemnon (I, 2), la conversation entre Iphigénie, Clytemnestre et Achille au cours de laquelle celui-ci affirme être prêt à user de la force contre le même Agamemnon (III, 7) et les plaintes d’Ériphile enviant en secret le sort d’Iphigénie (IV, 1) ? La première serait mieux située dans le cabinet du roi, la deuxième, dans l’appartement d’Iphigénie ou de Clytemnestre, les troisièmes, dans celui d’Ériphile</w:t>
      </w:r>
      <w:r>
        <w:rPr>
          <w:rStyle w:val="Appelnotedebasdep"/>
        </w:rPr>
        <w:footnoteReference w:id="31"/>
      </w:r>
      <w:r>
        <w:t xml:space="preserve">. Le problème est </w:t>
      </w:r>
      <w:r>
        <w:t>inévitable dès lors que la dramaturgie classique met toujours en scène des personnages qui ont des « intérêts trop divers pour exprimer leurs secrètes pensées en un même lieu</w:t>
      </w:r>
      <w:r>
        <w:rPr>
          <w:rStyle w:val="Appelnotedebasdep"/>
        </w:rPr>
        <w:footnoteReference w:id="32"/>
      </w:r>
      <w:r>
        <w:t xml:space="preserve"> » et réserve pourtant systématiquement à plusieurs d’entre eux des scènes où ceux-ci peuvent le faire librement, dans le cadre d’une conversation privée. Deux solutions ont été imaginées par les théoriciens et les praticiens du </w:t>
      </w:r>
      <w:r>
        <w:rPr>
          <w:smallCaps/>
        </w:rPr>
        <w:t>xvii</w:t>
      </w:r>
      <w:r>
        <w:rPr>
          <w:vertAlign w:val="superscript"/>
        </w:rPr>
        <w:t>e</w:t>
      </w:r>
      <w:r>
        <w:t xml:space="preserve"> siècle pour le résoudre ou le contourner.</w:t>
      </w:r>
    </w:p>
    <w:p>
      <w:pPr>
        <w:ind w:firstLine="283"/>
      </w:pPr>
      <w:r>
        <w:t>L’une consiste à placer l’action dans un lieu suffisamment neutre et public pour que chacun puisse vraisemblablement s’y trouver, et qui puisse servir de cadre aussi bien à des rencontres entre les personnages principaux qu’à des scènes de confidence. On court alors cependant le risque non plus d’une invraisemblance, mais d’une extraordinaire coïncidence : même s’il est vraisemblable que chaque scène prise individuellement se déroule dans ce lieu, la probabilité pour que ce soit le cas de toutes est, d’un simple point de vue mathématique, extrêmement faible. Il ne s’agit donc pas d’une interprétation économique, car elle suppose de faire intervenir le hasard, qui placerait tous les personnages exactement au même endroit.</w:t>
      </w:r>
    </w:p>
    <w:p>
      <w:pPr>
        <w:ind w:firstLine="283"/>
      </w:pPr>
      <w:r>
        <w:t xml:space="preserve">On envisage ici la pièce dans son ensemble. Mais même à supposer que l’on profite des entractes pour changer de lieu, le problème se pose également à l’intérieur de la plupart des actes : dans </w:t>
      </w:r>
      <w:r>
        <w:rPr>
          <w:i/>
        </w:rPr>
        <w:t>Andromaque</w:t>
      </w:r>
      <w:r>
        <w:t xml:space="preserve">, l’acte II semble commencer dans l’appartement d’Hermione, mais celle-ci sort après y avoir reçu la visite d’Oreste, qui y rencontre ensuite Pyrrhus (II, 4) comme si l’on était dans le cabinet de celui-ci. Corneille souligne une semblable invraisemblance à l’acte IV de </w:t>
      </w:r>
      <w:r>
        <w:rPr>
          <w:i/>
        </w:rPr>
        <w:t>Rodogune</w:t>
      </w:r>
      <w:r>
        <w:t xml:space="preserve"> : Rodogune reçoit la visite d’Antiochus, qui est amoureux d’elle ; elle le quitte et lui abandonne le plateau ; après un monologue où il réagit à la rencontre qui vient d’avoir lieu, celui-ci reçoit à son tour la visite de sa mère, Cléopâtre ; Cléopâtre reste enfin seule, puis reçoit son autre fils, Séleucus. Ainsi, « si le quatrième [acte] peut commencer chez cette princesse [Rodogune], il n’y peut achever, et ce que Cléopâtre y dit à ses deux fils l’un après l’autre y serait mal placé</w:t>
      </w:r>
      <w:r>
        <w:rPr>
          <w:rStyle w:val="Appelnotedebasdep"/>
        </w:rPr>
        <w:footnoteReference w:id="33"/>
      </w:r>
      <w:r>
        <w:t xml:space="preserve"> ». Les tableaux d’occupation scénique 4 et 5 mettent en évidence les difficultés que pose, pour la cohérence spatiale, le renouvellement des personnages sur le plateau. Dès lors que la liaison des scènes est respectée à l’intérieur d’un acte et que les personnages se rencontrent les uns les autres sans laisser le plateau vide, mais que certaines des scènes ainsi liées entre elles sont d’ordre privé, voire font intervenir des personnages qui conspirent les uns contre les autres, il est impossible de trouver un lieu qui puisse vraisemblablement être le dénominateur commun de toutes ces rencontres.</w:t>
      </w:r>
    </w:p>
    <w:p>
      <w:pPr>
        <w:ind w:firstLine="283"/>
      </w:pPr>
      <w:r>
        <w:t xml:space="preserve">Tableau 3. Racine, </w:t>
      </w:r>
      <w:r>
        <w:rPr>
          <w:i/>
        </w:rPr>
        <w:t>Andromaque</w:t>
      </w:r>
      <w:r>
        <w:t>.</w:t>
      </w:r>
    </w:p>
    <w:p>
      <w:pPr>
        <w:ind w:firstLine="283"/>
      </w:pPr>
      <w:r>
        <w:t xml:space="preserve">Tableau 4. Corneille, </w:t>
      </w:r>
      <w:r>
        <w:rPr>
          <w:i/>
        </w:rPr>
        <w:t>Rodogune</w:t>
      </w:r>
      <w:r>
        <w:t>.</w:t>
      </w:r>
    </w:p>
    <w:p>
      <w:pPr>
        <w:ind w:firstLine="283"/>
      </w:pPr>
      <w:r>
        <w:t xml:space="preserve">C’est la raison pour laquelle cette solution repose nécessairement sur une convention, que le spectateur accepte. C’est la célèbre notion de « fiction de théâtre », théorisée par Corneille : </w:t>
      </w:r>
    </w:p>
    <w:p>
      <w:pPr>
        <w:pStyle w:val="TEIquote"/>
        <w:spacing w:line="240" w:lineRule="auto"/>
        <w:ind w:left="397"/>
        <w:jc w:val="both"/>
      </w:pPr>
      <w:r>
        <w:rPr>
          <w:sz w:val="22"/>
        </w:rPr>
        <w:t xml:space="preserve">Les jurisconsultes admettent des fictions de droit ; et je voudrais, à leur exemple, introduire des fictions de théâtre, pour établir un lieu théâtral qui ne serait ni l’appartement de Cléopâtre, ni celui de </w:t>
      </w:r>
      <w:r>
        <w:rPr>
          <w:i/>
          <w:sz w:val="22"/>
        </w:rPr>
        <w:t>Rodogune</w:t>
      </w:r>
      <w:r>
        <w:rPr>
          <w:sz w:val="22"/>
        </w:rPr>
        <w:t xml:space="preserve"> dans la pièce qui porte ce titre, ni celui de Phocas, de Léontine, ou de Pulchérie, dans </w:t>
      </w:r>
      <w:r>
        <w:rPr>
          <w:i/>
          <w:sz w:val="22"/>
        </w:rPr>
        <w:t>Héraclius</w:t>
      </w:r>
      <w:r>
        <w:rPr>
          <w:sz w:val="22"/>
        </w:rPr>
        <w:t xml:space="preserve"> ; mais une salle sur laquelle ouvrent ces divers appartements, à qui j’attribuerais deux privilèges : l’un, que chacun de ceux qui y parleraient fût présumé y parler avec le même secret que s’il était dans sa chambre ; l’autre, qu’au lieu que dans l’ordre commun il est quelquefois de la bienséance que ceux qui occupent le théâtre aillent trouver ceux qui sont dans leur cabinet pour parler à eux, ceux-ci pussent les venir trouver sur le théâtre, sans choquer cette bienséance, afin de conserver l’unité de lieu et la liaison des scènes</w:t>
      </w:r>
      <w:r>
        <w:rPr>
          <w:rStyle w:val="Appelnotedebasdep"/>
        </w:rPr>
        <w:footnoteReference w:id="34"/>
      </w:r>
      <w:r>
        <w:rPr>
          <w:sz w:val="22"/>
        </w:rPr>
        <w:t>.</w:t>
      </w:r>
    </w:p>
    <w:p>
      <w:pPr>
        <w:pStyle w:val="TEIparagraphconsecutive"/>
      </w:pPr>
      <w:r>
        <w:t xml:space="preserve">Ce modèle a le mérite de s’appliquer à tous les cas de figure. Il en existe un autre, qui préserve mieux la vraisemblance des déplacements et l’adéquation entre le lieu et le contenu des scènes. Son application est cependant limitée à certains actes seulement, ceux qui, contrairement à l’acte IV de </w:t>
      </w:r>
      <w:r>
        <w:rPr>
          <w:i/>
        </w:rPr>
        <w:t>Rodogune</w:t>
      </w:r>
      <w:r>
        <w:t xml:space="preserve"> ou à l’acte II d’</w:t>
      </w:r>
      <w:r>
        <w:rPr>
          <w:i/>
        </w:rPr>
        <w:t>Andromaque</w:t>
      </w:r>
      <w:r>
        <w:t>, peuvent se dérouler entièrement dans un lieu à la fois unique et cohérent. Dès lors, supposer que le lieu représenté change entre chaque acte permet de préserver un certain réalisme spatial.</w:t>
      </w:r>
    </w:p>
    <w:p>
      <w:pPr>
        <w:ind w:firstLine="283"/>
      </w:pPr>
      <w:r>
        <w:t xml:space="preserve">La théorie de la « fiction de théâtre » formulée par Corneille n’est d’ailleurs qu’un recours, destiné aux cas que le modèle du changement de lieu à l’entracte ne pourrait résoudre. Avant d’en venir à cette solution, le dramaturge proposait de lire l’intégralité de </w:t>
      </w:r>
      <w:r>
        <w:rPr>
          <w:i/>
        </w:rPr>
        <w:t>Cinna</w:t>
      </w:r>
      <w:r>
        <w:t xml:space="preserve"> et les trois premiers actes de </w:t>
      </w:r>
      <w:r>
        <w:rPr>
          <w:i/>
        </w:rPr>
        <w:t>Rodogune</w:t>
      </w:r>
      <w:r>
        <w:t xml:space="preserve"> au prisme de la multiplicité des lieux représentés :</w:t>
      </w:r>
    </w:p>
    <w:p>
      <w:pPr>
        <w:pStyle w:val="TEIquote"/>
        <w:spacing w:line="240" w:lineRule="auto"/>
        <w:ind w:left="397"/>
        <w:jc w:val="both"/>
      </w:pPr>
      <w:r>
        <w:rPr>
          <w:sz w:val="22"/>
        </w:rPr>
        <w:t xml:space="preserve">Je pourrais en dire ce que j’ai dit de </w:t>
      </w:r>
      <w:r>
        <w:rPr>
          <w:i/>
          <w:sz w:val="22"/>
        </w:rPr>
        <w:t>Cinna</w:t>
      </w:r>
      <w:r>
        <w:rPr>
          <w:sz w:val="22"/>
        </w:rPr>
        <w:t>, où en général tout se passe dans Rome, et en particulier moitié dans le cabinet d’Auguste, et moitié chez Émilie. Suivant cet ordre, le premier acte de cette tragédie serait dans l’antichambre de Rodogune, le second dans la chambre de Cléopâtre, le troisième dans celle de Rodogune</w:t>
      </w:r>
      <w:r>
        <w:rPr>
          <w:rStyle w:val="Appelnotedebasdep"/>
        </w:rPr>
        <w:footnoteReference w:id="35"/>
      </w:r>
      <w:r>
        <w:rPr>
          <w:sz w:val="22"/>
        </w:rPr>
        <w:t>.</w:t>
      </w:r>
    </w:p>
    <w:p>
      <w:pPr>
        <w:pStyle w:val="TEIparagraphconsecutive"/>
      </w:pPr>
      <w:r>
        <w:t xml:space="preserve">Dans </w:t>
      </w:r>
      <w:r>
        <w:rPr>
          <w:i/>
        </w:rPr>
        <w:t>Cinna</w:t>
      </w:r>
      <w:r>
        <w:t xml:space="preserve">, la liaison des scènes n’est pas respectée, ce qui facilite la cohérence spatiale. Dans </w:t>
      </w:r>
      <w:r>
        <w:rPr>
          <w:i/>
        </w:rPr>
        <w:t>Rodogune</w:t>
      </w:r>
      <w:r>
        <w:t>, le recours à la « fiction de théâtre » devient obligatoire pour l’acte IV. Mais effectivement, l’antichambre de Rodogune peut vraisemblablement accueillir toutes les scènes du premier acte. Même si Rodogune n’apparaît que dans une scène, les autres personnages de l’acte (sa confidente, les deux princes et le gouverneur de ces derniers) sont suffisamment proches d’elle pour que leur présence dans ce lieu soit acceptable. Cléopâtre, en revanche, n’y apparaît pas. L’acte II est encore plus cohérent, puisque Cléopâtre mande ses fils comme si elle était dans son cabinet. Il en va de même à l’acte III, où Rodogune reçoit leur visite.</w:t>
      </w:r>
    </w:p>
    <w:p>
      <w:pPr>
        <w:ind w:firstLine="283"/>
      </w:pPr>
      <w:r>
        <w:t>Peu importe que le décor change ou non : la multiplicité des lieux n’est pas, aux yeux de Corneille, une question de mise en scène. Même si la cohérence spatiale est préservée à l’intérieur des actes, il est préférable que ne pas exposer ces changements aux yeux du public, et de ne pas les faire explicitement émerger de la structure profonde de l’action :</w:t>
      </w:r>
    </w:p>
    <w:p>
      <w:pPr>
        <w:pStyle w:val="TEIquote"/>
        <w:spacing w:line="240" w:lineRule="auto"/>
        <w:ind w:left="397"/>
        <w:jc w:val="both"/>
      </w:pPr>
      <w:r>
        <w:rPr>
          <w:sz w:val="22"/>
        </w:rPr>
        <w:t xml:space="preserve">Pour rectifier en quelque façon cette duplicité de lieu quand elle est inévitable, je voudrais qu’on fît deux choses : l’une, que jamais on ne changeât dans le même acte, mais seulement de l’un à l’autre, comme il se fait dans les trois premiers de </w:t>
      </w:r>
      <w:r>
        <w:rPr>
          <w:i/>
          <w:sz w:val="22"/>
        </w:rPr>
        <w:t>Cinna</w:t>
      </w:r>
      <w:r>
        <w:rPr>
          <w:sz w:val="22"/>
        </w:rPr>
        <w:t xml:space="preserve"> ; l’autre, que ces deux lieux n’eussent point besoin de diverses décorations, et qu’aucun des deux ne fût jamais nommé, mais seulement le lieu général où tous les deux sont compris, comme Paris, Rome, Lyon, Constantinople, etc. Cela aiderait à tromper l’auditeur, qui ne voyant rien qui lui marquât la diversité des lieux, ne s’en apercevrait pas, à moins d’une réflexion malicieuse et critique, dont il y en a peu qui soient capables, la plupart s’attachant avec chaleur à l’action qu’ils voient représenter</w:t>
      </w:r>
      <w:r>
        <w:rPr>
          <w:rStyle w:val="Appelnotedebasdep"/>
        </w:rPr>
        <w:footnoteReference w:id="36"/>
      </w:r>
      <w:r>
        <w:rPr>
          <w:sz w:val="22"/>
        </w:rPr>
        <w:t>.</w:t>
      </w:r>
    </w:p>
    <w:p>
      <w:pPr>
        <w:pStyle w:val="TEIparagraphconsecutive"/>
      </w:pPr>
      <w:r>
        <w:rPr>
          <w:i/>
        </w:rPr>
        <w:t>Suréna</w:t>
      </w:r>
      <w:r>
        <w:t xml:space="preserve"> est précisément la pièce de Corneille où la cohérence spatiale est la plus forte, et où l’on peut le plus facilement, derrière l’apparente indétermination de l’espace, interpréter chaque entracte comme un changement de lieu, même si celui-ci n’est explicité ni dans le décor, ni même dans le discours des personnages. Non seulement, en effet, chaque acte est dominé par un personnage qui est présent pendant la majorité des scènes, mais celui-ci « territorialise</w:t>
      </w:r>
      <w:r>
        <w:rPr>
          <w:rStyle w:val="Appelnotedebasdep"/>
        </w:rPr>
        <w:footnoteReference w:id="37"/>
      </w:r>
      <w:r>
        <w:t xml:space="preserve"> » l’espace. Les entrées des autres personnages se font majoritairement en fonction de lui : on entre sur le plateau pour lui rendre visite, soit spontanément (comme Palmis venant trouver Eurydice à la scène 2 de l’acte I), soit parce que l’on a été mandé (comme Suréna qui vient trouver Orode à la scène 2 de l’acte III</w:t>
      </w:r>
      <w:r>
        <w:rPr>
          <w:rStyle w:val="Appelnotedebasdep"/>
        </w:rPr>
        <w:footnoteReference w:id="38"/>
      </w:r>
      <w:r>
        <w:t>, ou Palmis qui en fait de même à la scène suivante</w:t>
      </w:r>
      <w:r>
        <w:rPr>
          <w:rStyle w:val="Appelnotedebasdep"/>
        </w:rPr>
        <w:footnoteReference w:id="39"/>
      </w:r>
      <w:r>
        <w:t>). Même si cette motivation n’est pas toujours explicite, rien, dans la majorité des scènes, ne l’infirme : on peut facilement imaginer que chaque acte se déroule dans le cabinet, la chambre ou l’antichambre du personnage qui est présent pendant l’essentiel de cet acte (Eurydice à l’acte I, Pacorus à l’acte II, Orode à l’acte III, Eurydice encore aux actes IV et V).</w:t>
      </w:r>
    </w:p>
    <w:p>
      <w:pPr>
        <w:ind w:firstLine="283"/>
      </w:pPr>
      <w:r>
        <w:t>La territorialisation du lieu, d’une part, et le motif dramaturgique qui consiste à faire rester pendant tout l’acte un même personnage sur le plateau, d’autre part, ne sont cependant pas intrinsèquement liés. Si l’on peut prêter à la plupart des personnages qui entrent l’intention de parler à ceux qui sont déjà là, certaines rencontres sont le fruit du hasard. C’est le cas d’Eurydice, à l’acte II, qui ne vient pas voir Pacorus, mais passe par hasard sur le lieu que représente le plateau pour se rendre ailleurs</w:t>
      </w:r>
      <w:r>
        <w:rPr>
          <w:rStyle w:val="Appelnotedebasdep"/>
        </w:rPr>
        <w:footnoteReference w:id="40"/>
      </w:r>
      <w:r>
        <w:t xml:space="preserve">. On pourrait supposer que l’acte se déroule dans le cabinet du prince (il s’entretient avec Suréna dans la première scène de l’acte, et Palmis, à la scène 3, semble avoir l’initiative de la rencontre), mais le plateau représente en réalité un lieu plus public. Il s’agit, dans </w:t>
      </w:r>
      <w:r>
        <w:rPr>
          <w:i/>
        </w:rPr>
        <w:t>Suréna</w:t>
      </w:r>
      <w:r>
        <w:t xml:space="preserve">, de la seule entorse au principe de territorialisation – avec la sortie d’Eurydice à l’acte IV, que nous relevions plus haut, et qui déterritorialise légèrement le lieu : Eurydice abandonne le plateau et laisse Pacorus avec </w:t>
      </w:r>
      <w:r>
        <w:t>Suréna, qui vient d’entrer (« Pour éviter l’éclat d’un orgueil imprudent, / Je vous laisse achever avec mon confident</w:t>
      </w:r>
      <w:r>
        <w:rPr>
          <w:rStyle w:val="Appelnotedebasdep"/>
        </w:rPr>
        <w:footnoteReference w:id="41"/>
      </w:r>
      <w:r>
        <w:t>. »). Ces exceptions sont cependant trop peu nombreuses pour entraîner une véritable incohérence ou multiplier les coïncidences de manière invraisemblance.</w:t>
      </w:r>
    </w:p>
    <w:p>
      <w:pPr>
        <w:ind w:firstLine="283"/>
      </w:pPr>
      <w:r>
        <w:t xml:space="preserve">Qu’en est-il dans </w:t>
      </w:r>
      <w:r>
        <w:rPr>
          <w:i/>
        </w:rPr>
        <w:t>Iphigénie</w:t>
      </w:r>
      <w:r>
        <w:t xml:space="preserve"> ? En appliquant la même méthode que pour </w:t>
      </w:r>
      <w:r>
        <w:rPr>
          <w:i/>
        </w:rPr>
        <w:t>Suréna</w:t>
      </w:r>
      <w:r>
        <w:t xml:space="preserve"> et en se fondant sur le personnage qui domine l’acte, on pourrait dire que l’acte I se déroule dans la tente d’Agamemnon, où celui-ci s’entretient avec Arcas, puis reçoit la visite d’Achille et d’Ulysse. L’acte II, dans l’appartement d’Iphigénie, qui reçoit son père, sa mère, puis son amant. L’acte III, dans celui de Clytemnestre, qui y reçoit Agamemnon, puis Achille, Iphigénie et Ériphile, et enfin Arcas. L’acte IV se déroulerait de nouveau chez Agamemnon, que viennent supplier Clytemnestre et Iphigénie, puis braver Achille. </w:t>
      </w:r>
    </w:p>
    <w:p>
      <w:pPr>
        <w:ind w:firstLine="283"/>
      </w:pPr>
      <w:r>
        <w:t>Les exceptions y sont cependant beaucoup plus nombreuses, et nous devons faire abstraction d’un plus grand nombre de scènes. Nous avons déjà relevé les multiples scènes d’où est absent le personnage qui territorialise l’espace dans le reste de l’acte (notamment les scènes entre Ériphile et Doris). En outre, à deux reprises, la territorialisation du lieu est contredite par l’entrée même du personnage qui va occuper le plateau pendant l’essentiel de l’acte : Iphigénie, loin de recevoir la visite de son père (comme elle recevra celle d’Achille), paraît poursuivre celui-ci au début de la scène 2 de l’acte II</w:t>
      </w:r>
      <w:r>
        <w:rPr>
          <w:rStyle w:val="Appelnotedebasdep"/>
        </w:rPr>
        <w:footnoteReference w:id="42"/>
      </w:r>
      <w:r>
        <w:t xml:space="preserve"> ; au début de l’acte IV, c’est Agamemnon qui vient réclamer Iphigénie à Clytemnestre, et non celle-ci qui vient supplier son mari</w:t>
      </w:r>
      <w:r>
        <w:rPr>
          <w:rStyle w:val="Appelnotedebasdep"/>
        </w:rPr>
        <w:footnoteReference w:id="43"/>
      </w:r>
      <w:r>
        <w:t xml:space="preserve">. </w:t>
      </w:r>
    </w:p>
    <w:p>
      <w:pPr>
        <w:ind w:firstLine="283"/>
      </w:pPr>
      <w:r>
        <w:t xml:space="preserve">Enfin, Racine lui-même a introduit dans son texte des mentions spatiales qui vont à l’encontre aussi bien du modèle de la « fiction de théâtre » (qui suppose un lieu neutre, à la fois déterritorialisé et indéterminé) que de celui du changement de lieu à l’entracte. Certes, la notice du </w:t>
      </w:r>
      <w:r>
        <w:rPr>
          <w:i/>
        </w:rPr>
        <w:t>Mémoire de Mahelot</w:t>
      </w:r>
      <w:r>
        <w:t xml:space="preserve"> consacrée à </w:t>
      </w:r>
      <w:r>
        <w:rPr>
          <w:i/>
        </w:rPr>
        <w:t>Iphigénie</w:t>
      </w:r>
      <w:r>
        <w:t xml:space="preserve"> indique que « Théâtre est des tentes et dans le fond une mer et des vaisseaux</w:t>
      </w:r>
      <w:r>
        <w:rPr>
          <w:rStyle w:val="Appelnotedebasdep"/>
        </w:rPr>
        <w:footnoteReference w:id="44"/>
      </w:r>
      <w:r>
        <w:t xml:space="preserve"> ». La scénographie évoquée par Mahelot (« des tentes ») adapte la « fiction de théâtre » cornélienne à l’échelle d’un camp : « une salle sur laquelle ouvrent ces divers appartements » devient « un lieu sur lequel ouvrent ces diverses tentes ». Mais le texte racinien, quant à lui, est plus précis et semble situer l’action </w:t>
      </w:r>
      <w:r>
        <w:rPr>
          <w:i/>
        </w:rPr>
        <w:t>à l’intérieur</w:t>
      </w:r>
      <w:r>
        <w:t xml:space="preserve"> de la tente : la didascalie liminaire précise que « La scène est en Aulide, dans la tente d’Agamemnon » ; Achille invite Iphigénie à sortir de ce lieu : « Ne craignez ni les cris ni la foule impuissante / D'un peuple qui se presse autour de cette tente. / Paraissez » (Racine, </w:t>
      </w:r>
      <w:r>
        <w:rPr>
          <w:i/>
        </w:rPr>
        <w:t>Iphigénie</w:t>
      </w:r>
      <w:r>
        <w:t xml:space="preserve">, </w:t>
      </w:r>
      <w:r>
        <w:rPr>
          <w:i/>
        </w:rPr>
        <w:t>op. cit.</w:t>
      </w:r>
      <w:r>
        <w:t xml:space="preserve">, IV, 2, v. 1513-1515). </w:t>
      </w:r>
    </w:p>
    <w:p>
      <w:pPr>
        <w:ind w:firstLine="283"/>
      </w:pPr>
      <w:r>
        <w:t>Roger W. Herzel</w:t>
      </w:r>
      <w:r>
        <w:rPr>
          <w:rStyle w:val="Appelnotedebasdep"/>
        </w:rPr>
        <w:footnoteReference w:id="45"/>
      </w:r>
      <w:r>
        <w:t xml:space="preserve"> a bien montré que Racine n’a pas mené une réflexion sur la cohérence spatiale comparable à celle de Corneille, mais qu’il cherche au contraire, pour chaque pièce, à spécifier le lieu de l’action. C’est renoncer à la commode indétermination du traditionnel « palais à volonté », qui invite le spectateur à participer activement à la convention théâtrale en imaginant que le lieu de l’action change à l’entracte même si le décor reste le même (ce </w:t>
      </w:r>
      <w:r>
        <w:t xml:space="preserve">qui garantit la vraisemblance) ou fait en sorte qu’il ne </w:t>
      </w:r>
      <w:r>
        <w:rPr>
          <w:b/>
        </w:rPr>
        <w:t>se</w:t>
      </w:r>
      <w:r>
        <w:t xml:space="preserve"> soucie pas du lieu représenté, qui n’est jamais décrit ou mentionné précisément (ce qui évacue le problème de la vraisemblance). Mais, d’un autre côté, cette spécificité du lieu permet de faire pleinement participer celui-ci à la signification de l’œuvre. Peu importe, dès lors, que le décor d’origine ait représenté un espace intérieur ou extérieur, et que, dans ce dernier cas, une des tentes (celle d’Agamemnon) ait pu ou non s’ouvrir pour en faire parfois voir l’intérieur : le fait que le lieu de l’action soit associé étroitement à l’autorité d’Agamemnon et/ou soit ouvert sur l’extérieur et exposé aux éléments entre en résonance avec bien des aspects de la pièce. Les effets de sens auxquels le lieu peut participer semblent donc bien plus importants aux yeux de Racine que sa vraisemblance, et continuer à réfléchir en terme de territorialisation nous forcerait presque inévitablement à appliquer au texte de Racine une grille de lecture cornélienne qui ne serait pas pertinente </w:t>
      </w:r>
    </w:p>
    <w:p>
      <w:pPr>
        <w:pStyle w:val="Titre1"/>
      </w:pPr>
      <w:r>
        <w:rPr>
          <w:sz w:val="32"/>
        </w:rPr>
        <w:t>Permanence et renouvellement du personnage focal</w:t>
      </w:r>
    </w:p>
    <w:p>
      <w:pPr>
        <w:ind w:firstLine="283"/>
      </w:pPr>
      <w:r>
        <w:t xml:space="preserve">Peut-on associer la permanence d’un même personnage au cours de chaque acte à des enjeux qui soient communs à </w:t>
      </w:r>
      <w:r>
        <w:rPr>
          <w:i/>
        </w:rPr>
        <w:t>Iphigénie</w:t>
      </w:r>
      <w:r>
        <w:t xml:space="preserve"> et à </w:t>
      </w:r>
      <w:r>
        <w:rPr>
          <w:i/>
        </w:rPr>
        <w:t>Suréna</w:t>
      </w:r>
      <w:r>
        <w:t xml:space="preserve"> dès lors qu’il ne peut que marginalement s’agir, chez Racine, d’enjeux liés à la cohérence spatiale ? Il faut pour cela changer de niveau d’analyse et raisonner en termes de focalisation et non plus d’espace. Sur le modèle de la narratologie, on peut qualifier de « personnage focal » le personnage qui reste présent en permanence sur le plateau pendant une séquence de scènes plus ou moins longue</w:t>
      </w:r>
      <w:r>
        <w:rPr>
          <w:rStyle w:val="Appelnotedebasdep"/>
        </w:rPr>
        <w:footnoteReference w:id="46"/>
      </w:r>
      <w:r>
        <w:t xml:space="preserve">. Pendant toutes ces scènes, le spectateur partage son point de vue : il n’en sait ni plus, ni moins que lui. Contrairement à la notion de « territorialisation », cette notion est indépendante de la motivation des entrées. Elle est par ailleurs plus souple dans son application, car elle autorise un continuum : la permanence du personnage focal produira simplement un effet plus ou moins fort selon qu’elle concerne l’ensemble de l’acte ou à une partie seulement de celui-ci. Beaucoup moins sensible aux variations de surface que nous avons évoquées, elle s’applique donc aussi bien à Corneille qu’à Racine. </w:t>
      </w:r>
    </w:p>
    <w:p>
      <w:pPr>
        <w:ind w:firstLine="283"/>
      </w:pPr>
      <w:r>
        <w:rPr>
          <w:i/>
        </w:rPr>
        <w:t>Iphigénie</w:t>
      </w:r>
      <w:r>
        <w:t xml:space="preserve"> et </w:t>
      </w:r>
      <w:r>
        <w:rPr>
          <w:i/>
        </w:rPr>
        <w:t>Suréna</w:t>
      </w:r>
      <w:r>
        <w:t xml:space="preserve"> ont en commun de présenter deux situations similaires. La première est celle d’un personnage animé d’un soupçon qui cherche à découvrir un secret qu’on lui cache. C’est le cas d’Iphigénie et de Clytemnestre aux actes II et III, qui ne parviennent pas à interpréter l’attitude d’Agamemnon. C’est le cas de Pacorus et d’Orode, qui cherchent à comprendre les réticences d’Eurydice (qui repousse son mariage avec Pacorus) et de Suréna (qui refuse d’épouser la fille d’Orode). Dans les deux pièces, l’intrigue progresse notamment par le travail d’investigation que mène un groupe de personnages (Clytemnestre, Iphigénie et Ériphile dans </w:t>
      </w:r>
      <w:r>
        <w:rPr>
          <w:i/>
        </w:rPr>
        <w:t>Iphigénie</w:t>
      </w:r>
      <w:r>
        <w:t xml:space="preserve"> ; Pacorus et Orode dans </w:t>
      </w:r>
      <w:r>
        <w:rPr>
          <w:i/>
        </w:rPr>
        <w:t>Suréna</w:t>
      </w:r>
      <w:r>
        <w:t xml:space="preserve">) afin de comprendre ce que leur cache un autre groupe de personnages (Agamemnon, Ulysse et Calchas ; Eurydice, Suréna et Palmis). Les termes de « soupçon » et de « secret » reviennent fréquemment, et les personnages font part de leur incapacité à comprendre l’attitude de leur interlocuteur dans </w:t>
      </w:r>
      <w:r>
        <w:rPr>
          <w:i/>
        </w:rPr>
        <w:t>Iphigénie</w:t>
      </w:r>
      <w:r>
        <w:t xml:space="preserve"> (« De cet accueil que dois-je soupçonner</w:t>
      </w:r>
      <w:r>
        <w:rPr>
          <w:rStyle w:val="Appelnotedebasdep"/>
        </w:rPr>
        <w:footnoteReference w:id="47"/>
      </w:r>
      <w:r>
        <w:t xml:space="preserve"> ? » ; « Bannissez ces soupçons </w:t>
      </w:r>
      <w:r>
        <w:t>qui troublaient notre joie</w:t>
      </w:r>
      <w:r>
        <w:rPr>
          <w:rStyle w:val="Appelnotedebasdep"/>
        </w:rPr>
        <w:footnoteReference w:id="48"/>
      </w:r>
      <w:r>
        <w:t>. » ; « D’où vient que d’un soin si cruel / L’injuste Agamemnon m’écarte de l’autel</w:t>
      </w:r>
      <w:r>
        <w:rPr>
          <w:rStyle w:val="Appelnotedebasdep"/>
        </w:rPr>
        <w:footnoteReference w:id="49"/>
      </w:r>
      <w:r>
        <w:t xml:space="preserve"> ? » ; « C’est un secret qu’il leur faut arracher</w:t>
      </w:r>
      <w:r>
        <w:rPr>
          <w:rStyle w:val="Appelnotedebasdep"/>
        </w:rPr>
        <w:footnoteReference w:id="50"/>
      </w:r>
      <w:r>
        <w:t xml:space="preserve">. », etc.) aussi bien que dans </w:t>
      </w:r>
      <w:r>
        <w:rPr>
          <w:i/>
        </w:rPr>
        <w:t>Suréna</w:t>
      </w:r>
      <w:r>
        <w:t xml:space="preserve"> (« Je l’ai vu par votre ordre, et voulu par avance / Pénétrer le secret de son indifférence</w:t>
      </w:r>
      <w:r>
        <w:rPr>
          <w:rStyle w:val="Appelnotedebasdep"/>
        </w:rPr>
        <w:footnoteReference w:id="51"/>
      </w:r>
      <w:r>
        <w:t>. » ; « détournez / Les soupçons que leurs feux peuvent avoir donnés</w:t>
      </w:r>
      <w:r>
        <w:rPr>
          <w:rStyle w:val="Appelnotedebasdep"/>
        </w:rPr>
        <w:footnoteReference w:id="52"/>
      </w:r>
      <w:r>
        <w:t xml:space="preserve"> » ; « Le soupçon m’est plus doux que la vérité sûre</w:t>
      </w:r>
      <w:r>
        <w:rPr>
          <w:rStyle w:val="Appelnotedebasdep"/>
        </w:rPr>
        <w:footnoteReference w:id="53"/>
      </w:r>
      <w:r>
        <w:t xml:space="preserve"> »).</w:t>
      </w:r>
    </w:p>
    <w:p>
      <w:pPr>
        <w:ind w:firstLine="283"/>
      </w:pPr>
      <w:r>
        <w:t>La deuxième situation est celle d’un personnage qui délibère et que d’autres viennent conseiller, menacer ou tenter de persuader. C’est le cas d’Agamemnon : faut-il sacrifier Iphigénie ? C’est le cas d’Eurydice : faut-il épouser Pacorus ? faut-il demander à Suréna d’épouser la fille d’Orode et d’oublier son amour pour sauver sa vie ?</w:t>
      </w:r>
    </w:p>
    <w:p>
      <w:pPr>
        <w:ind w:firstLine="283"/>
      </w:pPr>
      <w:r>
        <w:t>Ces situations n’impliquent évidemment pas nécessairement d’avoir recours au motif dramaturgique de la permanence du personnage focal, et pourrait donner lieu à d’autres formes de composition. La question est plutôt de comprendre ce que met en valeur ce procédé, et sur quels aspects de l’histoire il insiste.</w:t>
      </w:r>
    </w:p>
    <w:p>
      <w:pPr>
        <w:ind w:firstLine="283"/>
      </w:pPr>
      <w:r>
        <w:t>Les actes à l’intérieur desquels un personnage focal unique n’est pas présent dans l’ensemble des scènes permettent d’exposer toutes les facettes d’une situation donnée, tout en préparant éventuellement un futur rebondissement : l’acte décline plusieurs combinaisons de rencontres et garantit au spectateur une position d’omniscience. Les personnages se relaient sous ses yeux, lui seul demeure. L’acte III d’</w:t>
      </w:r>
      <w:r>
        <w:rPr>
          <w:i/>
        </w:rPr>
        <w:t>Andromaque</w:t>
      </w:r>
      <w:r>
        <w:t xml:space="preserve"> permet d’offrir un tableau de la situation qui suit l’annonce du mariage entre Hermione et Pyrrhus : comment cette nouvelle peut-elle affecter et nourrir un dialogue entre Hermione et Oreste ? entre Hermione et Andromaque ? entre Pyrrhus et Andromaque ? Ce faisant, ces actes constituent des images réduites de la pièce dans son ensemble : tous les personnages y défilent, et chacun a l’occasion de s’exprimer librement ou du moins dans des configurations variées. L’acte présente une unité moins forte, est plus ouvert et plus lié avec les actes précédents et suivants : ses enjeux sont moins distincts.</w:t>
      </w:r>
    </w:p>
    <w:p>
      <w:pPr>
        <w:ind w:firstLine="283"/>
      </w:pPr>
      <w:r>
        <w:t>Au contraire, plus un acte est dominé par un personnage ou groupe de personnages unique, plus les spectateurs percevront l’action à travers les yeux de ce personnage. Même s’ils en savent plus que ce personnage grâce aux actes précédents, ils adoptent aussi, partiellement et temporairement, le point de vue de celui-ci. Ainsi, ces actes présentent également une unité beaucoup plus forte :</w:t>
      </w:r>
      <w:r>
        <w:rPr>
          <w:b/>
        </w:rPr>
        <w:t xml:space="preserve"> </w:t>
      </w:r>
      <w:r>
        <w:t xml:space="preserve">l’acte II est « l’acte d’Iphigénie », l’acte II de </w:t>
      </w:r>
      <w:r>
        <w:rPr>
          <w:i/>
        </w:rPr>
        <w:t>Suréna</w:t>
      </w:r>
      <w:r>
        <w:t xml:space="preserve">, « l’acte de Pacorus », etc. </w:t>
      </w:r>
    </w:p>
    <w:p>
      <w:pPr>
        <w:ind w:firstLine="283"/>
      </w:pPr>
      <w:r>
        <w:t xml:space="preserve">Dans </w:t>
      </w:r>
      <w:r>
        <w:rPr>
          <w:i/>
        </w:rPr>
        <w:t>Iphigénie</w:t>
      </w:r>
      <w:r>
        <w:t>, même si l’on est au courant du secret d’Agamemnon, l’acte II invite le public à dédoubler le regard qu’il porte sur l’histoire : sans oublier ce qu’il sait, il peut aussi envisager la situation à travers les yeux d’Iphigénie</w:t>
      </w:r>
      <w:r>
        <w:rPr>
          <w:rStyle w:val="Appelnotedebasdep"/>
        </w:rPr>
        <w:footnoteReference w:id="54"/>
      </w:r>
      <w:r>
        <w:t>. La froideur d’Agamemnon à la scène 2 et la découverte de sa lettre à la scène 4 forment un ensemble cohérent : à l’inquiétude d’Iphigénie succède son dépit</w:t>
      </w:r>
      <w:r>
        <w:rPr>
          <w:rStyle w:val="Appelnotedebasdep"/>
        </w:rPr>
        <w:footnoteReference w:id="55"/>
      </w:r>
      <w:r>
        <w:t xml:space="preserve">. Cette séquence se répète à l’acte III, avec cette fois </w:t>
      </w:r>
      <w:r>
        <w:t>Clytemnestre comme personnage focal : la révélation d’Arcas à la scène 5 explique le discours tenu par Agamemnon à la scène 1, que Clytemnestre ne parvenait pas expliquer. Dans les deux actes, l’entrée d’Achille (II, 6 et III, 3) calme ou pourrait calmer l’inquiétude du personnage focal : à l’acte II, elle intervient après la révélation et, dans la mesure où Iphigénie refuse le dialogue, est inopérante ; à l’acte III, elle confirme au contraire le prétexte imaginé par Agamemnon pour faire venir sa fille en Aulide, et achève ainsi de rassurer Clytemnestre</w:t>
      </w:r>
      <w:r>
        <w:rPr>
          <w:rStyle w:val="Appelnotedebasdep"/>
        </w:rPr>
        <w:footnoteReference w:id="56"/>
      </w:r>
      <w:r>
        <w:t xml:space="preserve">. </w:t>
      </w:r>
    </w:p>
    <w:p>
      <w:pPr>
        <w:ind w:firstLine="283"/>
      </w:pPr>
      <w:r>
        <w:t xml:space="preserve">L’acte II de </w:t>
      </w:r>
      <w:r>
        <w:rPr>
          <w:i/>
        </w:rPr>
        <w:t>Suréna</w:t>
      </w:r>
      <w:r>
        <w:t xml:space="preserve">, même si l’on est au courant de l’amour entre Eurydice et Suréna, fait voir une image des soupçons et des doutes de Pacorus. Celui-ci essaye de comprendre la froideur d’Eurydice en interrogeant d’abord Suréna, puis Eurydice, puis enfin Palmis : l’action ne progresse pas par des liens de causalité directe, mais par une accumulation progressive d’indices qui éveillent la jalousie de Pacorus. Il en va de même pour l’acte III, où Orode reçoit tour à tour son lieutenant Sillace, puis Suréna, puis Palmis. Chacun de ces échanges, y compris les réticences de Suréna et de Palmis, lui permet de comprendre que ceux-ci ont un dessein secret qui s’oppose au mariage entre Eurydice et Pacorus. Là encore, l’action ne progresse pas selon une chaîne de causes et d’effets où chaque scène découlerait de la précédente (Suréna et Palmis ont d’ailleurs été mandés avant le début de l’acte), mais chaque scène contribue à accroître la tension et à motiver la décision finale d’Orode (que Suréna épouse Mandane, ou Eurydice, Pacorus). </w:t>
      </w:r>
    </w:p>
    <w:p>
      <w:pPr>
        <w:ind w:firstLine="283"/>
      </w:pPr>
      <w:r>
        <w:t>L’acte IV d’</w:t>
      </w:r>
      <w:r>
        <w:rPr>
          <w:i/>
        </w:rPr>
        <w:t>Iphigénie</w:t>
      </w:r>
      <w:r>
        <w:t xml:space="preserve"> et les actes IV et V de </w:t>
      </w:r>
      <w:r>
        <w:rPr>
          <w:i/>
        </w:rPr>
        <w:t>Suréna</w:t>
      </w:r>
      <w:r>
        <w:t xml:space="preserve"> reposent quant à eux sur la présence presque continue d’Agamemnon et d’Eurydice</w:t>
      </w:r>
      <w:r>
        <w:rPr>
          <w:rStyle w:val="Appelnotedebasdep"/>
        </w:rPr>
        <w:footnoteReference w:id="57"/>
      </w:r>
      <w:r>
        <w:t>. Une fois leur secret découvert, il leur appartient de prendre une décision. Agamemnon reçoit la visite de Clytemnestre et d’Iphigénie, puis d’Achille, avant de faire revenir sa fille et sa femme pour leur exposer le résultat de sa délibération</w:t>
      </w:r>
      <w:r>
        <w:rPr>
          <w:rStyle w:val="Appelnotedebasdep"/>
        </w:rPr>
        <w:footnoteReference w:id="58"/>
      </w:r>
      <w:r>
        <w:t xml:space="preserve">. Dans </w:t>
      </w:r>
      <w:r>
        <w:rPr>
          <w:i/>
        </w:rPr>
        <w:t>Suréna</w:t>
      </w:r>
      <w:r>
        <w:t xml:space="preserve">, la délibération d’Eurydice prend une forme moins </w:t>
      </w:r>
      <w:r>
        <w:t>nette, parce qu’elle dure plus longtemps et que le péril que court Suréna se précise en même temps. Mais elle aussi reçoit une série de visites qui cherchent à la convaincre d’épouser Pacorus sans retard, ou de laisser Suréna épouser la fille d’Orode : Palmis (« Acceptez mon amant pour conserver mon frère</w:t>
      </w:r>
      <w:r>
        <w:rPr>
          <w:rStyle w:val="Appelnotedebasdep"/>
        </w:rPr>
        <w:footnoteReference w:id="59"/>
      </w:r>
      <w:r>
        <w:t xml:space="preserve"> ») ; Pacorus (« il ne vous faut qu’un peu d’obéissance, / Qu’exécuter demain ce qu’un père a promis</w:t>
      </w:r>
      <w:r>
        <w:rPr>
          <w:rStyle w:val="Appelnotedebasdep"/>
        </w:rPr>
        <w:footnoteReference w:id="60"/>
      </w:r>
      <w:r>
        <w:t xml:space="preserve"> ») ; Orode (« Il me faut un hymen : choisissez l’un ou l’autre</w:t>
      </w:r>
      <w:r>
        <w:rPr>
          <w:rStyle w:val="Appelnotedebasdep"/>
        </w:rPr>
        <w:footnoteReference w:id="61"/>
      </w:r>
      <w:r>
        <w:t xml:space="preserve"> ») ; Palmis encore (« Il court à son trépas, et vous en serez cause, / À moins que votre amour à son départ s’oppose</w:t>
      </w:r>
      <w:r>
        <w:rPr>
          <w:rStyle w:val="Appelnotedebasdep"/>
        </w:rPr>
        <w:footnoteReference w:id="62"/>
      </w:r>
      <w:r>
        <w:t>. »). En faisant d’Eurydice le personnage focal de l’essentiel des deux derniers actes, Corneille met le dilemme de celle-ci au centre de l’action : c’est à elle qu’incombe la décision dont dépendra le dénouement, et non à Suréna, fixé dans une position qui mêle à la fois défi héroïque et résignation tragique.</w:t>
      </w:r>
    </w:p>
    <w:p>
      <w:pPr>
        <w:ind w:firstLine="283"/>
      </w:pPr>
      <w:r>
        <w:t>*</w:t>
      </w:r>
    </w:p>
    <w:p>
      <w:pPr>
        <w:ind w:firstLine="283"/>
      </w:pPr>
      <w:r>
        <w:t>Le motif dramaturgique qu’</w:t>
      </w:r>
      <w:r>
        <w:rPr>
          <w:i/>
        </w:rPr>
        <w:t>Iphigénie</w:t>
      </w:r>
      <w:r>
        <w:t xml:space="preserve"> et </w:t>
      </w:r>
      <w:r>
        <w:rPr>
          <w:i/>
        </w:rPr>
        <w:t>Suréna</w:t>
      </w:r>
      <w:r>
        <w:t xml:space="preserve"> exemplifient permet ainsi de mettre en valeur la révélation progressive d’un secret qui force un personnage à prendre une décision. La permanence du personnage focal n’est pas intrinsèquement liée à ces deux situations, mais elle insiste et se concentre pendant une séquence relativement étendue soit sur l’ignorance des uns, soit sur le dilemme des autres. Nous avons vu que les autres dramaturges qui ont adapté le mythe d’Iphigénie n’ont pas toujours fait les mêmes choix, car ils étaient guidés par d’autres principes dramaturgiques, se voulaient plus proche de leur intertexte, étaient limités par la composition de la troupe, ne développaient pas les mêmes aspects de l’intrigue, etc. Cette diversité d’approches s’observe également dans d’autres pièces du corpus racinien. Pyrrhus et Andromaque, sur les hésitations et les revirements desquels repose l’action d’</w:t>
      </w:r>
      <w:r>
        <w:rPr>
          <w:i/>
        </w:rPr>
        <w:t>Andromaque</w:t>
      </w:r>
      <w:r>
        <w:t>,</w:t>
      </w:r>
      <w:r>
        <w:rPr>
          <w:i/>
        </w:rPr>
        <w:t xml:space="preserve"> </w:t>
      </w:r>
      <w:r>
        <w:t>ne sont pas traités comme l’Agamemnon d’</w:t>
      </w:r>
      <w:r>
        <w:rPr>
          <w:i/>
        </w:rPr>
        <w:t>Iphigénie</w:t>
      </w:r>
      <w:r>
        <w:t xml:space="preserve"> : Racine ne s’appesantit jamais aussi longuement sur eux, et préfère donner au spectateur, dans chaque acte, une vue globale de la situation. </w:t>
      </w:r>
      <w:r>
        <w:rPr>
          <w:i/>
        </w:rPr>
        <w:t>Bérénice</w:t>
      </w:r>
      <w:r>
        <w:t>, qui repose également sur la révélation d’un secret, ne met pas en scène cette situation de la même manière : avant l’acte V, Bérénice, qui ignore que Titus a décidé de la quitter, n’occupe jamais le plateau plus de deux scènes de suite. Racine a plutôt choisi de varier le point de vue, tout en consacrant l’acte III, où Antiochus est présent dans toutes les scènes, au drame vécu par ce dernier. Les choix opérées dans la disposition des scènes permettent donc de présenter une même situation sous des angles différents, ou, inversement, de raconter deux histoires différentes en adoptant le même parti pris dramaturgique, mettant en valeur les similitudes structurelles qu’elles peuvent présenter.</w:t>
      </w:r>
    </w:p>
    <w:p>
      <w:pPr>
        <w:pStyle w:val="Titre1"/>
      </w:pPr>
      <w:r>
        <w:rPr>
          <w:sz w:val="32"/>
        </w:rPr>
        <w:t>Bibliographie</w:t>
      </w:r>
    </w:p>
    <w:p>
      <w:pPr>
        <w:pStyle w:val="TEIbiblreference"/>
        <w:ind w:left="283" w:hanging="283"/>
      </w:pPr>
      <w:r>
        <w:rPr>
          <w:smallCaps/>
        </w:rPr>
        <w:t>Douguet</w:t>
      </w:r>
      <w:r>
        <w:t xml:space="preserve"> Marc. (2022). </w:t>
      </w:r>
      <w:r>
        <w:rPr>
          <w:i/>
        </w:rPr>
        <w:t xml:space="preserve">Composition dramatique et liaison des scènes dans le théâtre français du </w:t>
      </w:r>
      <w:r>
        <w:rPr>
          <w:i/>
          <w:smallCaps/>
        </w:rPr>
        <w:t>xvii</w:t>
      </w:r>
      <w:r>
        <w:rPr>
          <w:i/>
          <w:vertAlign w:val="superscript"/>
        </w:rPr>
        <w:t>e</w:t>
      </w:r>
      <w:r>
        <w:rPr>
          <w:i/>
        </w:rPr>
        <w:t xml:space="preserve"> siècle</w:t>
      </w:r>
      <w:r>
        <w:t>. Genève : Droz, coll. « Travaux du Grand Siècle »</w:t>
      </w:r>
    </w:p>
    <w:p>
      <w:pPr>
        <w:pStyle w:val="TEIbiblreference"/>
        <w:ind w:left="283" w:hanging="283"/>
      </w:pPr>
      <w:r>
        <w:rPr>
          <w:smallCaps/>
        </w:rPr>
        <w:t>Herzel</w:t>
      </w:r>
      <w:r>
        <w:t xml:space="preserve"> Roger W. (1993). « Laurent and the “Palais à volonté” ». </w:t>
      </w:r>
      <w:r>
        <w:rPr>
          <w:i/>
        </w:rPr>
        <w:t>Publications of the Modern Language Association in America</w:t>
      </w:r>
      <w:r>
        <w:t>, vol. CVIII, n</w:t>
      </w:r>
      <w:r>
        <w:rPr>
          <w:vertAlign w:val="superscript"/>
        </w:rPr>
        <w:t>o</w:t>
      </w:r>
      <w:r>
        <w:t xml:space="preserve"> 5, p. 1064-1082</w:t>
      </w:r>
    </w:p>
    <w:p>
      <w:pPr>
        <w:pStyle w:val="TEIbiblreference"/>
        <w:ind w:left="283" w:hanging="283"/>
      </w:pPr>
      <w:r>
        <w:rPr>
          <w:smallCaps/>
        </w:rPr>
        <w:t>Pfister</w:t>
      </w:r>
      <w:r>
        <w:t xml:space="preserve"> Manfred. (1977). </w:t>
      </w:r>
      <w:r>
        <w:rPr>
          <w:i/>
        </w:rPr>
        <w:t>Das Drama. Theorie und Analyse</w:t>
      </w:r>
      <w:r>
        <w:t>. Münich : Wilhelm Fink, coll. « UTB »</w:t>
      </w:r>
    </w:p>
    <w:p>
      <w:pPr>
        <w:pStyle w:val="TEIbiblreference"/>
        <w:ind w:left="283" w:hanging="283"/>
      </w:pPr>
      <w:r>
        <w:rPr>
          <w:smallCaps/>
        </w:rPr>
        <w:t>Vialleton</w:t>
      </w:r>
      <w:r>
        <w:t xml:space="preserve"> Jean-Yves. (2004). </w:t>
      </w:r>
      <w:r>
        <w:rPr>
          <w:i/>
        </w:rPr>
        <w:t xml:space="preserve">Poésie dramatique et prose du monde. Le comportement des personnages dans la tragédie en France au </w:t>
      </w:r>
      <w:r>
        <w:rPr>
          <w:i/>
          <w:smallCaps/>
        </w:rPr>
        <w:t>xvii</w:t>
      </w:r>
      <w:r>
        <w:rPr>
          <w:i/>
          <w:vertAlign w:val="superscript"/>
        </w:rPr>
        <w:t>e</w:t>
      </w:r>
      <w:r>
        <w:rPr>
          <w:i/>
        </w:rPr>
        <w:t xml:space="preserve"> siècle</w:t>
      </w:r>
      <w:r>
        <w:t>. Paris : Honoré Champion, coll. « Lumière classique »</w:t>
      </w:r>
    </w:p>
    <w:p>
      <w:r>
        <w:br w:type="page"/>
      </w:r>
    </w:p>
    <w:p>
      <w:pPr>
        <w:pStyle w:val="Titre1"/>
      </w:pPr>
      <w:r>
        <w:rPr>
          <w:sz w:val="32"/>
        </w:rPr>
        <w:t>La seconde chambre sublime.</w:t>
      </w:r>
    </w:p>
    <w:p>
      <w:pPr>
        <w:pStyle w:val="Titre1"/>
      </w:pPr>
      <w:r>
        <w:rPr>
          <w:sz w:val="32"/>
        </w:rPr>
        <w:t xml:space="preserve">Racine partisan des </w:t>
      </w:r>
      <w:r>
        <w:rPr>
          <w:sz w:val="32"/>
        </w:rPr>
        <w:t>Anciens</w:t>
      </w:r>
    </w:p>
    <w:p>
      <w:pPr>
        <w:ind w:firstLine="283"/>
      </w:pPr>
      <w:r>
        <w:t>La préface d’</w:t>
      </w:r>
      <w:r>
        <w:rPr>
          <w:i/>
        </w:rPr>
        <w:t>Iphigénie</w:t>
      </w:r>
      <w:r>
        <w:t xml:space="preserve"> s’achève sur les seules phrases de Quintilien citées par Racine dans un texte publié. Ces « sages paroles » sont traduites avant d’être redonnées en latin : </w:t>
      </w:r>
    </w:p>
    <w:p>
      <w:pPr>
        <w:pStyle w:val="TEIquote"/>
        <w:spacing w:line="240" w:lineRule="auto"/>
        <w:ind w:left="397"/>
        <w:jc w:val="both"/>
      </w:pPr>
      <w:r>
        <w:rPr>
          <w:sz w:val="22"/>
        </w:rPr>
        <w:t xml:space="preserve">« Il faut être extrêmement circonspect et très retenu à prononcer sur les Ouvrages de ces grands Hommes, de peur qu’il ne nous arrive, comme à plusieurs, de condamner ce que nous n’entendons pas. Et s’il faut tomber dans quelque excès, encore vaut-il mieux pécher en admirant tout dans leurs écrits, qu’en y condamnant beaucoup de choses. » </w:t>
      </w:r>
      <w:r>
        <w:rPr>
          <w:i/>
          <w:sz w:val="22"/>
        </w:rPr>
        <w:t>Modeste tamen et circumspecto judicio de tantis viris pronuntiandum est, ne (quod plerisque accedit) damnent quæ non intelligunt. Ac si necesse est in alteram errare partem, omnia eorum legentibus placere, quam multa displicere maluerim</w:t>
      </w:r>
      <w:r>
        <w:rPr>
          <w:rStyle w:val="Appelnotedebasdep"/>
        </w:rPr>
        <w:footnoteReference w:id="63"/>
      </w:r>
      <w:r>
        <w:rPr>
          <w:sz w:val="22"/>
        </w:rPr>
        <w:t>.</w:t>
      </w:r>
    </w:p>
    <w:p>
      <w:pPr>
        <w:pStyle w:val="TEIparagraphconsecutive"/>
      </w:pPr>
      <w:r>
        <w:t>Point d’orgue du raisonnement en même temps que pointe acérée, la citation relève pleinement de l’</w:t>
      </w:r>
      <w:r>
        <w:rPr>
          <w:i/>
        </w:rPr>
        <w:t>inventio</w:t>
      </w:r>
      <w:r>
        <w:t xml:space="preserve">, et non de l’ornement ; elle transcende l’argument d’autorité pour ne faire entendre que la voix du bon sens. </w:t>
      </w:r>
      <w:r>
        <w:rPr>
          <w:i/>
        </w:rPr>
        <w:t>Quod plerisque accidit</w:t>
      </w:r>
      <w:r>
        <w:t xml:space="preserve"> : la référence perdue aux imprudents que visait Quintilien est réactivée, et cette force polémique mérite d’être questionnée à nouveaux frais, en tenant compte des traces de lecture assez singulières que comporte le volume de l’</w:t>
      </w:r>
      <w:r>
        <w:rPr>
          <w:i/>
        </w:rPr>
        <w:t>Institution oratoire</w:t>
      </w:r>
      <w:r>
        <w:t xml:space="preserve"> annoté par Racine. Ces annotations, verbales ou non, devraient nous éclairer sur le mode de composition et les enjeux de la préface d’</w:t>
      </w:r>
      <w:r>
        <w:rPr>
          <w:i/>
        </w:rPr>
        <w:t>Iphigénie</w:t>
      </w:r>
      <w:r>
        <w:t xml:space="preserve">, car elles sont en rapport direct avec elle. Nous verrons que cette citation revêt une importance particulière dans la Querelle des Anciens et des Modernes qui s’engage. Ce n’est qu’une fois que nous l’aurons replacée dans le cadre d’une argumentation d’ensemble que nous pourrons examiner les annotations du Quintilien de Racine. </w:t>
      </w:r>
    </w:p>
    <w:p>
      <w:pPr>
        <w:pStyle w:val="Titre2"/>
      </w:pPr>
      <w:r>
        <w:rPr>
          <w:sz w:val="28"/>
        </w:rPr>
        <w:t>L</w:t>
      </w:r>
      <w:r>
        <w:rPr>
          <w:sz w:val="28"/>
        </w:rPr>
        <w:t>a citation de Quintilien dans les stratégies polémiques (1670-1701)</w:t>
      </w:r>
    </w:p>
    <w:p>
      <w:pPr>
        <w:ind w:firstLine="283"/>
      </w:pPr>
      <w:r>
        <w:t>Au XVII</w:t>
      </w:r>
      <w:r>
        <w:rPr>
          <w:vertAlign w:val="superscript"/>
        </w:rPr>
        <w:t>e</w:t>
      </w:r>
      <w:r>
        <w:t xml:space="preserve"> siècle, la citation de Quintilien figure notamment dans deux ouvrages de poétique. On la rencontre en 1647 dans le </w:t>
      </w:r>
      <w:r>
        <w:rPr>
          <w:i/>
        </w:rPr>
        <w:t>De Imitatione</w:t>
      </w:r>
      <w:r>
        <w:t xml:space="preserve"> de Vossius</w:t>
      </w:r>
      <w:r>
        <w:rPr>
          <w:rStyle w:val="Appelnotedebasdep"/>
        </w:rPr>
        <w:footnoteReference w:id="64"/>
      </w:r>
      <w:r>
        <w:t>, puis en 1669 dans la poétique de l’épigramme du jésuite François Vavasseur</w:t>
      </w:r>
      <w:r>
        <w:rPr>
          <w:rStyle w:val="Appelnotedebasdep"/>
        </w:rPr>
        <w:footnoteReference w:id="65"/>
      </w:r>
      <w:r>
        <w:t xml:space="preserve">. Dès l’année suivante, la première phrase de l’extrait apparaît dans la </w:t>
      </w:r>
      <w:r>
        <w:rPr>
          <w:i/>
        </w:rPr>
        <w:t>Comparaison de Démosthène et de Cicéron</w:t>
      </w:r>
      <w:r>
        <w:t xml:space="preserve"> de René Rapin, à la toute fin de l’avertissement, avec la même réactivation de référence (</w:t>
      </w:r>
      <w:r>
        <w:rPr>
          <w:i/>
        </w:rPr>
        <w:t>plerisque</w:t>
      </w:r>
      <w:r>
        <w:t>). Cette homologie avec la préface d’</w:t>
      </w:r>
      <w:r>
        <w:rPr>
          <w:i/>
        </w:rPr>
        <w:t>Iphigénie</w:t>
      </w:r>
      <w:r>
        <w:t xml:space="preserve"> invite à confronter les argumentaires des deux paratextes.</w:t>
      </w:r>
    </w:p>
    <w:p>
      <w:pPr>
        <w:ind w:firstLine="283"/>
      </w:pPr>
      <w:r>
        <w:t>C’est sur le modèle de Plutarque, c’est-à-dire point par point, que Rapin propose un parallèle des deux grands orateurs, en se refusant à établir une hiérarchie comme à s’appesantir sur des détails érudits</w:t>
      </w:r>
      <w:r>
        <w:rPr>
          <w:rStyle w:val="Appelnotedebasdep"/>
        </w:rPr>
        <w:footnoteReference w:id="66"/>
      </w:r>
      <w:r>
        <w:t xml:space="preserve">. Sa dialectique n’aiderait qu’à les faire mieux connaître de l’honnête homme, même si l’avantage est donné à Cicéron. Cependant, derrière le </w:t>
      </w:r>
      <w:r>
        <w:rPr>
          <w:i/>
        </w:rPr>
        <w:t>topos</w:t>
      </w:r>
      <w:r>
        <w:t xml:space="preserve"> de la décadence de l’éloquence, le constat prend une valeur prescriptive qui ne relève pas de l’ornement rhétorique :</w:t>
      </w:r>
    </w:p>
    <w:p>
      <w:pPr>
        <w:pStyle w:val="TEIquote"/>
        <w:spacing w:line="240" w:lineRule="auto"/>
        <w:ind w:left="397"/>
        <w:jc w:val="both"/>
      </w:pPr>
      <w:r>
        <w:rPr>
          <w:sz w:val="22"/>
        </w:rPr>
        <w:t>[…] nous aurions plus d’excellents Orateurs pour la Chaire et pour le Barreau, si on les étudiait davantage. Ils ont même tous deux si fort vécu en grands Seigneurs dans leur République, que leur vie pourrait servir d’instruction à tous les gens de qualité : et il se trouve une si grande étendue de mérite et de perfections dans ces deux Orateurs, que non seulement ils pourraient servir de modèle aux Magistrats et aux hommes d’État : mais aussi à tous ceux qui se piquent ou de grandeur d’âme ou d’élévation d’esprit</w:t>
      </w:r>
      <w:r>
        <w:rPr>
          <w:rStyle w:val="Appelnotedebasdep"/>
        </w:rPr>
        <w:footnoteReference w:id="67"/>
      </w:r>
      <w:r>
        <w:rPr>
          <w:sz w:val="22"/>
        </w:rPr>
        <w:t>.</w:t>
      </w:r>
    </w:p>
    <w:p>
      <w:pPr>
        <w:pStyle w:val="TEIparagraphconsecutive"/>
      </w:pPr>
      <w:r>
        <w:t>Ce n’est plus le conseil d’un jésuite mondain à l’honnête homme, mais bien celui d’un vrai connaisseur du Parlement « aux Magistrats et aux hommes d’État », qui s’emploie à reproduire les vœux de son patron. En effet, l’idéal cicéronien d’un équilibre entre politesse et fermeté, tel que le prône Rapin, correspond aux leçons des discours prononcés par le premier président du Parlement de Paris pour exhorter les gens du palais à bien parler. De même que l’Académie Lamoignon, l’œuvre savante de Rapin apparaît comme la pierre angulaire d’une stratégie politique du prestige</w:t>
      </w:r>
      <w:r>
        <w:rPr>
          <w:rStyle w:val="Appelnotedebasdep"/>
        </w:rPr>
        <w:footnoteReference w:id="68"/>
      </w:r>
      <w:r>
        <w:t xml:space="preserve">. Si l’on se souvient que c’est à Lamoignon que Boileau devait l’idée de son </w:t>
      </w:r>
      <w:r>
        <w:rPr>
          <w:i/>
        </w:rPr>
        <w:t>Lutrin</w:t>
      </w:r>
      <w:r>
        <w:t xml:space="preserve">, et Racine celle de ses </w:t>
      </w:r>
      <w:r>
        <w:rPr>
          <w:i/>
        </w:rPr>
        <w:t>Plaideurs</w:t>
      </w:r>
      <w:r>
        <w:rPr>
          <w:rStyle w:val="Appelnotedebasdep"/>
        </w:rPr>
        <w:footnoteReference w:id="69"/>
      </w:r>
      <w:r>
        <w:t>, il est bon de voir un peu plus loin que l’anecdote biographique : ce cercle de familiers réuni autour du haut magistrat partage les mêmes préoccupations et s’intéresse en même temps à l’atticisme cicéronien et au sublime longinien.</w:t>
      </w:r>
    </w:p>
    <w:p>
      <w:pPr>
        <w:ind w:firstLine="283"/>
      </w:pPr>
      <w:r>
        <w:t xml:space="preserve">Dans les </w:t>
      </w:r>
      <w:r>
        <w:rPr>
          <w:i/>
        </w:rPr>
        <w:t>Réflexions sur la poétique d’Aristote et sur les ouvrages des poètes anciens et modernes</w:t>
      </w:r>
      <w:r>
        <w:t>, imprimées le 29 novembre 1673 pour devancer l’</w:t>
      </w:r>
      <w:r>
        <w:rPr>
          <w:i/>
        </w:rPr>
        <w:t>Art poétique</w:t>
      </w:r>
      <w:r>
        <w:t>, Rapin met en garde contre les risques du succès de l’opéra :</w:t>
      </w:r>
    </w:p>
    <w:p>
      <w:pPr>
        <w:pStyle w:val="TEIquote"/>
        <w:spacing w:line="240" w:lineRule="auto"/>
        <w:ind w:left="397"/>
        <w:jc w:val="both"/>
      </w:pPr>
      <w:r>
        <w:rPr>
          <w:sz w:val="22"/>
        </w:rPr>
        <w:t xml:space="preserve">Et nous avons parmi nous des génies heureux qui se sont déjà signalés sur le théâtre et qui promettent encore de s’y signaler davantage : mais la fantaisie des Opéras de Musique, dont le peuple et même la plupart des honnêtes gens se sont laissé entêter, sera peut-être capable dans la suite de décourager les esprits pour la Tragédie, si l’on ne pense </w:t>
      </w:r>
      <w:r>
        <w:rPr>
          <w:sz w:val="22"/>
        </w:rPr>
        <w:t>à les exciter par la gloire et par la récompense. C’est à ceux qui gouvernent à y penser. Car notre nation peut réussir à tout par la qualité de son génie</w:t>
      </w:r>
      <w:r>
        <w:rPr>
          <w:rStyle w:val="Appelnotedebasdep"/>
        </w:rPr>
        <w:footnoteReference w:id="70"/>
      </w:r>
      <w:r>
        <w:rPr>
          <w:sz w:val="22"/>
        </w:rPr>
        <w:t>.</w:t>
      </w:r>
    </w:p>
    <w:p>
      <w:pPr>
        <w:pStyle w:val="TEIparagraphconsecutive"/>
      </w:pPr>
      <w:r>
        <w:t xml:space="preserve">Le pluriel d’estompement donne tout loisir au lecteur de comprendre de façon extensive le syntagme </w:t>
      </w:r>
      <w:r>
        <w:rPr>
          <w:i/>
        </w:rPr>
        <w:t>génies heureux</w:t>
      </w:r>
      <w:r>
        <w:t xml:space="preserve"> ; les triomphes de la tragédie française doivent être pensés comme reproductibles, à condition que les nouveaux génies ne s’égarent pas en cédant à la mode de l’opéra</w:t>
      </w:r>
      <w:r>
        <w:rPr>
          <w:rStyle w:val="Appelnotedebasdep"/>
        </w:rPr>
        <w:footnoteReference w:id="71"/>
      </w:r>
      <w:r>
        <w:t xml:space="preserve">. </w:t>
      </w:r>
    </w:p>
    <w:p>
      <w:pPr>
        <w:ind w:firstLine="283"/>
      </w:pPr>
      <w:r>
        <w:t xml:space="preserve">En réponse, dans la </w:t>
      </w:r>
      <w:r>
        <w:rPr>
          <w:i/>
        </w:rPr>
        <w:t>Critique d’Alceste</w:t>
      </w:r>
      <w:r>
        <w:t>, dont le permis d’imprimer est délivré le 16 juillet 1674, Charles Perrault attaque Rapin sans le nommer. Que connaît-il au juste à la tragédie en musique ?</w:t>
      </w:r>
    </w:p>
    <w:p>
      <w:pPr>
        <w:pStyle w:val="TEIquote"/>
        <w:spacing w:line="240" w:lineRule="auto"/>
        <w:ind w:left="397"/>
        <w:jc w:val="both"/>
      </w:pPr>
      <w:r>
        <w:rPr>
          <w:smallCaps/>
          <w:sz w:val="22"/>
        </w:rPr>
        <w:t>Cléon</w:t>
      </w:r>
      <w:r>
        <w:rPr>
          <w:sz w:val="22"/>
        </w:rPr>
        <w:t>. – […] Au lieu de se demander à soi-même si la pièce est bonne, si elle divertit, si elle touche, si elle émeut, ce qu’il serait bien aise de savoir, on s’empresse de demander ce qu’en pensent les connaisseurs ; et l’on ne considère pas que bien souvent ces prétendus connaisseurs ne s’y connaissent guère,</w:t>
      </w:r>
      <w:r>
        <w:rPr>
          <w:b/>
          <w:sz w:val="22"/>
        </w:rPr>
        <w:t xml:space="preserve"> </w:t>
      </w:r>
      <w:r>
        <w:rPr>
          <w:sz w:val="22"/>
        </w:rPr>
        <w:t>ou qu’ils ont des raisons par devers eux d’en parler contre leur connaissance.</w:t>
      </w:r>
    </w:p>
    <w:p>
      <w:pPr>
        <w:pStyle w:val="TEIquote"/>
        <w:spacing w:line="240" w:lineRule="auto"/>
        <w:ind w:left="397"/>
        <w:jc w:val="both"/>
      </w:pPr>
      <w:r>
        <w:rPr>
          <w:smallCaps/>
          <w:sz w:val="22"/>
        </w:rPr>
        <w:t>Aristippe</w:t>
      </w:r>
      <w:r>
        <w:rPr>
          <w:sz w:val="22"/>
        </w:rPr>
        <w:t>. – J’ai pourtant ouï dire qu’il faut croire chacun dans son art, et qu’il y a du péril à juger des choses qu’on ne connaît pas</w:t>
      </w:r>
      <w:r>
        <w:rPr>
          <w:rStyle w:val="Appelnotedebasdep"/>
        </w:rPr>
        <w:footnoteReference w:id="72"/>
      </w:r>
      <w:r>
        <w:rPr>
          <w:sz w:val="22"/>
        </w:rPr>
        <w:t>.</w:t>
      </w:r>
    </w:p>
    <w:p>
      <w:pPr>
        <w:pStyle w:val="TEIparagraphconsecutive"/>
      </w:pPr>
      <w:r>
        <w:t xml:space="preserve">Une fois l’autorité ravalée au rang de la rumeur, l’avis de Quintilien est ironiquement retourné </w:t>
      </w:r>
      <w:r>
        <w:rPr>
          <w:i/>
        </w:rPr>
        <w:t>ad hominem</w:t>
      </w:r>
      <w:r>
        <w:t xml:space="preserve"> contre celui qui s’en est prévalu. Quand Racine utilise à son tour la citation dans une intention plus fortement polémique, il en fait d’autant mieux un signe de reconnaissance destiné aux </w:t>
      </w:r>
      <w:r>
        <w:rPr>
          <w:i/>
        </w:rPr>
        <w:t>happy few</w:t>
      </w:r>
      <w:r>
        <w:t xml:space="preserve"> qu’il lui confère un rôle similaire de clausule, quoique non identique. Chez Rapin, en effet, elle permettait d’afficher la modestie de l’auteur appelé à juger de Démosthène et de Cicéron, tout en servant de transition entre l’avertissement et le parallèle ; l’autorité convoquée pour désamorcer elle-même l’argument d’autorité par son appel au bon sens servait à gagner la bienveillance du lecteur</w:t>
      </w:r>
      <w:r>
        <w:rPr>
          <w:rStyle w:val="Appelnotedebasdep"/>
        </w:rPr>
        <w:footnoteReference w:id="73"/>
      </w:r>
      <w:r>
        <w:t xml:space="preserve">. En revanche, l’écart entre la préface et le texte de théâtre est accentué par leur hétérogénéité générique et énonciative, ce qui accroît encore l’effet rhétorique de la citation à cette place ; elle devient le point d’aboutissement nécessaire de l’argumentation qui consiste à démontrer que Perrault ne connaît pas Euripide. Avec Racine, la polémique enfle : la citation est recontextualisée de telle sorte que le syntagme « ces grands </w:t>
      </w:r>
      <w:r>
        <w:t>hommes (</w:t>
      </w:r>
      <w:r>
        <w:rPr>
          <w:i/>
        </w:rPr>
        <w:t>de tantis viris</w:t>
      </w:r>
      <w:r>
        <w:t>) » anaphorise désormais tous les « Anciens », et non plus seulement les grands orateurs. Mais Racine ne se contente pas de prêter main-forte à Rapin, il défend plus largement la cause commune de l’Académie Lamoignon.</w:t>
      </w:r>
    </w:p>
    <w:p>
      <w:pPr>
        <w:ind w:firstLine="283"/>
      </w:pPr>
      <w:r>
        <w:t>Par la suite, le double rôle polémique et symbolique de la citation s’est renforcé. On la retrouve encore deux fois chez les frères Perrault. Dans sa lettre à Charpentier sur la préface d’</w:t>
      </w:r>
      <w:r>
        <w:rPr>
          <w:i/>
        </w:rPr>
        <w:t>Iphigénie</w:t>
      </w:r>
      <w:r>
        <w:t xml:space="preserve">, Charles Perrault répond à la préface de Racine et choisit d’opposer Cicéron à Quintilien : </w:t>
      </w:r>
    </w:p>
    <w:p>
      <w:pPr>
        <w:pStyle w:val="TEIquote"/>
        <w:spacing w:line="240" w:lineRule="auto"/>
        <w:ind w:left="397"/>
        <w:jc w:val="both"/>
      </w:pPr>
      <w:r>
        <w:rPr>
          <w:sz w:val="22"/>
        </w:rPr>
        <w:t>« Mon sentiment a toujours été que nous sommes plus sages dans les choses que nous inventons de nous-mêmes que n’ont été les Grecs ; et qu’à l’égard de celles que nous avons prises d’eux, nous les avons rendues meilleures qu’elles n’étaient lorsque nous les avons jugées dignes d’être le sujet de notre travail</w:t>
      </w:r>
      <w:r>
        <w:rPr>
          <w:rStyle w:val="Appelnotedebasdep"/>
        </w:rPr>
        <w:footnoteReference w:id="74"/>
      </w:r>
      <w:r>
        <w:rPr>
          <w:sz w:val="22"/>
        </w:rPr>
        <w:t xml:space="preserve"> ».</w:t>
      </w:r>
    </w:p>
    <w:p>
      <w:pPr>
        <w:pStyle w:val="TEIparagraphconsecutive"/>
      </w:pPr>
      <w:r>
        <w:t xml:space="preserve">Puis, dans une critique non publiée des deux </w:t>
      </w:r>
      <w:r>
        <w:rPr>
          <w:i/>
        </w:rPr>
        <w:t>Iphigénie</w:t>
      </w:r>
      <w:r>
        <w:t xml:space="preserve"> d’Euripide et de Racine, Pierre Perrault s’en prend à Quintilien lui-même : </w:t>
      </w:r>
    </w:p>
    <w:p>
      <w:pPr>
        <w:pStyle w:val="TEIquote"/>
        <w:spacing w:line="240" w:lineRule="auto"/>
        <w:ind w:left="397"/>
        <w:jc w:val="both"/>
      </w:pPr>
      <w:r>
        <w:rPr>
          <w:sz w:val="22"/>
        </w:rPr>
        <w:t xml:space="preserve">Mais je dis que puisqu’il recommande la circonspection et la retenue dans le jugement qu’on veut faire des ouvrages de ces grands hommes (il les appelle ainsi) de peur d’y condamner ce qu’on n’entend pas, je remarque deux choses : l’une qu’il y avait de son temps des gens qui les condamnaient, et ainsi je ne suis ni le premier ni le seul qui y trouve à redire ; l’autre qu’il y avait donc des choses qu’on n’entendait pas, et c’était la </w:t>
      </w:r>
      <w:r>
        <w:rPr>
          <w:sz w:val="22"/>
        </w:rPr>
        <w:t xml:space="preserve">faute </w:t>
      </w:r>
      <w:r>
        <w:rPr>
          <w:sz w:val="22"/>
        </w:rPr>
        <w:t>de ces auteurs qui écrivaient obscurément</w:t>
      </w:r>
      <w:r>
        <w:rPr>
          <w:rStyle w:val="Appelnotedebasdep"/>
        </w:rPr>
        <w:footnoteReference w:id="75"/>
      </w:r>
      <w:r>
        <w:rPr>
          <w:sz w:val="22"/>
        </w:rPr>
        <w:t>.</w:t>
      </w:r>
    </w:p>
    <w:p>
      <w:pPr>
        <w:pStyle w:val="TEIparagraphconsecutive"/>
      </w:pPr>
      <w:r>
        <w:t xml:space="preserve">En 1687, Longepierre fait de la citation l’épigraphe de son </w:t>
      </w:r>
      <w:r>
        <w:rPr>
          <w:i/>
        </w:rPr>
        <w:t>Discours sur les Anciens</w:t>
      </w:r>
      <w:r>
        <w:t>, de sorte qu’elle devient l’étendard du parti des Anciens</w:t>
      </w:r>
      <w:r>
        <w:rPr>
          <w:rStyle w:val="Appelnotedebasdep"/>
        </w:rPr>
        <w:footnoteReference w:id="76"/>
      </w:r>
      <w:r>
        <w:t xml:space="preserve">. Et toujours contre Perrault, ce propos « qu’on a allégué autrefois si à propos à un de ses frères sur un pareil sujet » est repris en 1701 par Boileau dans la conclusion de ses </w:t>
      </w:r>
      <w:r>
        <w:rPr>
          <w:i/>
        </w:rPr>
        <w:t>Réflexions critiques sur quelques passages du rhéteur Longin</w:t>
      </w:r>
      <w:r>
        <w:rPr>
          <w:rStyle w:val="Appelnotedebasdep"/>
        </w:rPr>
        <w:footnoteReference w:id="77"/>
      </w:r>
      <w:r>
        <w:rPr>
          <w:i/>
        </w:rPr>
        <w:t xml:space="preserve"> </w:t>
      </w:r>
      <w:r>
        <w:t xml:space="preserve">: </w:t>
      </w:r>
    </w:p>
    <w:p>
      <w:pPr>
        <w:pStyle w:val="TEIquote"/>
        <w:spacing w:line="240" w:lineRule="auto"/>
        <w:ind w:left="397"/>
        <w:jc w:val="both"/>
      </w:pPr>
      <w:r>
        <w:rPr>
          <w:sz w:val="22"/>
        </w:rPr>
        <w:t xml:space="preserve">Monsieur P. me répondra peut-être ce qu’il m’a déjà répondu : Qu’il a gardé cette modestie, et qu’il n’est point vrai qu’il ait parlé de ces grands hommes avec le mépris que je lui reproche ; mais il n’avance si hardiment cette fausseté, que parce qu’il suppose, et avec raison, que personne ne lit ses </w:t>
      </w:r>
      <w:r>
        <w:rPr>
          <w:i/>
          <w:sz w:val="22"/>
        </w:rPr>
        <w:t>Dialogues</w:t>
      </w:r>
      <w:r>
        <w:rPr>
          <w:sz w:val="22"/>
        </w:rPr>
        <w:t>. Car de quel front pourrait-il la soutenir à des gens qui auraient seulement lu ce qu’il y dit d’Homère</w:t>
      </w:r>
      <w:r>
        <w:rPr>
          <w:rStyle w:val="Appelnotedebasdep"/>
        </w:rPr>
        <w:footnoteReference w:id="78"/>
      </w:r>
      <w:r>
        <w:rPr>
          <w:sz w:val="22"/>
        </w:rPr>
        <w:t xml:space="preserve"> ?</w:t>
      </w:r>
    </w:p>
    <w:p>
      <w:pPr>
        <w:pStyle w:val="TEIparagraphconsecutive"/>
      </w:pPr>
      <w:r>
        <w:t>En plus de sa valeur rhétorique et culturelle, la citation avait gagné une force symbolique. Elle devenait emblématique de la querelle des Anciens et des Modernes. Toute la préface d’</w:t>
      </w:r>
      <w:r>
        <w:rPr>
          <w:i/>
        </w:rPr>
        <w:t>Iphigénie</w:t>
      </w:r>
      <w:r>
        <w:t xml:space="preserve"> avait auparavant mis la culture humaniste en ordre de bataille. En reprochant </w:t>
      </w:r>
      <w:r>
        <w:t>à Perrault de lire Euripide dans une mauvaise édition, Racine démontrait qu’il était lui-même un poète érudit.</w:t>
      </w:r>
    </w:p>
    <w:p>
      <w:pPr>
        <w:pStyle w:val="Titre2"/>
      </w:pPr>
      <w:r>
        <w:rPr>
          <w:sz w:val="28"/>
        </w:rPr>
        <w:t>La</w:t>
      </w:r>
      <w:r>
        <w:rPr>
          <w:sz w:val="28"/>
        </w:rPr>
        <w:t xml:space="preserve"> seconde chambre sublime</w:t>
      </w:r>
    </w:p>
    <w:p>
      <w:pPr>
        <w:ind w:firstLine="283"/>
      </w:pPr>
      <w:r>
        <w:t xml:space="preserve">On connaît sous le nom de « chambre sublime » le décor miniature que Mme de </w:t>
      </w:r>
      <w:r>
        <w:t xml:space="preserve">Thianges </w:t>
      </w:r>
      <w:r>
        <w:t>avait offert au duc du Maine pour ses étrennes le 1</w:t>
      </w:r>
      <w:r>
        <w:rPr>
          <w:vertAlign w:val="superscript"/>
        </w:rPr>
        <w:t>e</w:t>
      </w:r>
      <w:r>
        <w:t xml:space="preserve"> janvier 1675, un mois avant la parution d’</w:t>
      </w:r>
      <w:r>
        <w:rPr>
          <w:i/>
        </w:rPr>
        <w:t>Iphigénie</w:t>
      </w:r>
      <w:r>
        <w:t xml:space="preserve"> : des figurines de cire y représentaient le jeune fils du roi en compagnie de Bossuet, Mme de La Fayette, La Rochefoucauld, Boileau, Racine, La Fontaine, Mme Scarron</w:t>
      </w:r>
      <w:r>
        <w:rPr>
          <w:rStyle w:val="Appelnotedebasdep"/>
        </w:rPr>
        <w:footnoteReference w:id="79"/>
      </w:r>
      <w:r>
        <w:t>. Pour Georges Forestier, cette habile mise en scène était une manière de ranger les deux poètes « du côté de la grande poésie et de la grande tragédie contre la petite poésie galante et contre les opéras de Quinault</w:t>
      </w:r>
      <w:r>
        <w:rPr>
          <w:rStyle w:val="Appelnotedebasdep"/>
        </w:rPr>
        <w:footnoteReference w:id="80"/>
      </w:r>
      <w:r>
        <w:t xml:space="preserve"> ». Dans le même esprit, et de manière concomitante, les références de la préface constituent comme une seconde chambre du sublime où, en lieu et place de ces effigies dont l’une figurait Boileau armé d’une fourche et interdisant à « sept ou huit mauvais poètes d’approcher</w:t>
      </w:r>
      <w:r>
        <w:rPr>
          <w:rStyle w:val="Appelnotedebasdep"/>
        </w:rPr>
        <w:footnoteReference w:id="81"/>
      </w:r>
      <w:r>
        <w:t xml:space="preserve"> », c’est une préface toute hérissée des grands noms de l’</w:t>
      </w:r>
      <w:r>
        <w:t>A</w:t>
      </w:r>
      <w:r>
        <w:t>ntiquité et de références humanistes qui sert à repousser les prétentions des faiseurs d’opéra et leurs préventions contre l’</w:t>
      </w:r>
      <w:r>
        <w:t>A</w:t>
      </w:r>
      <w:r>
        <w:t>ntiquité. Racine s’emploie à disqualifier Perrault et à le faire passer, selon les mots de Marc Fumaroli, pour un « journaliste littéraire</w:t>
      </w:r>
      <w:r>
        <w:rPr>
          <w:rStyle w:val="Appelnotedebasdep"/>
        </w:rPr>
        <w:footnoteReference w:id="82"/>
      </w:r>
      <w:r>
        <w:t xml:space="preserve"> ». En l’absence d’épître dédicatoire, cette audace arrogante trahit la conviction d’avoir pour lui de puissants soutiens et la faveur du public : avec la coterie de Mme de </w:t>
      </w:r>
      <w:r>
        <w:t>Thianges</w:t>
      </w:r>
      <w:r>
        <w:t xml:space="preserve">, sœur de la marquise de Montespan, il se rapprochait notamment de La Rochefoucauld et de son fils Marcillac, favori de Louis XIV ; avec Lamoignon et son Académie, il ralliait les suffrages des érudits mondains et de certains membres de la haute robe. </w:t>
      </w:r>
    </w:p>
    <w:p>
      <w:pPr>
        <w:ind w:firstLine="283"/>
      </w:pPr>
      <w:r>
        <w:t>La préface comporte deux parties bien distinctes. Racine passe d’abord en revue les anciens poètes connus pour avoir évoqué Iphigénie, puis il en vient à la critique du jugement de l’</w:t>
      </w:r>
      <w:r>
        <w:rPr>
          <w:i/>
        </w:rPr>
        <w:t>Alceste</w:t>
      </w:r>
      <w:r>
        <w:t xml:space="preserve"> d’Euripide par « ces Messieurs » qui ne savent donc pas lire et ont jugé sans modestie. Ce faisant, il donne toutes les preuves de son niveau d’expertise, ce qui permet de légitimer l’imitation d’Euripide et de confirmer l’</w:t>
      </w:r>
      <w:r>
        <w:rPr>
          <w:i/>
        </w:rPr>
        <w:t>ethos</w:t>
      </w:r>
      <w:r>
        <w:t xml:space="preserve"> du poète sublime qu’il entend être. « Le goût de Paris s’est trouvé conforme à celui d’Athènes », affirme-t-il entre ces deux parties : ce qui réussissait jadis réussit encore, et cette </w:t>
      </w:r>
      <w:r>
        <w:rPr>
          <w:i/>
        </w:rPr>
        <w:t>universalité</w:t>
      </w:r>
      <w:r>
        <w:t xml:space="preserve"> du bon goût valide les modèles anciens. Or la liste des noms égrenés par la préface est remarquable : ce sont, par ordre de mention, Eschyle, Sophocle, Lucrèce, Horace, Euripide, Ovide, Stésichore (« l’un des plus fameux et des plus anciens Poètes lyriques » </w:t>
      </w:r>
      <w:r>
        <w:t>écrit Racine, qui connaît sans doute la référence par l’intermédiaire de Pausanias</w:t>
      </w:r>
      <w:r>
        <w:rPr>
          <w:rStyle w:val="Appelnotedebasdep"/>
        </w:rPr>
        <w:footnoteReference w:id="83"/>
      </w:r>
      <w:r>
        <w:t>), Pausanias, Homère, Euphorion de Chalcis (« Poète très connu parmi les Anciens », écrit Racine, vanté par Virgile et Quintilien), Parthénios de Nicée (sous l’orthographe romanisée « Parthenius »), mais aussi Virgile, Quintilien, avec une première référence au livre X, soit sept auteurs grecs, cinq latins. Les grands genres sont tous représentés avec les poètes lyriques (Stésichore), épiques (Homère et Virgile), tragiques (les trois grecs). S’y ajoutent, pour la mythographie, Ovide et Parthénios, mais aussi le géographe Pausanias,</w:t>
      </w:r>
      <w:r>
        <w:t xml:space="preserve"> </w:t>
      </w:r>
      <w:r>
        <w:t xml:space="preserve">et l’emprunt d’un mot à la </w:t>
      </w:r>
      <w:r>
        <w:rPr>
          <w:i/>
        </w:rPr>
        <w:t>Poétique</w:t>
      </w:r>
      <w:r>
        <w:t xml:space="preserve"> d’Aristote </w:t>
      </w:r>
      <w:r>
        <w:t>(</w:t>
      </w:r>
      <w:r>
        <w:t>tragik</w:t>
      </w:r>
      <w:r>
        <w:t>ώ</w:t>
      </w:r>
      <w:r>
        <w:t>tatoj</w:t>
      </w:r>
      <w:r>
        <w:t>, XIII, 53). À l’image du jouet offert au duc du Maine, la préface rassemble les grands poètes anciens, et l’on peut y voir ces « Modernes », si injustes envers l’</w:t>
      </w:r>
      <w:r>
        <w:rPr>
          <w:i/>
        </w:rPr>
        <w:t>Alceste</w:t>
      </w:r>
      <w:r>
        <w:t xml:space="preserve"> d’Euripide, comme repoussés à la fourche. Racine prend soin de rappeler que Virgile et Quintilien ont fait l’éloge d’Euphorion de Chalcis, poète du III</w:t>
      </w:r>
      <w:r>
        <w:rPr>
          <w:vertAlign w:val="superscript"/>
        </w:rPr>
        <w:t>e</w:t>
      </w:r>
      <w:r>
        <w:t xml:space="preserve"> siècle avant notre ère, parce qu’il lui permet de justifier le personnage d’Ériphile et le sac de Lesbos, évoqué à plusieurs reprises pour articuler la fable de la tragédie à la </w:t>
      </w:r>
      <w:r>
        <w:t>fa</w:t>
      </w:r>
      <w:r>
        <w:t>ble homérique et accroître ainsi la dignité de la pièce</w:t>
      </w:r>
      <w:r>
        <w:rPr>
          <w:rStyle w:val="Appelnotedebasdep"/>
        </w:rPr>
        <w:footnoteReference w:id="84"/>
      </w:r>
      <w:r>
        <w:t>.</w:t>
      </w:r>
    </w:p>
    <w:p>
      <w:pPr>
        <w:ind w:firstLine="283"/>
      </w:pPr>
      <w:r>
        <w:t>Au moment de composer sa préface, Racine a dû poser sur sa table de travail de nombreux livres de sa bibliothèque, dont certains sont aujourd’hui perdus</w:t>
      </w:r>
      <w:r>
        <w:rPr>
          <w:rStyle w:val="Appelnotedebasdep"/>
        </w:rPr>
        <w:footnoteReference w:id="85"/>
      </w:r>
      <w:r>
        <w:t>. Le sacrifice d’Iphigénie est évoqué par Eschyle, Sophocle, Lucrèce, Horace, mais seuls trois exemplaires de Sophocle sont conservés. Or chacun d’eux comporte des marques de lecture au même endroit, la tirade d’</w:t>
      </w:r>
      <w:r>
        <w:rPr>
          <w:i/>
        </w:rPr>
        <w:t>Électre</w:t>
      </w:r>
      <w:r>
        <w:t xml:space="preserve"> où Clytemnestre rappelle le sacrifice de sa fille. Si les annotations les plus intéressantes ont été reproduites par Raymond Picard d’après Roy C. Knight, il paraît opportun d’y revenir ici, parce qu’elles concernent la réception de l’antiquité et la conception de l’imitation</w:t>
      </w:r>
      <w:r>
        <w:rPr>
          <w:rStyle w:val="Appelnotedebasdep"/>
        </w:rPr>
        <w:footnoteReference w:id="86"/>
      </w:r>
      <w:r>
        <w:t>.</w:t>
      </w:r>
    </w:p>
    <w:p>
      <w:pPr>
        <w:ind w:firstLine="283"/>
      </w:pPr>
      <w:r>
        <w:t>L’exemplaire de Sophocle conservé à Bruxelles est une édition Henri Estienne de 1568, avec les commentaires de Joachim Camerarius</w:t>
      </w:r>
      <w:r>
        <w:rPr>
          <w:rStyle w:val="Appelnotedebasdep"/>
        </w:rPr>
        <w:footnoteReference w:id="87"/>
      </w:r>
      <w:r>
        <w:t>. Il témoigne d’une lecture sélective mais attentive de la part de Racine, qui commence par le texte grec d’</w:t>
      </w:r>
      <w:r>
        <w:rPr>
          <w:i/>
        </w:rPr>
        <w:t xml:space="preserve">Électre </w:t>
      </w:r>
      <w:r>
        <w:t>et les notes de bas de page en grec avant de consulter la traduction latine des commentaires, dans la deuxième partie du volume. Une note en marge du latin le prouve : « Cela est dans le Comment. Grec</w:t>
      </w:r>
      <w:r>
        <w:rPr>
          <w:rStyle w:val="Appelnotedebasdep"/>
        </w:rPr>
        <w:footnoteReference w:id="88"/>
      </w:r>
      <w:r>
        <w:t xml:space="preserve"> ».</w:t>
      </w:r>
    </w:p>
    <w:p>
      <w:pPr>
        <w:ind w:firstLine="283"/>
      </w:pPr>
      <w:r>
        <w:t xml:space="preserve">Racine s’intéresse en philologue aux vents qui retiennent la flotte en Aulis. Il corrige ainsi la traduction latine fautive, « </w:t>
      </w:r>
      <w:r>
        <w:rPr>
          <w:i/>
        </w:rPr>
        <w:t>vim ventorum in Aulide concitauerit</w:t>
      </w:r>
      <w:r>
        <w:t xml:space="preserve"> » : « C’est tout le contraire, </w:t>
      </w:r>
      <w:r>
        <w:t>πνε</w:t>
      </w:r>
      <w:r>
        <w:t>ύ</w:t>
      </w:r>
      <w:r>
        <w:t>ματ</w:t>
      </w:r>
      <w:r>
        <w:t>᾽</w:t>
      </w:r>
      <w:r>
        <w:t xml:space="preserve"> </w:t>
      </w:r>
      <w:r>
        <w:t>ἔ</w:t>
      </w:r>
      <w:r>
        <w:t>σχ</w:t>
      </w:r>
      <w:r>
        <w:t>᾽. i. ventos retinuit</w:t>
      </w:r>
      <w:r>
        <w:rPr>
          <w:rStyle w:val="Appelnotedebasdep"/>
        </w:rPr>
        <w:footnoteReference w:id="89"/>
      </w:r>
      <w:r>
        <w:t xml:space="preserve"> ». Même si l’ordre est incertain, c’est peut-être à ce moment qu’il ajoute en marge du texte grec une traduction d’un vers de Sophocle, « Diane avait retenu les vents en Aulide ». Quoi qu’il en soit, dans </w:t>
      </w:r>
      <w:r>
        <w:rPr>
          <w:i/>
        </w:rPr>
        <w:t>Iphigénie</w:t>
      </w:r>
      <w:r>
        <w:t xml:space="preserve"> les mentions de Diane ne sont pas liées aux vents mais au sacrifice, et le verbe </w:t>
      </w:r>
      <w:r>
        <w:rPr>
          <w:i/>
        </w:rPr>
        <w:t>retenir</w:t>
      </w:r>
      <w:r>
        <w:t xml:space="preserve"> est utilisé à huit reprises : « des nœuds plus puissants me retiennent le bras », déclare par exemple Agamemnon</w:t>
      </w:r>
      <w:r>
        <w:rPr>
          <w:rStyle w:val="Appelnotedebasdep"/>
        </w:rPr>
        <w:footnoteReference w:id="90"/>
      </w:r>
      <w:r>
        <w:t>. Inversement, les vents sont souvent personnifiés et liés à des verbes négatifs. Il s’agit davantage de retenir l’action des hommes. Les annotations relevées et analysées par Susanna Phillippo dans les exemplaires d’Euripide confirment que Racine n’a imité d’Euripide que les passions des personnages</w:t>
      </w:r>
      <w:r>
        <w:rPr>
          <w:rStyle w:val="Appelnotedebasdep"/>
        </w:rPr>
        <w:footnoteReference w:id="91"/>
      </w:r>
      <w:r>
        <w:t>.</w:t>
      </w:r>
    </w:p>
    <w:p>
      <w:pPr>
        <w:ind w:firstLine="283"/>
      </w:pPr>
      <w:r>
        <w:t xml:space="preserve"> Au bas d’une page très annotée comme il y en a peu dans l’exemplaire, une scolie est soulignée et traduite en partie par Racine. Dans le corps du texte, les vers 530-533 et 539-541 ont été soulignés, ainsi que deux mots du vers 535, « ἔ</w:t>
      </w:r>
      <w:r>
        <w:t>θυσεν</w:t>
      </w:r>
      <w:r>
        <w:t xml:space="preserve"> </w:t>
      </w:r>
      <w:r>
        <w:t>α</w:t>
      </w:r>
      <w:r>
        <w:t>ὐ</w:t>
      </w:r>
      <w:r>
        <w:t>τ</w:t>
      </w:r>
      <w:r>
        <w:t>ή</w:t>
      </w:r>
      <w:r>
        <w:t>ν</w:t>
      </w:r>
      <w:r>
        <w:t xml:space="preserve"> »</w:t>
      </w:r>
      <w:r>
        <w:rPr>
          <w:rStyle w:val="Appelnotedebasdep"/>
        </w:rPr>
        <w:footnoteReference w:id="92"/>
      </w:r>
      <w:r>
        <w:t xml:space="preserve"> (« il l’a sacrifiée »). Clytemnestre rappelle que Ménélas et Hélène, les seuls responsables de la guerre, avaient deux enfants dont l’un aurait pu prendre la place d’Iphigénie. Camerarius précise que Sophocle a pu se fonder sur un fragment d’Hésiode, qui prête à Hélène deux enfants, Hermione et Nicostrate</w:t>
      </w:r>
      <w:r>
        <w:rPr>
          <w:rStyle w:val="Appelnotedebasdep"/>
        </w:rPr>
        <w:footnoteReference w:id="93"/>
      </w:r>
      <w:r>
        <w:t xml:space="preserve">. Cette scolie a été traduite par Knight en 1949, mais il paraît opportun de la donner ici dans une traduction </w:t>
      </w:r>
      <w:r>
        <w:rPr>
          <w:i/>
        </w:rPr>
        <w:t>ad hoc</w:t>
      </w:r>
      <w:r>
        <w:t>, amicalement procurée par Gilles Duhil :</w:t>
      </w: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AF28DB" w14:paraId="47329069" w14:textId="77777777">
        <w:tc>
          <w:tcPr>
            <w:tcW w:w="4531" w:type="dxa"/>
          </w:tcPr>
          <w:p w14:paraId="7FD6596B" w14:textId="77777777" w:rsidR="00AF28D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Scolie du vers 539</w:t>
            </w:r>
          </w:p>
        </w:tc>
        <w:tc>
          <w:tcPr>
            <w:tcW w:w="4531" w:type="dxa"/>
          </w:tcPr>
          <w:p w14:paraId="5D314BB7" w14:textId="77777777" w:rsidR="00AF28D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Traduction moderne</w:t>
            </w:r>
          </w:p>
        </w:tc>
      </w:tr>
      <w:tr w:rsidR="00AF28DB" w14:paraId="6C76871F" w14:textId="77777777">
        <w:tc>
          <w:tcPr>
            <w:tcW w:w="4531" w:type="dxa"/>
          </w:tcPr>
          <w:p w14:paraId="79DAD951" w14:textId="77777777" w:rsidR="00AF28DB"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Οὐ περὶ μεγάλων δὲ αἱ τοιαῦται διαφωνίαι τοῖς ποιήμασι, ὥστε </w:t>
            </w:r>
            <w:r>
              <w:rPr>
                <w:rFonts w:ascii="Times New Roman" w:eastAsia="Times New Roman" w:hAnsi="Times New Roman" w:cs="Times New Roman"/>
                <w:u w:val="single"/>
              </w:rPr>
              <w:t>οὐ πάνυ δεῖ αὐτοῖς ἐπὶ τῶν τοιούτων</w:t>
            </w:r>
            <w:r>
              <w:rPr>
                <w:rFonts w:ascii="Times New Roman" w:eastAsia="Times New Roman" w:hAnsi="Times New Roman" w:cs="Times New Roman"/>
              </w:rPr>
              <w:t xml:space="preserve"> ἐνοχλεῖν, ἀφεμένοις </w:t>
            </w:r>
            <w:r>
              <w:rPr>
                <w:rFonts w:ascii="Times New Roman" w:eastAsia="Times New Roman" w:hAnsi="Times New Roman" w:cs="Times New Roman"/>
                <w:u w:val="single"/>
              </w:rPr>
              <w:t>τῶν ἀναγκαιοτέρων, ἅπερ παρατηρεῖν ἐχρην. Ταῦτα δέ ἐστι τὰ</w:t>
            </w:r>
            <w:r>
              <w:rPr>
                <w:rFonts w:ascii="Times New Roman" w:eastAsia="Times New Roman" w:hAnsi="Times New Roman" w:cs="Times New Roman"/>
              </w:rPr>
              <w:t xml:space="preserve"> ἠθικὰ καὶ χρήσιμα ἡμῖν τοῖς </w:t>
            </w:r>
            <w:r>
              <w:rPr>
                <w:rFonts w:ascii="Times New Roman" w:eastAsia="Times New Roman" w:hAnsi="Times New Roman" w:cs="Times New Roman"/>
                <w:u w:val="single"/>
              </w:rPr>
              <w:t>ἐντυγχάνοισιν. Ὅρα οὖν πῶς ἐκείνῳ τῷ μέρει τῆς ἱστορίας κατεχρήσατο, ὅτι συνέφερεν τῷ</w:t>
            </w:r>
            <w:r>
              <w:rPr>
                <w:rFonts w:ascii="Times New Roman" w:eastAsia="Times New Roman" w:hAnsi="Times New Roman" w:cs="Times New Roman"/>
              </w:rPr>
              <w:t xml:space="preserve"> </w:t>
            </w:r>
            <w:r>
              <w:rPr>
                <w:rFonts w:ascii="Times New Roman" w:eastAsia="Times New Roman" w:hAnsi="Times New Roman" w:cs="Times New Roman"/>
                <w:u w:val="single"/>
              </w:rPr>
              <w:t>λόγῳ τῆς Κλυταιμήστρας</w:t>
            </w:r>
            <w:r>
              <w:rPr>
                <w:rFonts w:ascii="Times New Roman" w:eastAsia="Times New Roman" w:hAnsi="Times New Roman" w:cs="Times New Roman"/>
              </w:rPr>
              <w:t xml:space="preserve">. </w:t>
            </w:r>
          </w:p>
          <w:p w14:paraId="5BCFFC13" w14:textId="77777777" w:rsidR="00AF28DB" w:rsidRDefault="00AF28DB">
            <w:pPr>
              <w:shd w:val="clear" w:color="auto" w:fill="FFFFFF"/>
              <w:jc w:val="both"/>
              <w:rPr>
                <w:rFonts w:ascii="Times New Roman" w:eastAsia="Times New Roman" w:hAnsi="Times New Roman" w:cs="Times New Roman"/>
              </w:rPr>
            </w:pPr>
          </w:p>
        </w:tc>
        <w:tc>
          <w:tcPr>
            <w:tcW w:w="4531" w:type="dxa"/>
          </w:tcPr>
          <w:p w14:paraId="55064449" w14:textId="77777777" w:rsidR="00AF28DB"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Et de telles différences n’ont pas grande importance dans les poèmes, de sorte que </w:t>
            </w:r>
            <w:r>
              <w:rPr>
                <w:rFonts w:ascii="Times New Roman" w:eastAsia="Times New Roman" w:hAnsi="Times New Roman" w:cs="Times New Roman"/>
                <w:u w:val="single"/>
              </w:rPr>
              <w:t>[les poètes] ne doivent pas s’encombrer de telles choses au détriment des questions plus importantes qui requièrent toute leur attention. Et ce sont là des questions de caractère et des choses qui nous sont utiles, à nous lecteurs. Voyez donc comment [Sophocle] a utilisé cette partie de l’histoire qui était avantageuse à l’argumentation de Clytemnestre</w:t>
            </w:r>
            <w:r>
              <w:rPr>
                <w:rFonts w:ascii="Times New Roman" w:eastAsia="Times New Roman" w:hAnsi="Times New Roman" w:cs="Times New Roman"/>
              </w:rPr>
              <w:t>. »</w:t>
            </w:r>
          </w:p>
        </w:tc>
      </w:tr>
    </w:tbl>
    <w:p>
      <w:pPr>
        <w:ind w:firstLine="283"/>
      </w:pPr>
      <w:r>
        <w:t xml:space="preserve">Racine résume en marge la scolie signalée par une accolade : « Différences qui sont dans les poètes pour la Fable ». Puis il ajoute une astérisque pour renvoyer à son propre commentaire en bas de page : « Il ne faut point y regarder de si près, mais bien plutôt au bel usage qu’ils font de la fable, et aux excellents préceptes qu’on en peut tirer ». Knight </w:t>
      </w:r>
      <w:r>
        <w:t>avait ainsi identifié la scolie traduite en clausule de la seconde préface d’</w:t>
      </w:r>
      <w:r>
        <w:rPr>
          <w:i/>
        </w:rPr>
        <w:t>Andromaque</w:t>
      </w:r>
      <w:r>
        <w:t>, publiée en 1675 :</w:t>
      </w:r>
    </w:p>
    <w:p>
      <w:pPr>
        <w:pStyle w:val="TEIquote"/>
        <w:spacing w:line="240" w:lineRule="auto"/>
        <w:ind w:left="397"/>
        <w:jc w:val="both"/>
      </w:pPr>
      <w:r>
        <w:rPr>
          <w:i/>
          <w:sz w:val="22"/>
        </w:rPr>
        <w:t>Qu’il ne faut point s’amuser à chicaner les Poètes pour quelques changements qu’ils ont pu faire dans la Fable, mais qu’il faut s’attacher à considérer l’excellent usage qu’ils ont fait de ces changements, et la manière ingénieuse dont ils ont su accommoder la Fable à leur sujet</w:t>
      </w:r>
      <w:r>
        <w:rPr>
          <w:rStyle w:val="Appelnotedebasdep"/>
        </w:rPr>
        <w:footnoteReference w:id="94"/>
      </w:r>
      <w:r>
        <w:rPr>
          <w:sz w:val="22"/>
        </w:rPr>
        <w:t>.</w:t>
      </w:r>
    </w:p>
    <w:p>
      <w:pPr>
        <w:pStyle w:val="TEIparagraphconsecutive"/>
      </w:pPr>
      <w:r>
        <w:t xml:space="preserve">À la faveur de la polémique, le conseil aux poètes, chez Camerarius, devient avec Racine défense d’importuner les poètes pour si peu, et moyen de justifier les choix déjà opérés pour </w:t>
      </w:r>
      <w:r>
        <w:rPr>
          <w:i/>
        </w:rPr>
        <w:t>Iphigénie</w:t>
      </w:r>
      <w:r>
        <w:t>. Le propos de Quintilien va dans le même sens.</w:t>
      </w:r>
    </w:p>
    <w:p>
      <w:pPr>
        <w:pStyle w:val="Titre2"/>
      </w:pPr>
      <w:r>
        <w:rPr>
          <w:sz w:val="28"/>
        </w:rPr>
        <w:t>Su</w:t>
      </w:r>
      <w:r>
        <w:rPr>
          <w:sz w:val="28"/>
        </w:rPr>
        <w:t>r une relecture de Quintilien</w:t>
      </w:r>
    </w:p>
    <w:p>
      <w:pPr>
        <w:ind w:firstLine="283"/>
      </w:pPr>
      <w:r>
        <w:t>Les deux références à l’</w:t>
      </w:r>
      <w:r>
        <w:rPr>
          <w:i/>
        </w:rPr>
        <w:t>Institution oratoire</w:t>
      </w:r>
      <w:r>
        <w:t xml:space="preserve"> dans la préface sont empruntées au livre X, ce qui suggère une relecture dont nous pouvons rechercher les traces sur son exemplaire de l’édition Estienne 1542, un très beau volume in-quarto qu’il a reçu d’Arnauld d’Andilly, sans doute peu après son travail de copie des extraits</w:t>
      </w:r>
      <w:r>
        <w:rPr>
          <w:rStyle w:val="Appelnotedebasdep"/>
        </w:rPr>
        <w:footnoteReference w:id="95"/>
      </w:r>
      <w:r>
        <w:t>. En effet, parmi les annotations dues à plusieurs mains, dont certaines sont allographes, on reconnaît dans les marges la graphie scolaire de Racine, angulaire, à l’encre sombre et toujours en latin. D’autres annotations y sont portées, en latin ou en français, à l’encre marron, et dans la graphie adulte de Racine, au trait élégant et souple. D’autres encore, moins soignées, se rattachent indéniablement à cette graphie mais sont écrites tantôt à la mine de plomb, tantôt au crayon rouge. Les exemplaires les plus remarquablement annotés par Racine comportent de nombreuses traces de ce type, y compris non-verbales (traits de soulignement, accolades, astérisques</w:t>
      </w:r>
      <w:r>
        <w:rPr>
          <w:rStyle w:val="Appelnotedebasdep"/>
        </w:rPr>
        <w:footnoteReference w:id="96"/>
      </w:r>
      <w:r>
        <w:t>). Chacun des instruments scripteurs correspondrait-il peu ou prou à un moment, une période, voire à une même session de lecture ? Cette question n’est qu’en partie insoluble. Certes, le degré de soin apporté aux annotations fournit au mieux un indice de datation relative : un trait rapide à main levée ou un simple mot en marge au crayon n’implique pas que la trace de lecture soit plus tardive qu’une autre. Mais les études contextuelles sont susceptibles de préciser cette datation.</w:t>
      </w:r>
    </w:p>
    <w:p>
      <w:pPr>
        <w:ind w:firstLine="283"/>
      </w:pPr>
      <w:r>
        <w:t>Relativement à l’ensemble des autres annotations de l’exemplaire Estienne, le livre X de l’</w:t>
      </w:r>
      <w:r>
        <w:rPr>
          <w:i/>
        </w:rPr>
        <w:t>Institution</w:t>
      </w:r>
      <w:r>
        <w:t xml:space="preserve"> apparaît annoté d’une manière singulière – à la mine de plomb. Les annotations verbales sont peu nombreuses et souvent à peine lisibles, ce qui dissuade de les reproduire ici. Mais on trouve aussi de multiples marques à main levée, tels que les accolades, les traits verticaux, les soulignements, souvent discontinus, c’est-à-dire n’allant pas d’un bout à l’autre de la ligne. Quand on sait combien Racine prenait soin de ses livres, on comprend qu’une telle négligence ne pouvait venir que d’une main adulte et pressée. Or ces traits morphologiques permettent de constituer un sous-corpus à </w:t>
      </w:r>
      <w:r>
        <w:t>l’échelle de l’exemplaire, puisque les livres VI, VIII et X sont annotés de cette manière, quoique non exclusivement. La cohérence de ces traces de lecture prises comme ensemble ou comme juxtaposition de sous-ensembles devrait faire apparaître les motifs d’une ou de plusieurs sessions de relecture.</w:t>
      </w:r>
    </w:p>
    <w:p>
      <w:pPr>
        <w:ind w:firstLine="283"/>
      </w:pPr>
      <w:r>
        <w:t>En face de la citation donnée dans la préface, page 517, Racine a écrit à la mine : « Juger modestement les grands hommes. » Ces mots-clés tirés du texte n’ont pas une simple valeur d’index ; ils capitalisent en quelque sorte une session de relecture qui incite à soumettre l’ensemble du sous-corpus à l’examen. Nous n’en retiendrons ici que les plus marquantes, en commençant par le livre X.</w:t>
      </w:r>
    </w:p>
    <w:p>
      <w:pPr>
        <w:ind w:firstLine="283"/>
      </w:pPr>
      <w:r>
        <w:rPr>
          <w:b/>
          <w:i/>
        </w:rPr>
        <w:t>Institution oratoire</w:t>
      </w:r>
      <w:r>
        <w:rPr>
          <w:b/>
        </w:rPr>
        <w:t>, livre X</w:t>
      </w:r>
    </w:p>
    <w:p>
      <w:pPr>
        <w:ind w:firstLine="283"/>
      </w:pPr>
      <w:r>
        <w:t xml:space="preserve">Le début du livre X porte sur l’aisance que l’on acquiert dans l’éloquence grâce à des exercices, ce qui pose la question des modèles et de leur valeur. En page 499, une accolade marque une réflexion de Quintilien sur la différence de réception entre la lecture individuelle et l’audition publique ; un propos sur la claque donne lieu à un rare exemple d’annotation concernant le théâtre (Pr., 17-19). Vient ensuite un argument fort des Anciens, selon lequel il ne faut pas sacraliser les auteurs de </w:t>
      </w:r>
      <w:r>
        <w:t>l’A</w:t>
      </w:r>
      <w:r>
        <w:t>ntiquité mais savoir les critiquer. Les relevés suivants correspondent aux passages signalés par des accolades à la mine, éventuellement accompagnés de soulignements du texte, que nous reproduisons.</w:t>
      </w: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4814"/>
      </w:tblGrid>
      <w:tr w:rsidR="00AF28DB" w14:paraId="22F38E5E" w14:textId="77777777">
        <w:tc>
          <w:tcPr>
            <w:tcW w:w="4248" w:type="dxa"/>
          </w:tcPr>
          <w:p w14:paraId="2E17FD12" w14:textId="77777777" w:rsidR="00AF28DB" w:rsidRDefault="00000000">
            <w:pPr>
              <w:shd w:val="clear" w:color="auto" w:fill="FFFFFF"/>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Proemium,</w:t>
            </w:r>
          </w:p>
          <w:p w14:paraId="695479F2" w14:textId="77777777" w:rsidR="00AF28D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[516], accolade à droite</w:t>
            </w:r>
          </w:p>
        </w:tc>
        <w:tc>
          <w:tcPr>
            <w:tcW w:w="4814" w:type="dxa"/>
          </w:tcPr>
          <w:p w14:paraId="68D73405" w14:textId="77777777" w:rsidR="00AF28D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 1, 24</w:t>
            </w:r>
          </w:p>
        </w:tc>
      </w:tr>
      <w:tr w:rsidR="00AF28DB" w14:paraId="100BCD1A" w14:textId="77777777">
        <w:tc>
          <w:tcPr>
            <w:tcW w:w="4248" w:type="dxa"/>
          </w:tcPr>
          <w:p w14:paraId="74A96ADC" w14:textId="77777777" w:rsidR="00AF28DB"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Neque id statim legenti persuasum sit, omnia quæ magni authores dixerint, vtique esse perfecta. Nam &amp; labuntur aliquando, &amp; oneri cedunt, &amp; indulgent ingeniorum suorum voluptati […]</w:t>
            </w:r>
          </w:p>
        </w:tc>
        <w:tc>
          <w:tcPr>
            <w:tcW w:w="4814" w:type="dxa"/>
          </w:tcPr>
          <w:p w14:paraId="22757B66" w14:textId="77777777" w:rsidR="00AF28DB"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Il ne faut pas d’ailleurs que le lecteur soit persuadé que tout ce qu’ont dit les meilleurs auteurs soit toujours parfait. Ils bronchent parfois, et ils cèdent sous le poids, et ils ont de la complaisance pour ce qui charme leur inclination […]</w:t>
            </w:r>
            <w:r>
              <w:rPr>
                <w:rFonts w:ascii="Times New Roman" w:eastAsia="Times New Roman" w:hAnsi="Times New Roman" w:cs="Times New Roman"/>
                <w:vertAlign w:val="superscript"/>
              </w:rPr>
              <w:footnoteReference w:id="97"/>
            </w:r>
            <w:r>
              <w:rPr>
                <w:rFonts w:ascii="Times New Roman" w:eastAsia="Times New Roman" w:hAnsi="Times New Roman" w:cs="Times New Roman"/>
              </w:rPr>
              <w:t>.</w:t>
            </w:r>
          </w:p>
        </w:tc>
      </w:tr>
    </w:tbl>
    <w:p>
      <w:pPr>
        <w:ind w:firstLine="283"/>
      </w:pPr>
      <w:r>
        <w:t>Quintilien poursuit sa réflexion, et les accolades reprennent après le saut de page : c’est à cet endroit que Racine note « Juger modestement les grands hommes ». Démosthène, Cicéron, Homère, nous dit Horace, « sommeillent parfois », et Quintilien d’en conclure : « Pour grands qu’ils soient, en effet, ce sont des hommes. » Il ne faut donc pas les imiter aveuglément.</w:t>
      </w:r>
    </w:p>
    <w:p>
      <w:pPr>
        <w:ind w:firstLine="283"/>
      </w:pPr>
      <w:r>
        <w:t>Sur la même page 517, un peu plus bas, le mot « Poëtes » est écrit à la mine en très gros caractères. Il indique une réflexion sur l’intérêt de la lecture des poètes pour l’élévation de l’éloquence, conseil suivi par Racine quand il recherche les belles pensées (</w:t>
      </w:r>
      <w:r>
        <w:rPr>
          <w:i/>
        </w:rPr>
        <w:t>sententiæ</w:t>
      </w:r>
      <w:r>
        <w:t>) chez tous les poètes anciens pour les sertir dans ses répliques et en tirer toutes les conséquences ; la monture ne doit pas déparer. Le lien avec la préface est patent.</w:t>
      </w:r>
    </w:p>
    <w:p>
      <w:pPr>
        <w:ind w:firstLine="283"/>
      </w:pPr>
      <w:r>
        <w:t xml:space="preserve">Deux pages plus loin dans l’exemplaire Estienne, des réflexions sur la postérité font de nouveau l’objet d’accolades et de traits de soulignement ; elles se prolongent dans le </w:t>
      </w:r>
      <w:r>
        <w:t>même esprit au chapitre II, qui porte sur l’imitation, et tout particulièrement sur l’émulation. Le passage est signalé par une accolade sommaire à la mine :</w:t>
      </w:r>
    </w:p>
    <w:tbl>
      <w:tblPr>
        <w:tblStyle w:val="a1"/>
        <w:tblW w:w="8969" w:type="dxa"/>
        <w:tblInd w:w="100"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150"/>
        <w:gridCol w:w="4819"/>
      </w:tblGrid>
      <w:tr w:rsidR="00AF28DB" w14:paraId="05C04B7A" w14:textId="77777777">
        <w:tc>
          <w:tcPr>
            <w:tcW w:w="4150" w:type="dxa"/>
            <w:tcBorders>
              <w:top w:val="single" w:sz="4" w:space="0" w:color="00000A"/>
              <w:left w:val="single" w:sz="4" w:space="0" w:color="000001"/>
              <w:bottom w:val="single" w:sz="4" w:space="0" w:color="000001"/>
            </w:tcBorders>
            <w:shd w:val="clear" w:color="auto" w:fill="FFFFFF"/>
            <w:tcMar>
              <w:left w:w="52" w:type="dxa"/>
            </w:tcMar>
          </w:tcPr>
          <w:p w14:paraId="1A4D8DE0"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X, II, </w:t>
            </w:r>
          </w:p>
          <w:p w14:paraId="2C4894DB"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520 [536]</w:t>
            </w:r>
          </w:p>
        </w:tc>
        <w:tc>
          <w:tcPr>
            <w:tcW w:w="4819" w:type="dxa"/>
            <w:tcBorders>
              <w:top w:val="single" w:sz="4" w:space="0" w:color="00000A"/>
              <w:left w:val="single" w:sz="4" w:space="0" w:color="000001"/>
              <w:bottom w:val="single" w:sz="4" w:space="0" w:color="000001"/>
              <w:right w:val="single" w:sz="4" w:space="0" w:color="000001"/>
            </w:tcBorders>
            <w:shd w:val="clear" w:color="auto" w:fill="FFFFFF"/>
            <w:tcMar>
              <w:left w:w="52" w:type="dxa"/>
            </w:tcMar>
          </w:tcPr>
          <w:p w14:paraId="77835E29"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2, 9-10</w:t>
            </w:r>
            <w:r>
              <w:rPr>
                <w:rFonts w:ascii="Times New Roman" w:eastAsia="Times New Roman" w:hAnsi="Times New Roman" w:cs="Times New Roman"/>
                <w:sz w:val="24"/>
                <w:szCs w:val="24"/>
                <w:vertAlign w:val="superscript"/>
              </w:rPr>
              <w:footnoteReference w:id="98"/>
            </w:r>
          </w:p>
        </w:tc>
      </w:tr>
      <w:tr w:rsidR="00AF28DB" w14:paraId="4FB2CC1A" w14:textId="77777777">
        <w:tc>
          <w:tcPr>
            <w:tcW w:w="4150" w:type="dxa"/>
            <w:tcBorders>
              <w:top w:val="single" w:sz="4" w:space="0" w:color="00000A"/>
              <w:left w:val="single" w:sz="4" w:space="0" w:color="000001"/>
              <w:bottom w:val="single" w:sz="4" w:space="0" w:color="000001"/>
            </w:tcBorders>
            <w:shd w:val="clear" w:color="auto" w:fill="FFFFFF"/>
            <w:tcMar>
              <w:left w:w="52" w:type="dxa"/>
            </w:tcMar>
          </w:tcPr>
          <w:p w14:paraId="3D1C2F1C" w14:textId="77777777" w:rsidR="00AF28DB" w:rsidRDefault="00000000">
            <w:pPr>
              <w:shd w:val="clear" w:color="auto" w:fill="FFFFFF"/>
              <w:spacing w:line="240" w:lineRule="auto"/>
              <w:jc w:val="both"/>
              <w:rPr>
                <w:rFonts w:ascii="Times New Roman" w:eastAsia="Times New Roman" w:hAnsi="Times New Roman" w:cs="Times New Roman"/>
              </w:rPr>
            </w:pPr>
            <w:r>
              <w:rPr>
                <w:rFonts w:ascii="Times New Roman" w:eastAsia="Times New Roman" w:hAnsi="Times New Roman" w:cs="Times New Roman"/>
              </w:rPr>
              <w:t>Sed etiam qui summa non appetent, contendere potius quam sequi debent. Nam qui agit vt prior sit, forsitan etiam si non transierit, æquabit.</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7D4809F4" w14:textId="77777777" w:rsidR="00AF28DB" w:rsidRDefault="00000000">
            <w:pPr>
              <w:shd w:val="clear" w:color="auto" w:fill="FFFFFF"/>
              <w:spacing w:line="240" w:lineRule="auto"/>
              <w:jc w:val="both"/>
              <w:rPr>
                <w:rFonts w:ascii="Times New Roman" w:eastAsia="Times New Roman" w:hAnsi="Times New Roman" w:cs="Times New Roman"/>
              </w:rPr>
            </w:pPr>
            <w:r>
              <w:rPr>
                <w:rFonts w:ascii="Times New Roman" w:eastAsia="Times New Roman" w:hAnsi="Times New Roman" w:cs="Times New Roman"/>
                <w:b/>
                <w:bCs/>
              </w:rPr>
              <w:t>[9…]</w:t>
            </w:r>
            <w:r>
              <w:rPr>
                <w:rFonts w:ascii="Times New Roman" w:eastAsia="Times New Roman" w:hAnsi="Times New Roman" w:cs="Times New Roman"/>
              </w:rPr>
              <w:t xml:space="preserve"> Mais ceux mêmes qui ne viseront pas les sommets doivent [rivaliser plutôt que de rester à la traîne]. </w:t>
            </w:r>
            <w:r>
              <w:rPr>
                <w:rFonts w:ascii="Times New Roman" w:eastAsia="Times New Roman" w:hAnsi="Times New Roman" w:cs="Times New Roman"/>
                <w:b/>
                <w:bCs/>
              </w:rPr>
              <w:t>[10]</w:t>
            </w:r>
            <w:r>
              <w:rPr>
                <w:rFonts w:ascii="Times New Roman" w:eastAsia="Times New Roman" w:hAnsi="Times New Roman" w:cs="Times New Roman"/>
              </w:rPr>
              <w:t xml:space="preserve"> Car celui qui veut l’emporter sur un autre l’égalera peut-être, même s’il ne le dépasse pas.</w:t>
            </w:r>
          </w:p>
        </w:tc>
      </w:tr>
    </w:tbl>
    <w:p>
      <w:pPr>
        <w:ind w:firstLine="283"/>
      </w:pPr>
      <w:r>
        <w:t>La session de relecture du livre X fournit à Racine les éléments d’une réflexion sur l’émulation ; la décontextualisation rend général le propos sur la modestie à l’égard des grands orateurs.</w:t>
      </w:r>
    </w:p>
    <w:p>
      <w:pPr>
        <w:ind w:firstLine="283"/>
      </w:pPr>
      <w:r>
        <w:t>Le critère de l’identité morphologique des annotations verbales et non-verbales incite à rechercher d’autres traces de lecture qui pourraient être contemporaines.</w:t>
      </w:r>
    </w:p>
    <w:p>
      <w:pPr>
        <w:ind w:firstLine="283"/>
      </w:pPr>
      <w:r>
        <w:rPr>
          <w:b/>
          <w:i/>
        </w:rPr>
        <w:t>Institution oratoire</w:t>
      </w:r>
      <w:r>
        <w:rPr>
          <w:b/>
        </w:rPr>
        <w:t>, livre VI</w:t>
      </w:r>
    </w:p>
    <w:p>
      <w:pPr>
        <w:ind w:firstLine="283"/>
      </w:pPr>
      <w:r>
        <w:t xml:space="preserve">De nombreuses marques sont inscrites à l’encre dans le livre VI, également très annoté à la mine sous la forme d’accolades tracées à la hâte et parfois réduites à une ondulation. Quintilien aborde successivement la péroraison et le pathétique, le rire, l’altercation. Racine a relevé une pensée touchant le pathétique et sa place dans la péroraison. L’orateur doit s’inspirer des comédiens pour contrôler l’effet en maîtrisant son intensité, en régulant sa durée : </w:t>
      </w:r>
    </w:p>
    <w:tbl>
      <w:tblPr>
        <w:tblStyle w:val="a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956"/>
      </w:tblGrid>
      <w:tr w:rsidR="00AF28DB" w14:paraId="3841A51D" w14:textId="77777777">
        <w:tc>
          <w:tcPr>
            <w:tcW w:w="4106" w:type="dxa"/>
          </w:tcPr>
          <w:p w14:paraId="5DEC7C79" w14:textId="77777777" w:rsidR="00AF28DB" w:rsidRDefault="00000000">
            <w:pPr>
              <w:shd w:val="clear" w:color="auto" w:fill="FFFFFF"/>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 I,</w:t>
            </w:r>
          </w:p>
          <w:p w14:paraId="54700F4A" w14:textId="77777777" w:rsidR="00AF28D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301, accolade</w:t>
            </w:r>
          </w:p>
        </w:tc>
        <w:tc>
          <w:tcPr>
            <w:tcW w:w="4956" w:type="dxa"/>
          </w:tcPr>
          <w:p w14:paraId="6A0761D9" w14:textId="77777777" w:rsidR="00AF28D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 I, 27-29</w:t>
            </w:r>
          </w:p>
        </w:tc>
      </w:tr>
      <w:tr w:rsidR="00AF28DB" w14:paraId="2F671F82" w14:textId="77777777">
        <w:tc>
          <w:tcPr>
            <w:tcW w:w="4106" w:type="dxa"/>
          </w:tcPr>
          <w:p w14:paraId="496816DC" w14:textId="77777777" w:rsidR="00AF28DB"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Numquam tamen debet esse longa miseratio : nec sine causa dictum est, Nihil facilius quam lachrymas inarescere. </w:t>
            </w:r>
            <w:r>
              <w:rPr>
                <w:rFonts w:ascii="Times New Roman" w:eastAsia="Times New Roman" w:hAnsi="Times New Roman" w:cs="Times New Roman"/>
                <w:b/>
                <w:bCs/>
              </w:rPr>
              <w:t>[28]</w:t>
            </w:r>
            <w:r>
              <w:rPr>
                <w:rFonts w:ascii="Times New Roman" w:eastAsia="Times New Roman" w:hAnsi="Times New Roman" w:cs="Times New Roman"/>
              </w:rPr>
              <w:t xml:space="preserve"> Nam quum etiam veros dolores mitiget tempus, citius euanescat necesse est illa quam dicendo effinximus imago : in qua si moramur, lachrymis fatigatur auditor, &amp; requiescit, &amp; ab illo quem ceperat impetu, ad rationem redit. </w:t>
            </w:r>
            <w:r>
              <w:rPr>
                <w:rFonts w:ascii="Times New Roman" w:eastAsia="Times New Roman" w:hAnsi="Times New Roman" w:cs="Times New Roman"/>
                <w:b/>
                <w:bCs/>
              </w:rPr>
              <w:t>[29]</w:t>
            </w:r>
            <w:r>
              <w:rPr>
                <w:rFonts w:ascii="Times New Roman" w:eastAsia="Times New Roman" w:hAnsi="Times New Roman" w:cs="Times New Roman"/>
              </w:rPr>
              <w:t xml:space="preserve"> Non patiamur igitur frigescere hoc opus, &amp; affectum quum ad summum perduxerimus, relinquamus : nec speremus fore vt aliena [mala] quisquam diu ploret. Ideoque cum in aliis, tum in hac parte debet crescere oratio : quia quicquid non adiicit, prioribus etiam detrahere videtur : &amp; facile deficit affectus qui descendit.</w:t>
            </w:r>
          </w:p>
        </w:tc>
        <w:tc>
          <w:tcPr>
            <w:tcW w:w="4956" w:type="dxa"/>
          </w:tcPr>
          <w:p w14:paraId="3941E125" w14:textId="77777777" w:rsidR="00AF28DB"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Cependant, cet appel à la pitié ne doit jamais durer longtemps. Et l’on n’a pas dit sans raison que rien n’est plus facile à sécher que des larmes. </w:t>
            </w:r>
            <w:r>
              <w:rPr>
                <w:rFonts w:ascii="Times New Roman" w:eastAsia="Times New Roman" w:hAnsi="Times New Roman" w:cs="Times New Roman"/>
                <w:b/>
                <w:bCs/>
              </w:rPr>
              <w:t>[28]</w:t>
            </w:r>
            <w:r>
              <w:rPr>
                <w:rFonts w:ascii="Times New Roman" w:eastAsia="Times New Roman" w:hAnsi="Times New Roman" w:cs="Times New Roman"/>
              </w:rPr>
              <w:t xml:space="preserve"> Puisque le temps adoucit les douleurs même véritables, il est nécessaire en effet qu’on voie s’évanouir plus vite l’image que notre parole a dessinée : si nous nous y attardons, les larmes fatiguent l’auditeur ; il recouvre la tranquillité, et de l’ébranlement qu’il avait reçu, il revient à la raison. </w:t>
            </w:r>
            <w:r>
              <w:rPr>
                <w:rFonts w:ascii="Times New Roman" w:eastAsia="Times New Roman" w:hAnsi="Times New Roman" w:cs="Times New Roman"/>
                <w:b/>
                <w:bCs/>
              </w:rPr>
              <w:t>[29]</w:t>
            </w:r>
            <w:r>
              <w:rPr>
                <w:rFonts w:ascii="Times New Roman" w:eastAsia="Times New Roman" w:hAnsi="Times New Roman" w:cs="Times New Roman"/>
              </w:rPr>
              <w:t xml:space="preserve"> Ne laissons donc pas refroidir notre ouvrage, et, quand nous aurons porté l’émotion à son comble, laissons-là le pathétique, et n’espérons pas faire pleurer longtemps sur les malheurs d’autrui. Voilà pourquoi, dans cette partie surtout, plus que dans les autres, le ton doit s’élever, parce que tout ce qui n’ajoute pas à ce qui précède va même jusqu’à paraître l’amputer, et l’émotion qui décroît disparaît facilement.</w:t>
            </w:r>
          </w:p>
        </w:tc>
      </w:tr>
    </w:tbl>
    <w:p>
      <w:pPr>
        <w:ind w:firstLine="283"/>
      </w:pPr>
      <w:r>
        <w:t xml:space="preserve">Toute la page 304 est ensuite l’objet d’accolades rapidement tracées. Racine souligne d’un trait rapide ce qui devient prescription : « ne quis </w:t>
      </w:r>
      <w:r>
        <w:t>nisi summis ingenii viribus ad movendas lachrymas aggredi audeat</w:t>
      </w:r>
      <w:r>
        <w:t xml:space="preserve"> » (« </w:t>
      </w:r>
      <w:r>
        <w:t>ne pas oser provoquer les larmes de l’auditoire sans être doté d’un très grand talent</w:t>
      </w:r>
      <w:r>
        <w:t xml:space="preserve"> », VI, I, 44). On risquerait de provoquer le rire du public. Le succès dépend de ces choix, et il ne faut pas manquer d’émouvoir dans le dénouement :</w:t>
      </w:r>
    </w:p>
    <w:tbl>
      <w:tblPr>
        <w:tblStyle w:val="a3"/>
        <w:tblW w:w="8969" w:type="dxa"/>
        <w:tblInd w:w="100"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433"/>
        <w:gridCol w:w="4536"/>
      </w:tblGrid>
      <w:tr w:rsidR="00AF28DB" w14:paraId="40430AF0" w14:textId="77777777">
        <w:tc>
          <w:tcPr>
            <w:tcW w:w="4433" w:type="dxa"/>
            <w:tcBorders>
              <w:top w:val="single" w:sz="4" w:space="0" w:color="00000A"/>
              <w:left w:val="single" w:sz="4" w:space="0" w:color="000001"/>
              <w:bottom w:val="single" w:sz="4" w:space="0" w:color="000001"/>
            </w:tcBorders>
            <w:tcMar>
              <w:left w:w="52" w:type="dxa"/>
            </w:tcMar>
          </w:tcPr>
          <w:p w14:paraId="0A1322D4"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VI, I, </w:t>
            </w:r>
          </w:p>
          <w:p w14:paraId="1B2BE646"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305, accolade</w:t>
            </w:r>
          </w:p>
        </w:tc>
        <w:tc>
          <w:tcPr>
            <w:tcW w:w="4536" w:type="dxa"/>
            <w:tcBorders>
              <w:top w:val="single" w:sz="4" w:space="0" w:color="00000A"/>
              <w:left w:val="single" w:sz="4" w:space="0" w:color="000001"/>
              <w:bottom w:val="single" w:sz="4" w:space="0" w:color="000001"/>
              <w:right w:val="single" w:sz="4" w:space="0" w:color="000001"/>
            </w:tcBorders>
            <w:tcMar>
              <w:left w:w="52" w:type="dxa"/>
            </w:tcMar>
          </w:tcPr>
          <w:p w14:paraId="7E2DDB4D" w14:textId="77777777" w:rsidR="00AF28DB" w:rsidRDefault="00000000">
            <w:pPr>
              <w:shd w:val="clear" w:color="auto" w:fill="FFFFFF"/>
              <w:spacing w:line="24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VI, I, 52</w:t>
            </w:r>
          </w:p>
        </w:tc>
      </w:tr>
      <w:tr w:rsidR="00AF28DB" w14:paraId="5AE1C4D8" w14:textId="77777777">
        <w:tc>
          <w:tcPr>
            <w:tcW w:w="4433" w:type="dxa"/>
            <w:tcBorders>
              <w:top w:val="single" w:sz="4" w:space="0" w:color="00000A"/>
              <w:left w:val="single" w:sz="4" w:space="0" w:color="000001"/>
              <w:bottom w:val="single" w:sz="4" w:space="0" w:color="000001"/>
            </w:tcBorders>
            <w:tcMar>
              <w:left w:w="52" w:type="dxa"/>
            </w:tcMar>
          </w:tcPr>
          <w:p w14:paraId="67077DAA" w14:textId="77777777" w:rsidR="00AF28DB" w:rsidRDefault="00000000">
            <w:pPr>
              <w:shd w:val="clear" w:color="auto" w:fill="FFFFFF"/>
              <w:spacing w:line="240" w:lineRule="auto"/>
              <w:jc w:val="both"/>
              <w:rPr>
                <w:rFonts w:ascii="Times New Roman" w:eastAsia="Times New Roman" w:hAnsi="Times New Roman" w:cs="Times New Roman"/>
              </w:rPr>
            </w:pPr>
            <w:r>
              <w:rPr>
                <w:rFonts w:ascii="Times New Roman" w:eastAsia="Times New Roman" w:hAnsi="Times New Roman" w:cs="Times New Roman"/>
              </w:rPr>
              <w:t>Tunc est commouendum theatrum, quum ventum est ad ipsum illud, quo veteres tragœdiæ comœdiæque clauduntur, Plaudite.</w:t>
            </w:r>
          </w:p>
        </w:tc>
        <w:tc>
          <w:tcPr>
            <w:tcW w:w="4536" w:type="dxa"/>
            <w:tcBorders>
              <w:top w:val="single" w:sz="4" w:space="0" w:color="00000A"/>
              <w:left w:val="single" w:sz="4" w:space="0" w:color="000001"/>
              <w:bottom w:val="single" w:sz="4" w:space="0" w:color="000001"/>
              <w:right w:val="single" w:sz="4" w:space="0" w:color="000001"/>
            </w:tcBorders>
            <w:tcMar>
              <w:left w:w="52" w:type="dxa"/>
            </w:tcMar>
          </w:tcPr>
          <w:p w14:paraId="256CD2DA" w14:textId="77777777" w:rsidR="00AF28DB" w:rsidRDefault="00000000">
            <w:pPr>
              <w:shd w:val="clear" w:color="auto" w:fill="FFFFFF"/>
              <w:spacing w:line="240" w:lineRule="auto"/>
              <w:jc w:val="both"/>
              <w:rPr>
                <w:rFonts w:ascii="Times New Roman" w:eastAsia="Times New Roman" w:hAnsi="Times New Roman" w:cs="Times New Roman"/>
              </w:rPr>
            </w:pPr>
            <w:r>
              <w:rPr>
                <w:rFonts w:ascii="Times New Roman" w:eastAsia="Times New Roman" w:hAnsi="Times New Roman" w:cs="Times New Roman"/>
              </w:rPr>
              <w:t>Le moment donc où il y a lieu d’émouvoir le théâtre, c’est le point précis, où se terminent les anciennes tragédies et comédies : Applaudissez.</w:t>
            </w:r>
          </w:p>
        </w:tc>
      </w:tr>
    </w:tbl>
    <w:p>
      <w:pPr>
        <w:ind w:firstLine="283"/>
      </w:pPr>
      <w:r>
        <w:t>Dans sa préface, Racine se vante précisément d’avoir su emprunter à Homère et Euripide ce qui a fait son succès : « Mes Spectateurs ont été émus des mêmes choses qui ont mis autrefois en larmes le plus savant peuple de la Grèce</w:t>
      </w:r>
      <w:r>
        <w:rPr>
          <w:rStyle w:val="Appelnotedebasdep"/>
        </w:rPr>
        <w:footnoteReference w:id="99"/>
      </w:r>
      <w:r>
        <w:t xml:space="preserve"> ». Euripide a été dit «</w:t>
      </w:r>
      <w:r>
        <w:t xml:space="preserve"> </w:t>
      </w:r>
      <w:r>
        <w:t>tragik</w:t>
      </w:r>
      <w:r>
        <w:t>ώ</w:t>
      </w:r>
      <w:r>
        <w:t>tatoj</w:t>
      </w:r>
      <w:r>
        <w:t xml:space="preserve"> » par Aristote (« le plus tragique des poètes »), et Racine revendique implicitement l’épithète. En revanche, le pathétique fait défaut à la tragédie en musique de Quinault, hormis peut-être dans cette plainte, « moins un air […] qu’un récit lyrique et passionné</w:t>
      </w:r>
      <w:r>
        <w:rPr>
          <w:rStyle w:val="Appelnotedebasdep"/>
        </w:rPr>
        <w:footnoteReference w:id="100"/>
      </w:r>
      <w:r>
        <w:t xml:space="preserve"> », tout en étant marquée par l’épiphore et la phraséologie élégiaque : </w:t>
      </w:r>
    </w:p>
    <w:p>
      <w:pPr>
        <w:pStyle w:val="TEIverse"/>
        <w:spacing w:line="240" w:lineRule="auto"/>
        <w:ind w:left="397"/>
        <w:jc w:val="left"/>
      </w:pPr>
      <w:r>
        <w:rPr>
          <w:sz w:val="22"/>
        </w:rPr>
        <w:t>Est-ce là cet Hymen si doux, si plein d’appas,</w:t>
      </w:r>
      <w:r>
        <w:br/>
      </w:r>
      <w:r>
        <w:rPr>
          <w:sz w:val="22"/>
        </w:rPr>
        <w:t>Qui nous promettait tant de charmes ?</w:t>
      </w:r>
      <w:r>
        <w:br/>
      </w:r>
      <w:r>
        <w:rPr>
          <w:sz w:val="22"/>
        </w:rPr>
        <w:t>Fallait-il que si tôt l’aveugle sort des armes</w:t>
      </w:r>
      <w:r>
        <w:br/>
      </w:r>
      <w:r>
        <w:rPr>
          <w:sz w:val="22"/>
        </w:rPr>
        <w:t>Tranchât des nœuds si beaux par un affreux trépas ?</w:t>
      </w:r>
      <w:r>
        <w:br/>
      </w:r>
      <w:r>
        <w:rPr>
          <w:sz w:val="22"/>
        </w:rPr>
        <w:t>Est-ce là cet Hymen si doux, si plein d’appas,</w:t>
      </w:r>
      <w:r>
        <w:br/>
      </w:r>
      <w:r>
        <w:rPr>
          <w:sz w:val="22"/>
        </w:rPr>
        <w:t>Qui nous promettait tant de charmes[101] ?</w:t>
      </w:r>
    </w:p>
    <w:p>
      <w:pPr>
        <w:pStyle w:val="TEIparagraphconsecutive"/>
      </w:pPr>
      <w:r>
        <w:t>Ces vers correspondent à peu près à ceux que Racine retraduit d’Euripide pour mieux faire ressortir le pathétique de la scène où Alceste échange sa vie contre celle de son mari :</w:t>
      </w:r>
    </w:p>
    <w:p>
      <w:pPr>
        <w:pStyle w:val="TEIverse"/>
        <w:spacing w:line="240" w:lineRule="auto"/>
        <w:ind w:left="397"/>
        <w:jc w:val="left"/>
      </w:pPr>
      <w:r>
        <w:rPr>
          <w:sz w:val="22"/>
        </w:rPr>
        <w:t>Je vois déjà la rame, et la barque fatale.</w:t>
      </w:r>
      <w:r>
        <w:br/>
      </w:r>
      <w:r>
        <w:rPr>
          <w:sz w:val="22"/>
        </w:rPr>
        <w:t>J’entends le vieux Nocher sur la rive infernale.</w:t>
      </w:r>
      <w:r>
        <w:br/>
      </w:r>
      <w:r>
        <w:rPr>
          <w:sz w:val="22"/>
        </w:rPr>
        <w:t>Impatient il crie, On t’attend ici-bas,</w:t>
      </w:r>
      <w:r>
        <w:br/>
      </w:r>
      <w:r>
        <w:rPr>
          <w:sz w:val="22"/>
        </w:rPr>
        <w:t>Tout est prêt, descends, viens, ne me retarde pas[102].</w:t>
      </w:r>
    </w:p>
    <w:p>
      <w:pPr>
        <w:pStyle w:val="TEIparagraphconsecutive"/>
      </w:pPr>
      <w:r>
        <w:t xml:space="preserve">Déjà Alceste n’entend plus Admète mais la voix de la Mort. En livrant un exemple du sublime, Racine choisit le meilleur moyen polémique pour donner du relief au contresens de Perrault, qui fait mourir Admète. L’hypotypose resserrée sur la figure de Charon reste </w:t>
      </w:r>
      <w:r>
        <w:t>fidèle à Euripide, mais dans le dernier vers, en contraste avec l’allongement de la mise en garde, le diminuendo syllabique de l’injonction insiste sur l’inéluctable obéissance. Alliant brièveté et simplicité, le pathétique de convention est converti en sublime longinien.</w:t>
      </w:r>
    </w:p>
    <w:p>
      <w:pPr>
        <w:ind w:firstLine="283"/>
      </w:pPr>
      <w:r>
        <w:rPr>
          <w:b/>
          <w:i/>
        </w:rPr>
        <w:t>Institution oratoire</w:t>
      </w:r>
      <w:r>
        <w:rPr>
          <w:b/>
        </w:rPr>
        <w:t>, livre VIII</w:t>
      </w:r>
    </w:p>
    <w:p>
      <w:pPr>
        <w:ind w:firstLine="283"/>
      </w:pPr>
      <w:r>
        <w:t xml:space="preserve">Le livre VIII a pour objet le style. En dehors de quelques pages à la fin, il est très annoté et amplement souligné à la mine ; il mériterait une étude à part entière. La première marque figure sous une forme abrégée, en marge du </w:t>
      </w:r>
      <w:r>
        <w:rPr>
          <w:i/>
        </w:rPr>
        <w:t>proemium</w:t>
      </w:r>
      <w:r>
        <w:t>, page 390 : « N</w:t>
      </w:r>
      <w:r>
        <w:rPr>
          <w:vertAlign w:val="superscript"/>
        </w:rPr>
        <w:t xml:space="preserve">a </w:t>
      </w:r>
      <w:r>
        <w:t xml:space="preserve">Acad. » (abréviation usuelle pour </w:t>
      </w:r>
      <w:r>
        <w:rPr>
          <w:i/>
        </w:rPr>
        <w:t>nota</w:t>
      </w:r>
      <w:r>
        <w:t>). La taille des caractères, inhabituellement grossie, est homogène ; l’espacement des lettres suggère que « Acad. » est ajouté après coup. On distingue une accolade soignée, à l’encre, mais discontinue et complétée à la mine. D’humeur railleuse, Racine reconnaît dans la description de Quintilien les académiciens qu’il côtoie depuis son élection ; Quinault et Perrault ont respectivement été élus en 1670 et 1671. Voici une partie du passage signalé :</w:t>
      </w:r>
    </w:p>
    <w:tbl>
      <w:tblPr>
        <w:tblStyle w:val="a4"/>
        <w:tblW w:w="9024" w:type="dxa"/>
        <w:tblInd w:w="45"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205"/>
        <w:gridCol w:w="4819"/>
      </w:tblGrid>
      <w:tr w:rsidR="00AF28DB" w14:paraId="583877FF" w14:textId="77777777">
        <w:tc>
          <w:tcPr>
            <w:tcW w:w="4205" w:type="dxa"/>
            <w:tcBorders>
              <w:top w:val="single" w:sz="4" w:space="0" w:color="00000A"/>
              <w:left w:val="single" w:sz="4" w:space="0" w:color="000001"/>
              <w:bottom w:val="single" w:sz="4" w:space="0" w:color="000001"/>
            </w:tcBorders>
            <w:tcMar>
              <w:left w:w="52" w:type="dxa"/>
            </w:tcMar>
          </w:tcPr>
          <w:p w14:paraId="5E4292DC"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VIII, Pr., </w:t>
            </w:r>
          </w:p>
          <w:p w14:paraId="3B08EC9F"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 390, accolade </w:t>
            </w:r>
          </w:p>
          <w:p w14:paraId="606A5C69"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face à la partie soulignée</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6B682160"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Pr., 18</w:t>
            </w:r>
          </w:p>
          <w:p w14:paraId="14D55C09" w14:textId="77777777" w:rsidR="00AF28DB" w:rsidRDefault="00AF28DB">
            <w:pPr>
              <w:shd w:val="clear" w:color="auto" w:fill="FFFFFF"/>
              <w:spacing w:line="240" w:lineRule="auto"/>
              <w:jc w:val="center"/>
              <w:rPr>
                <w:rFonts w:ascii="Times New Roman" w:eastAsia="Times New Roman" w:hAnsi="Times New Roman" w:cs="Times New Roman"/>
              </w:rPr>
            </w:pPr>
          </w:p>
        </w:tc>
      </w:tr>
      <w:tr w:rsidR="00AF28DB" w14:paraId="060EAD4F" w14:textId="77777777">
        <w:tc>
          <w:tcPr>
            <w:tcW w:w="4205" w:type="dxa"/>
            <w:tcBorders>
              <w:top w:val="single" w:sz="4" w:space="0" w:color="00000A"/>
              <w:left w:val="single" w:sz="4" w:space="0" w:color="000001"/>
              <w:bottom w:val="single" w:sz="4" w:space="0" w:color="000001"/>
            </w:tcBorders>
            <w:tcMar>
              <w:left w:w="52" w:type="dxa"/>
            </w:tcMar>
          </w:tcPr>
          <w:p w14:paraId="09604A5B" w14:textId="77777777" w:rsidR="00AF28DB" w:rsidRDefault="00000000">
            <w:pPr>
              <w:shd w:val="clear" w:color="auto" w:fill="FFFFFF"/>
              <w:spacing w:line="240" w:lineRule="auto"/>
              <w:jc w:val="both"/>
              <w:rPr>
                <w:rFonts w:ascii="Times New Roman" w:eastAsia="Times New Roman" w:hAnsi="Times New Roman" w:cs="Times New Roman"/>
              </w:rPr>
            </w:pPr>
            <w:bookmarkStart w:id="22" w:name="_heading=h.c7lllitwjd76" w:colFirst="0" w:colLast="0"/>
            <w:bookmarkEnd w:id="22"/>
            <w:r>
              <w:rPr>
                <w:rFonts w:ascii="Times New Roman" w:eastAsia="Times New Roman" w:hAnsi="Times New Roman" w:cs="Times New Roman"/>
              </w:rPr>
              <w:t xml:space="preserve">Occurram enim necesse est, &amp; velut in vestibulo protinus apprehensuris hanc confessionem meam resistam, iis, qui omissa rerum (qui nerui sunt in causis) </w:t>
            </w:r>
            <w:r>
              <w:rPr>
                <w:rFonts w:ascii="Times New Roman" w:eastAsia="Times New Roman" w:hAnsi="Times New Roman" w:cs="Times New Roman"/>
                <w:u w:val="single"/>
              </w:rPr>
              <w:t>diligentia, quodam inani circa voces studio senescunt : idque faciunt gratia decoris</w:t>
            </w:r>
            <w:r>
              <w:rPr>
                <w:rFonts w:ascii="Times New Roman" w:eastAsia="Times New Roman" w:hAnsi="Times New Roman" w:cs="Times New Roman"/>
              </w:rPr>
              <w:t xml:space="preserve"> : quod est in dicendo, </w:t>
            </w:r>
            <w:r>
              <w:rPr>
                <w:rFonts w:ascii="Times New Roman" w:eastAsia="Times New Roman" w:hAnsi="Times New Roman" w:cs="Times New Roman"/>
                <w:u w:val="single"/>
              </w:rPr>
              <w:t>mea quidem opinione pulcherrimum, sed quum sequitur, non quum affectatur</w:t>
            </w:r>
            <w:r>
              <w:rPr>
                <w:rFonts w:ascii="Times New Roman" w:eastAsia="Times New Roman" w:hAnsi="Times New Roman" w:cs="Times New Roman"/>
              </w:rPr>
              <w:t xml:space="preserve">. […] </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4E113AEE" w14:textId="77777777" w:rsidR="00AF28DB" w:rsidRDefault="00000000">
            <w:pPr>
              <w:shd w:val="clear" w:color="auto" w:fill="FFFFFF"/>
              <w:spacing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 Il me faut en effet aller à l’encontre de ces idées et résister à ceux qui, pour ainsi dire dès l’entrée, voudraient immédiatement se saisir de la déclaration que je viens de faire et qui, négligeant de s’occuper des idées, qui sont les nerfs des procès, </w:t>
            </w:r>
            <w:r>
              <w:rPr>
                <w:rFonts w:ascii="Times New Roman" w:eastAsia="Times New Roman" w:hAnsi="Times New Roman" w:cs="Times New Roman"/>
                <w:u w:val="single"/>
              </w:rPr>
              <w:t>vieillissent dans une sorte de futile recherche des mots, et cela, par souci d’élégance, la plus belle qualité de la parole, à mon sens du moins, mais quand elle suit, non quand elle est affectée</w:t>
            </w:r>
            <w:r>
              <w:rPr>
                <w:rFonts w:ascii="Times New Roman" w:eastAsia="Times New Roman" w:hAnsi="Times New Roman" w:cs="Times New Roman"/>
              </w:rPr>
              <w:t>. […]</w:t>
            </w:r>
          </w:p>
        </w:tc>
      </w:tr>
    </w:tbl>
    <w:p>
      <w:pPr>
        <w:ind w:firstLine="283"/>
      </w:pPr>
      <w:r>
        <w:t xml:space="preserve">Racine souligne ensuite abondamment la condamnation du maniérisme au nom de l’idéal de clarté. Aux pages 401-402, il indique ainsi par un « N » en marge une </w:t>
      </w:r>
      <w:r>
        <w:rPr>
          <w:i/>
        </w:rPr>
        <w:t>sententia</w:t>
      </w:r>
      <w:r>
        <w:t xml:space="preserve"> qu’il souligne : « </w:t>
      </w:r>
      <w:r>
        <w:t>Vim rebus aliquando verborum ipsa humilitas affert</w:t>
      </w:r>
      <w:r>
        <w:t xml:space="preserve"> » (« </w:t>
      </w:r>
      <w:r>
        <w:t>Il est des cas où les idées tirent leur force de la modestie même des mots</w:t>
      </w:r>
      <w:r>
        <w:t xml:space="preserve"> », VIII, 3, 21).</w:t>
      </w:r>
    </w:p>
    <w:p>
      <w:pPr>
        <w:ind w:firstLine="283"/>
      </w:pPr>
      <w:r>
        <w:t xml:space="preserve">Un exemple étranger à la préface fournit le terminus </w:t>
      </w:r>
      <w:r>
        <w:rPr>
          <w:i/>
        </w:rPr>
        <w:t>ab quo</w:t>
      </w:r>
      <w:r>
        <w:t xml:space="preserve"> de ces annotations. Une accolade et un grand « P » majuscule souligné sont portés en face des lignes suivantes :</w:t>
      </w:r>
    </w:p>
    <w:tbl>
      <w:tblPr>
        <w:tblStyle w:val="a5"/>
        <w:tblW w:w="9024" w:type="dxa"/>
        <w:tblInd w:w="45"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205"/>
        <w:gridCol w:w="4819"/>
      </w:tblGrid>
      <w:tr w:rsidR="00AF28DB" w14:paraId="5734D6C8" w14:textId="77777777">
        <w:tc>
          <w:tcPr>
            <w:tcW w:w="4205" w:type="dxa"/>
            <w:tcBorders>
              <w:top w:val="single" w:sz="4" w:space="0" w:color="00000A"/>
              <w:left w:val="single" w:sz="4" w:space="0" w:color="000001"/>
              <w:bottom w:val="single" w:sz="4" w:space="0" w:color="000001"/>
            </w:tcBorders>
            <w:tcMar>
              <w:left w:w="52" w:type="dxa"/>
            </w:tcMar>
          </w:tcPr>
          <w:p w14:paraId="3735E291"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3,</w:t>
            </w:r>
          </w:p>
          <w:p w14:paraId="2941B52F"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400, accolade</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58D0A41D" w14:textId="77777777" w:rsidR="00AF28DB"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3, 14</w:t>
            </w:r>
          </w:p>
        </w:tc>
      </w:tr>
      <w:tr w:rsidR="00AF28DB" w14:paraId="1898B7E2" w14:textId="77777777">
        <w:tc>
          <w:tcPr>
            <w:tcW w:w="4205" w:type="dxa"/>
            <w:tcBorders>
              <w:top w:val="single" w:sz="4" w:space="0" w:color="00000A"/>
              <w:left w:val="single" w:sz="4" w:space="0" w:color="000001"/>
              <w:bottom w:val="single" w:sz="4" w:space="0" w:color="000001"/>
            </w:tcBorders>
            <w:tcMar>
              <w:left w:w="52" w:type="dxa"/>
            </w:tcMar>
          </w:tcPr>
          <w:p w14:paraId="2120A63A" w14:textId="77777777" w:rsidR="00AF28DB" w:rsidRDefault="00000000">
            <w:pPr>
              <w:shd w:val="clear" w:color="auto" w:fill="FFFFFF"/>
              <w:spacing w:line="240" w:lineRule="auto"/>
              <w:jc w:val="both"/>
              <w:rPr>
                <w:rFonts w:ascii="Times New Roman" w:eastAsia="Times New Roman" w:hAnsi="Times New Roman" w:cs="Times New Roman"/>
              </w:rPr>
            </w:pPr>
            <w:r>
              <w:rPr>
                <w:rFonts w:ascii="Times New Roman" w:eastAsia="Times New Roman" w:hAnsi="Times New Roman" w:cs="Times New Roman"/>
              </w:rPr>
              <w:t>At priuatum consilium, causasque paucorum, vt frequenter accidit, calculorum purus sermo, &amp; dissimilis curæ magis decuerit. An non pudeat certam creditam pecuniam periodis postulare ? aut circa stillicidia affici aut in mancipii redhibitione sudare ?</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7C95C44D" w14:textId="77777777" w:rsidR="00AF28DB" w:rsidRDefault="00000000">
            <w:pPr>
              <w:shd w:val="clear" w:color="auto" w:fill="FFFFFF"/>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Mais, dans un conseil privé et des procès relatifs à des opérations peu importantes, comme on en trouve souvent, un langage net et non étudié conviendra mieux. N’aurait-on pas honte de réclamer en un style périodique le remboursement d’un prêt ou de se </w:t>
            </w:r>
            <w:r>
              <w:rPr>
                <w:rFonts w:ascii="Times New Roman" w:eastAsia="Times New Roman" w:hAnsi="Times New Roman" w:cs="Times New Roman"/>
              </w:rPr>
              <w:lastRenderedPageBreak/>
              <w:t>passionner à propos de gouttières ou de suer sang et eau à propos de la rédhibition d’un esclave !</w:t>
            </w:r>
          </w:p>
        </w:tc>
      </w:tr>
    </w:tbl>
    <w:p>
      <w:pPr>
        <w:ind w:firstLine="283"/>
      </w:pPr>
      <w:r>
        <w:t xml:space="preserve">La majuscule ne correspond à aucun un mot-clé du passage, mais au titre de la comédie de Racine : elle renvoie à ces plaidoiries grandiloquentes sur de petits sujets dont il s’est servi pour l’acte III des </w:t>
      </w:r>
      <w:r>
        <w:rPr>
          <w:i/>
        </w:rPr>
        <w:t>Plaideurs</w:t>
      </w:r>
      <w:r>
        <w:t xml:space="preserve">. Par conséquent, le corpus d’annotations à la mine ne peut pas être antérieur à 1669, et ce qui est manifestement plaisir de reconnaissance suggère un moment </w:t>
      </w:r>
      <w:r>
        <w:t>postérieur</w:t>
      </w:r>
      <w:r>
        <w:t xml:space="preserve">. Du reste, ce livre VIII n’étant pas le plus utile à la préface, on ne peut écarter une session de lecture distincte, centrée sur le style et l’atticisme, ce qui amène trois hypothèses : 1) elle a pu servir en 1670 à préparer le discours de réception à l’Académie, non conservé ; 2) elle peut avoir été contemporaine de la préface, puisque ces remarques ne sont pas sans rapport avec les conseils du livre X sur les modèles ; 3) elle peut être relative à la réflexion de Racine sur le style de l’histoire, en 1677. Alors que les annotations du livre VIII ne sont pas forcément liées à la composition de la préface, celles des livres X et VI servent à coup sûr à la préparer, en offrant à Racine plusieurs points d’appui : les </w:t>
      </w:r>
      <w:r>
        <w:t>A</w:t>
      </w:r>
      <w:r>
        <w:t>nciens doivent être lus avec intelligence ; leurs poètes seuls peuvent susciter l’émulation indispensable à cette période du règne ; le pathétique bien amené garantit le succès au théâtre.</w:t>
      </w:r>
    </w:p>
    <w:p>
      <w:pPr>
        <w:ind w:firstLine="283"/>
      </w:pPr>
      <w:r>
        <w:t>En 1741, dans une lettre à son frère, Jean-Baptiste évoque le souvenir de leur père lui répétant souvent les mots de Quintilien sur lesquels se clôt la préface d’</w:t>
      </w:r>
      <w:r>
        <w:rPr>
          <w:i/>
        </w:rPr>
        <w:t>Iphigénie</w:t>
      </w:r>
      <w:r>
        <w:t xml:space="preserve">. Il faut donc bien entendre ce propos comme de « sages paroles » et adopter avec elles une manière de lire les </w:t>
      </w:r>
      <w:r>
        <w:t>A</w:t>
      </w:r>
      <w:r>
        <w:t>nciens sans prévention d’aucune sorte. Mais dans la préface d’</w:t>
      </w:r>
      <w:r>
        <w:rPr>
          <w:i/>
        </w:rPr>
        <w:t>Iphigénie</w:t>
      </w:r>
      <w:r>
        <w:t xml:space="preserve">, Racine défend deux principes empreints d’une souplesse ennemie de ce dogmatisme que pouvait entraîner l’admiration des </w:t>
      </w:r>
      <w:r>
        <w:t>A</w:t>
      </w:r>
      <w:r>
        <w:t xml:space="preserve">nciens. D’une part, il définit une poétique fondée sur la liberté de sélection des variantes mythologiques et faisant de l’imitation tout autre chose qu’un asservissement à des modèles inégalables. D’autre part, il promeut avec Quintilien une réception intelligente des </w:t>
      </w:r>
      <w:r>
        <w:t>A</w:t>
      </w:r>
      <w:r>
        <w:t xml:space="preserve">nciens, qui demandent une circonspection dans le jugement, et donc une fréquentation régulière. Racine affiche sa propre pratique des meilleures éditions humanistes. Les annotations du Quintilien et du Sophocle commenté par Camerarius lui ont permis de fonder son argumentaire. </w:t>
      </w:r>
    </w:p>
    <w:p>
      <w:pPr>
        <w:ind w:firstLine="283"/>
      </w:pPr>
      <w:r>
        <w:t>Il reste à conclure cette génétique</w:t>
      </w:r>
      <w:r>
        <w:rPr>
          <w:i/>
        </w:rPr>
        <w:t xml:space="preserve"> </w:t>
      </w:r>
      <w:r>
        <w:t xml:space="preserve">à grands traits du paratexte donnée en revenant à l’idée que la citation avait pu servir de signe d’intelligence. Racine connaissait Lamoignon et Rapin dès avant les </w:t>
      </w:r>
      <w:r>
        <w:rPr>
          <w:i/>
        </w:rPr>
        <w:t>Plaideurs</w:t>
      </w:r>
      <w:r>
        <w:t xml:space="preserve">. En 2007, sans avoir en main tous les éléments aujourd’hui à notre disposition, nous avions rapproché l’esthétique singulière de </w:t>
      </w:r>
      <w:r>
        <w:rPr>
          <w:i/>
        </w:rPr>
        <w:t xml:space="preserve">Bérénice </w:t>
      </w:r>
      <w:r>
        <w:t xml:space="preserve">de la </w:t>
      </w:r>
      <w:r>
        <w:rPr>
          <w:i/>
        </w:rPr>
        <w:t>Comparaison de Démosthène et de Cicéron</w:t>
      </w:r>
      <w:r>
        <w:t xml:space="preserve">. L’idéal du discours selon le jésuite ne consistait-il pas dans une « simplicité soutenue d’un grand sens, et de quelque </w:t>
      </w:r>
      <w:r>
        <w:t>air de majesté</w:t>
      </w:r>
      <w:r>
        <w:rPr>
          <w:rStyle w:val="Appelnotedebasdep"/>
        </w:rPr>
        <w:footnoteReference w:id="103"/>
      </w:r>
      <w:r>
        <w:t xml:space="preserve"> » qui visait chez Cicéron à plaire et à toucher</w:t>
      </w:r>
      <w:r>
        <w:rPr>
          <w:rStyle w:val="Appelnotedebasdep"/>
        </w:rPr>
        <w:footnoteReference w:id="104"/>
      </w:r>
      <w:r>
        <w:t xml:space="preserve"> ? Or il semble bien que ce ne soit pas là autre chose qu’une manière indirecte de louer l’éloquence du premier président. Il faut par conséquent reconsidérer l’hypothèse privilégiée depuis longtemps sur la datation de la lettre de Racine à Bouhours, qui accompagne l’envoi d’une tragédie sans permettre de l’identifier</w:t>
      </w:r>
      <w:r>
        <w:rPr>
          <w:rStyle w:val="Appelnotedebasdep"/>
        </w:rPr>
        <w:footnoteReference w:id="105"/>
      </w:r>
      <w:r>
        <w:t xml:space="preserve">. Depuis Paul Mesnard, on admet avec prudence qu’elle serait postérieure aux </w:t>
      </w:r>
      <w:r>
        <w:rPr>
          <w:i/>
        </w:rPr>
        <w:t>Réflexions sur la poétique</w:t>
      </w:r>
      <w:r>
        <w:t xml:space="preserve">, imprimées en novembre 1673, et aux </w:t>
      </w:r>
      <w:r>
        <w:rPr>
          <w:i/>
        </w:rPr>
        <w:t>Doutes sur la langue française</w:t>
      </w:r>
      <w:r>
        <w:t xml:space="preserve"> de Bouhours, registrés en février 1674, parce que Racine se réfère à eux comme à deux autorités en matière de poétique et de langue. On ne s’est guère avisé que Racine n’avait pas besoin d’attendre la parution de ces ouvrages, et que l’enjeu de la création à Versailles d’</w:t>
      </w:r>
      <w:r>
        <w:rPr>
          <w:i/>
        </w:rPr>
        <w:t>Iphigénie</w:t>
      </w:r>
      <w:r>
        <w:t xml:space="preserve">, le 18 août 1674, ne valait certainement pas moins à ses yeux que celui de </w:t>
      </w:r>
      <w:r>
        <w:rPr>
          <w:i/>
        </w:rPr>
        <w:t>Phèdre</w:t>
      </w:r>
      <w:r>
        <w:rPr>
          <w:rStyle w:val="Appelnotedebasdep"/>
        </w:rPr>
        <w:footnoteReference w:id="106"/>
      </w:r>
      <w:r>
        <w:t xml:space="preserve">. Il faut admettre, </w:t>
      </w:r>
      <w:r>
        <w:rPr>
          <w:i/>
        </w:rPr>
        <w:t>circumspecto judicio</w:t>
      </w:r>
      <w:r>
        <w:t xml:space="preserve">, qu’il peut s’agir de l’une ou </w:t>
      </w:r>
      <w:r>
        <w:t xml:space="preserve">de </w:t>
      </w:r>
      <w:r>
        <w:t>l’autre. Construite à partir d’un argument partagé, la préface d’</w:t>
      </w:r>
      <w:r>
        <w:rPr>
          <w:i/>
        </w:rPr>
        <w:t>Iphigénie</w:t>
      </w:r>
      <w:r>
        <w:t xml:space="preserve"> apporte du moins à elle seule la preuve d’un resserrement des liens entre partisans des </w:t>
      </w:r>
      <w:r>
        <w:t>A</w:t>
      </w:r>
      <w:r>
        <w:t xml:space="preserve">nciens. Elle est bien </w:t>
      </w:r>
      <w:r>
        <w:rPr>
          <w:i/>
        </w:rPr>
        <w:t>en effet</w:t>
      </w:r>
      <w:r>
        <w:t xml:space="preserve"> une seconde chambre du sublime.</w:t>
      </w:r>
    </w:p>
    <w:p>
      <w:r>
        <w:br w:type="page"/>
      </w:r>
    </w:p>
    <w:p>
      <w:pPr>
        <w:pStyle w:val="Titre2"/>
      </w:pPr>
      <w:r>
        <w:rPr>
          <w:i/>
          <w:sz w:val="28"/>
        </w:rPr>
        <w:t>Iphigénie</w:t>
      </w:r>
      <w:r>
        <w:rPr>
          <w:sz w:val="28"/>
        </w:rPr>
        <w:t>, ou la poursuite du vent</w:t>
      </w:r>
    </w:p>
    <w:p>
      <w:pPr>
        <w:ind w:firstLine="283"/>
      </w:pPr>
      <w:r>
        <w:t xml:space="preserve">« J’ai vu tout ce qui se fait sous le soleil ; </w:t>
      </w:r>
    </w:p>
    <w:p>
      <w:pPr>
        <w:ind w:firstLine="283"/>
      </w:pPr>
      <w:r>
        <w:t>et voici, tout est vanité et poursuite du vent. »</w:t>
      </w:r>
      <w:r>
        <w:t xml:space="preserve"> (Qo 1, 14)</w:t>
      </w:r>
    </w:p>
    <w:p>
      <w:pPr>
        <w:ind w:firstLine="283"/>
      </w:pPr>
      <w:r>
        <w:t xml:space="preserve">Pour partisanes qu’elles soient, les </w:t>
      </w:r>
      <w:r>
        <w:rPr>
          <w:i/>
        </w:rPr>
        <w:t>Remarques sur l’Iphigénie de Mr. Racine</w:t>
      </w:r>
      <w:r>
        <w:t>, n’en présentent pas moins d’intéressantes réflexions qui, selon Georges Forestier, « révèlent comment on lisait une pièce de théâtre au XVII</w:t>
      </w:r>
      <w:r>
        <w:rPr>
          <w:vertAlign w:val="superscript"/>
        </w:rPr>
        <w:t>e</w:t>
      </w:r>
      <w:r>
        <w:t xml:space="preserve"> siècle</w:t>
      </w:r>
      <w:r>
        <w:rPr>
          <w:rStyle w:val="Appelnotedebasdep"/>
        </w:rPr>
        <w:footnoteReference w:id="107"/>
      </w:r>
      <w:r>
        <w:t xml:space="preserve"> ». L’une de ces « remarques judicieuses » est le rapprochement proposé entre le sujet d’</w:t>
      </w:r>
      <w:r>
        <w:rPr>
          <w:i/>
        </w:rPr>
        <w:t xml:space="preserve">Iphigénie </w:t>
      </w:r>
      <w:r>
        <w:t>et celui de l’</w:t>
      </w:r>
      <w:r>
        <w:rPr>
          <w:i/>
        </w:rPr>
        <w:t>Andromède</w:t>
      </w:r>
      <w:r>
        <w:t xml:space="preserve"> de Corneille, qui toutes deux racontent le sacrifice d’une jeune fille. Mais, sous la plume prévenue du critique anonyme, le parallèle sert surtout à découvrir les fautes commises par Racine. Celui-ci a beau faire valoir son souci de la vraisemblance dans le remaniement qu’il a fait subir aux données du mythe avec l’invention d’Ériphile, il se voit accusé d’avoir manqué à cet impératif et ce par le seul choix de son sujet : comment un père aimant peut-il accepter de sacrifier son enfant ? Chez Corneille, « le Dieu veut qu’elle périsse, ses parents ne peuvent l’empêcher ; mais ils ne deviennent pas ses bourreaux, comme Agamemnon l’est de sa fille » ; enfin « tout y est fondé</w:t>
      </w:r>
      <w:r>
        <w:rPr>
          <w:rStyle w:val="Appelnotedebasdep"/>
        </w:rPr>
        <w:footnoteReference w:id="108"/>
      </w:r>
      <w:r>
        <w:t xml:space="preserve"> » – tandis que dans la pièce de Racine, l’invraisemblance se mesure à la disproportion entre l’objet sacrifié – la vertueuse Iphigénie – et l’objet poursuivi à travers le sacrifice : « il ne s’agit que d’obtenir du vent</w:t>
      </w:r>
      <w:r>
        <w:rPr>
          <w:rStyle w:val="Appelnotedebasdep"/>
        </w:rPr>
        <w:footnoteReference w:id="109"/>
      </w:r>
      <w:r>
        <w:t xml:space="preserve"> ». L’auteur des </w:t>
      </w:r>
      <w:r>
        <w:rPr>
          <w:i/>
        </w:rPr>
        <w:t xml:space="preserve">Remarques </w:t>
      </w:r>
      <w:r>
        <w:t>reformule ainsi l’argument de la pièce – ou « question primordiale</w:t>
      </w:r>
      <w:r>
        <w:rPr>
          <w:rStyle w:val="Appelnotedebasdep"/>
        </w:rPr>
        <w:footnoteReference w:id="110"/>
      </w:r>
      <w:r>
        <w:t xml:space="preserve"> » : </w:t>
      </w:r>
      <w:r>
        <w:rPr>
          <w:i/>
        </w:rPr>
        <w:t>Agamemnon doit-il sacrifier Iphigénie pour du vent ?</w:t>
      </w:r>
      <w:r>
        <w:t xml:space="preserve"> L’ironie se devine, qui non seulement occulte la fin glorieuse – la victoire sur Troie – au profit de l’obstacle à lever – le silence des éléments –, mais qui autorise en outre par le choix du partitif singulier « du vent », à la place du pluriel utilisé par l’oracle (« Pour obtenir les vents que le Ciel vous dénie », v. 61), une acception figurée du terme où s’entend comme une sourde contestation de l’entreprise des Grecs. En effet, explique Furetière, </w:t>
      </w:r>
    </w:p>
    <w:p>
      <w:pPr>
        <w:pStyle w:val="TEIquote"/>
        <w:spacing w:line="240" w:lineRule="auto"/>
        <w:ind w:left="397"/>
        <w:jc w:val="both"/>
      </w:pPr>
      <w:r>
        <w:rPr>
          <w:sz w:val="22"/>
        </w:rPr>
        <w:t>Vent signifie aussi une chose petite et légère. Vivre de vent, c’est-à-dire, presque de rien. Se repaître de vent, de chimères. La gloire de ce monde n’est que du vent. Il croyait gagner beaucoup en cette affaire, mais il n’en retirera que du vent. […] En ce sens il signifie figurément, vanité, orgueil. Cet homme a bien du vent dans la tête</w:t>
      </w:r>
      <w:r>
        <w:rPr>
          <w:rStyle w:val="Appelnotedebasdep"/>
        </w:rPr>
        <w:footnoteReference w:id="111"/>
      </w:r>
      <w:r>
        <w:rPr>
          <w:sz w:val="22"/>
        </w:rPr>
        <w:t>.</w:t>
      </w:r>
    </w:p>
    <w:p>
      <w:pPr>
        <w:pStyle w:val="TEIparagraphconsecutive"/>
      </w:pPr>
      <w:r>
        <w:t xml:space="preserve">L’auteur des </w:t>
      </w:r>
      <w:r>
        <w:rPr>
          <w:i/>
        </w:rPr>
        <w:t>Remarques</w:t>
      </w:r>
      <w:r>
        <w:t xml:space="preserve"> cédait-il ainsi au plaisir d’un bon mot, ou réagissait-il à une suggestion de la tragédie ? Se pourrait-il que, derrière le sens littéral imposé par le mythe – ces vents favorables qui doivent conduire la flotte grecque jusqu’à Troie –, une lecture ironique du motif soit encouragée par Racine ? On sait qu’à Port-Royal les élèves apprenaient à lire les textes de l’</w:t>
      </w:r>
      <w:r>
        <w:t>A</w:t>
      </w:r>
      <w:r>
        <w:t xml:space="preserve">ntiquité profane en y recherchant des images de vérités morales et chrétiennes obscurément formulées, et que Racine avait </w:t>
      </w:r>
      <w:r>
        <w:t xml:space="preserve">conservé l’habitude de cette lecture figurative ; en témoigne, dans ses </w:t>
      </w:r>
      <w:r>
        <w:rPr>
          <w:i/>
        </w:rPr>
        <w:t>Remarques</w:t>
      </w:r>
      <w:r>
        <w:t xml:space="preserve"> </w:t>
      </w:r>
      <w:r>
        <w:rPr>
          <w:i/>
        </w:rPr>
        <w:t>sur</w:t>
      </w:r>
      <w:r>
        <w:t xml:space="preserve"> </w:t>
      </w:r>
      <w:r>
        <w:rPr>
          <w:i/>
        </w:rPr>
        <w:t>l’Odyssée</w:t>
      </w:r>
      <w:r>
        <w:t xml:space="preserve"> rédigées à Uzès, une note sur le passage du chant X où les compagnons d’Ulysse, sur le point d’arriver à Ithaque, ouvrent l’outre des vents dans l’espoir d’y trouver de l’or, provoquant aussitôt une nouvelle tempête : « ce passage », écrit Racine, « se peut appliquer aux mauvais chrétiens, à qui Dieu donne des </w:t>
      </w:r>
      <w:r>
        <w:rPr>
          <w:i/>
        </w:rPr>
        <w:t>grâces</w:t>
      </w:r>
      <w:r>
        <w:t xml:space="preserve"> pour les conduire au salut ; mais ils périssent par leurs propres fautes</w:t>
      </w:r>
      <w:r>
        <w:rPr>
          <w:rStyle w:val="Appelnotedebasdep"/>
        </w:rPr>
        <w:footnoteReference w:id="112"/>
      </w:r>
      <w:r>
        <w:t xml:space="preserve"> ». </w:t>
      </w:r>
    </w:p>
    <w:p>
      <w:pPr>
        <w:ind w:firstLine="283"/>
      </w:pPr>
      <w:r>
        <w:t>Se pourrait-il que la tragédie de Racine</w:t>
      </w:r>
      <w:r>
        <w:rPr>
          <w:i/>
        </w:rPr>
        <w:t xml:space="preserve"> </w:t>
      </w:r>
      <w:r>
        <w:t>appelât au même type de lecture allégorique ? Si le choix du sujet d’</w:t>
      </w:r>
      <w:r>
        <w:rPr>
          <w:i/>
        </w:rPr>
        <w:t>Iphigénie</w:t>
      </w:r>
      <w:r>
        <w:t xml:space="preserve"> s’explique d’abord par la volonté de répliquer à l’</w:t>
      </w:r>
      <w:r>
        <w:rPr>
          <w:i/>
        </w:rPr>
        <w:t>Alceste</w:t>
      </w:r>
      <w:r>
        <w:t xml:space="preserve"> de Lully et Quinault en s’inspirant d’une pièce d’Euripide dont l’héroïne marche de même de son plein gré au sacrifice, la quête des vents n’offrait-elle pas au dramaturge la matière poétique d’une critique des passions et des conduites humaines ? Ne trouvait-elle pas, dans la culture biblique, et augustinienne, de Racine, de troublants échos ? Sans aller jusqu’à affirmer qu’il pourrait y avoir là une raison de préférer le sujet d’</w:t>
      </w:r>
      <w:r>
        <w:rPr>
          <w:i/>
        </w:rPr>
        <w:t xml:space="preserve">Iphigénie à Aulis </w:t>
      </w:r>
      <w:r>
        <w:t>à celui d’</w:t>
      </w:r>
      <w:r>
        <w:rPr>
          <w:i/>
        </w:rPr>
        <w:t>Iphigénie en Tauride</w:t>
      </w:r>
      <w:r>
        <w:t xml:space="preserve"> auquel il avait d’abord songé, on voudrait montrer comment le motif du vent désiré, recherché à tout prix, au prix même de la vie humaine la plus chère, a pu séduire l’ancien élève de Port-Royal</w:t>
      </w:r>
      <w:r>
        <w:rPr>
          <w:rStyle w:val="Appelnotedebasdep"/>
        </w:rPr>
        <w:footnoteReference w:id="113"/>
      </w:r>
      <w:r>
        <w:t xml:space="preserve">, et que le critique prévenu des </w:t>
      </w:r>
      <w:r>
        <w:rPr>
          <w:i/>
        </w:rPr>
        <w:t>Remarques</w:t>
      </w:r>
      <w:r>
        <w:t xml:space="preserve"> pourrait bien dissimuler un lecteur sagace. </w:t>
      </w:r>
    </w:p>
    <w:p>
      <w:pPr>
        <w:pStyle w:val="Titre2"/>
      </w:pPr>
      <w:r>
        <w:rPr>
          <w:b/>
          <w:sz w:val="28"/>
        </w:rPr>
        <w:t xml:space="preserve">« Un vent de vaine gloire » </w:t>
      </w:r>
    </w:p>
    <w:p>
      <w:pPr>
        <w:ind w:firstLine="283"/>
      </w:pPr>
      <w:r>
        <w:t xml:space="preserve">Dès la scène d’exposition, le spectateur se voit discrètement encouragé à une interprétation métaphorique de ces </w:t>
      </w:r>
      <w:r>
        <w:rPr>
          <w:i/>
        </w:rPr>
        <w:t>vents</w:t>
      </w:r>
      <w:r>
        <w:t xml:space="preserve"> qui soudain ont fait défaut à l’armée grecque :</w:t>
      </w:r>
    </w:p>
    <w:p>
      <w:pPr>
        <w:pStyle w:val="TEIverse"/>
        <w:spacing w:line="240" w:lineRule="auto"/>
        <w:ind w:left="397"/>
        <w:jc w:val="left"/>
      </w:pPr>
      <w:r>
        <w:rPr>
          <w:sz w:val="22"/>
        </w:rPr>
        <w:t>Tu te souviens du jour qu’en Aulide assemblés</w:t>
      </w:r>
      <w:r>
        <w:br/>
      </w:r>
      <w:r>
        <w:rPr>
          <w:sz w:val="22"/>
        </w:rPr>
        <w:t>Nos vaisseaux par les vents semblaient être appelés.</w:t>
      </w:r>
      <w:r>
        <w:br/>
      </w:r>
      <w:r>
        <w:rPr>
          <w:sz w:val="22"/>
        </w:rPr>
        <w:t>Nous partions ; et déjà par mille cris de joie</w:t>
      </w:r>
      <w:r>
        <w:br/>
      </w:r>
      <w:r>
        <w:rPr>
          <w:sz w:val="22"/>
        </w:rPr>
        <w:t>Nous menacions de loin les Rivages de Troie :</w:t>
      </w:r>
      <w:r>
        <w:br/>
      </w:r>
      <w:r>
        <w:rPr>
          <w:sz w:val="22"/>
        </w:rPr>
        <w:t>Un prodige étonnant fit taire ce transport :</w:t>
      </w:r>
      <w:r>
        <w:br/>
      </w:r>
      <w:r>
        <w:rPr>
          <w:sz w:val="22"/>
        </w:rPr>
        <w:t>Le vent qui nous flattait nous laissa dans le Port. (v. 43-48)</w:t>
      </w:r>
    </w:p>
    <w:p>
      <w:pPr>
        <w:pStyle w:val="TEIparagraphconsecutive"/>
      </w:pPr>
      <w:r>
        <w:t xml:space="preserve">Par deux fois, les Grecs sont montrés les victimes d’une puissance trompeuse. Le vent, d’abord assimilé à une voix traîtresse dont la flotte grecque entend l’appel, se confond avec une sirène au chant trompeur ; puis de nouveau, au dernier vers, à travers la syllepse sur le verbe </w:t>
      </w:r>
      <w:r>
        <w:rPr>
          <w:i/>
        </w:rPr>
        <w:t xml:space="preserve">flatter, </w:t>
      </w:r>
      <w:r>
        <w:t xml:space="preserve">qu’il est possible d’entendre à la fois en un sens matériel, usuel en contexte maritime – </w:t>
      </w:r>
      <w:r>
        <w:rPr>
          <w:i/>
        </w:rPr>
        <w:t>le vent flattait les voiles des Grecs</w:t>
      </w:r>
      <w:r>
        <w:t xml:space="preserve"> –, et en un sens figuré, qui en fait un synonyme de </w:t>
      </w:r>
      <w:r>
        <w:rPr>
          <w:i/>
        </w:rPr>
        <w:t xml:space="preserve">tromper </w:t>
      </w:r>
      <w:r>
        <w:t>–</w:t>
      </w:r>
      <w:r>
        <w:rPr>
          <w:i/>
        </w:rPr>
        <w:t xml:space="preserve"> le vent flattait les esprits des Grecs</w:t>
      </w:r>
      <w:r>
        <w:t xml:space="preserve"> –, il n’est de nouveau qu’une séduisante illusion, un mirage. À l’image de l’élan patriotique qui anime ici l’armée grecque ? </w:t>
      </w:r>
      <w:r>
        <w:t xml:space="preserve">Car </w:t>
      </w:r>
      <w:r>
        <w:t xml:space="preserve">dans cette joie qui les transporte, le dramaturge fait voir un effet de la distance : seul l’éloignement permet aux Grecs de se réjouir dans l’ignorance de ce qui les attend comme le suggère l’écho des deux compléments bisyllabiques « de joie » et « de loin ». Mais l’immobilisation à Aulis ne va pas tarder à révéler ce que cette ardeur patriotique cache en outre d’intérêts individuels et de rivalités rentrées entre les chefs de l’armée grecque. Sous le noble projet </w:t>
      </w:r>
      <w:r>
        <w:t xml:space="preserve">de la victoire collective sur Troie, chacun des protagonistes n’entend-il pas servir une ambition personnelle ? Agamemnon ne cache pas comment l’ingénieux Ulysse a su lui arracher son consentement au sacrifice : </w:t>
      </w:r>
    </w:p>
    <w:p>
      <w:pPr>
        <w:ind w:firstLine="283"/>
      </w:pPr>
      <w:r>
        <w:t>Il me représenta l’honneur et la Patrie,</w:t>
      </w:r>
    </w:p>
    <w:p>
      <w:pPr>
        <w:ind w:firstLine="283"/>
      </w:pPr>
      <w:r>
        <w:t>Tout ce Peuple, ces Rois à mes ordres soumis,</w:t>
      </w:r>
    </w:p>
    <w:p>
      <w:pPr>
        <w:ind w:firstLine="283"/>
      </w:pPr>
      <w:r>
        <w:t>Et l’Empire d’Asie à la Grèce promis. […]</w:t>
      </w:r>
    </w:p>
    <w:p>
      <w:pPr>
        <w:ind w:firstLine="283"/>
      </w:pPr>
      <w:r>
        <w:t>Moi-même (je l’avoue avec quelque pudeur)</w:t>
      </w:r>
    </w:p>
    <w:p>
      <w:pPr>
        <w:ind w:firstLine="283"/>
      </w:pPr>
      <w:r>
        <w:t>Charmé de mon pouvoir, et plein de ma grandeur,</w:t>
      </w:r>
    </w:p>
    <w:p>
      <w:pPr>
        <w:ind w:firstLine="283"/>
      </w:pPr>
      <w:r>
        <w:t xml:space="preserve">Ces noms de Roi des Rois, et de Chef de la Grèce, </w:t>
      </w:r>
    </w:p>
    <w:p>
      <w:pPr>
        <w:pStyle w:val="TEIverse"/>
        <w:spacing w:line="240" w:lineRule="auto"/>
        <w:ind w:left="397"/>
        <w:jc w:val="left"/>
      </w:pPr>
      <w:r>
        <w:rPr>
          <w:sz w:val="22"/>
        </w:rPr>
        <w:t>Chatouillaient de mon cœur l’orgueilleuse faiblesse. (v. 79-82)</w:t>
      </w:r>
    </w:p>
    <w:p>
      <w:pPr>
        <w:pStyle w:val="TEIparagraphconsecutive"/>
      </w:pPr>
      <w:r>
        <w:t>Si le verbe « chatouiller » ne peut manquer de surprendre dans une tragédie en raison de son sens corporel</w:t>
      </w:r>
      <w:r>
        <w:rPr>
          <w:i/>
        </w:rPr>
        <w:t xml:space="preserve"> </w:t>
      </w:r>
      <w:r>
        <w:t xml:space="preserve">et de son lien avec le rire, Sabine Gruffat a déjà fait remarquer qu’il appartient au vocabulaire de la tentation et qu’il est d’ailleurs ainsi employé par Pascal pour évoquer l’action de la </w:t>
      </w:r>
      <w:r>
        <w:rPr>
          <w:i/>
        </w:rPr>
        <w:t>delectatio</w:t>
      </w:r>
      <w:r>
        <w:t>, associé comme ici au verbe « charmer</w:t>
      </w:r>
      <w:r>
        <w:rPr>
          <w:rStyle w:val="Appelnotedebasdep"/>
        </w:rPr>
        <w:footnoteReference w:id="114"/>
      </w:r>
      <w:r>
        <w:t xml:space="preserve"> ». Il appartient également à la constellation lexicale du vent : ainsi dit-on que « ce vent picote quelquefois, ou chatouille</w:t>
      </w:r>
      <w:r>
        <w:rPr>
          <w:rStyle w:val="Appelnotedebasdep"/>
        </w:rPr>
        <w:footnoteReference w:id="115"/>
      </w:r>
      <w:r>
        <w:t xml:space="preserve"> ». Ce chatouillement qui incline la volonté d’Agamemnon à consentir au sacrifice fait naître une image, celle du « vent d’ambition », ou « vent de la vaine gloire ». L’image est topique au XVII</w:t>
      </w:r>
      <w:r>
        <w:rPr>
          <w:vertAlign w:val="superscript"/>
        </w:rPr>
        <w:t>e</w:t>
      </w:r>
      <w:r>
        <w:t xml:space="preserve"> siècle, mais il n’est peut-être pas indifférent qu’elle se rencontre dans </w:t>
      </w:r>
      <w:r>
        <w:rPr>
          <w:i/>
        </w:rPr>
        <w:t>La Cité de Dieu</w:t>
      </w:r>
      <w:r>
        <w:t xml:space="preserve">, dans un chapitre où Augustin dénonce chez les Romains ce même désir de domination que confesse ici Agamemnon : </w:t>
      </w:r>
    </w:p>
    <w:p>
      <w:pPr>
        <w:pStyle w:val="TEIquote"/>
        <w:spacing w:line="240" w:lineRule="auto"/>
        <w:ind w:left="397"/>
        <w:jc w:val="both"/>
      </w:pPr>
      <w:r>
        <w:rPr>
          <w:sz w:val="22"/>
        </w:rPr>
        <w:t>on ne peut s’imaginer de félicité parmi les hommes qui se trouvent dans un engagement continuel de troubles et de guerres ; qui se nourrissent dans le carnage et dans le sang, ou des citoyens ou des ennemis […] ; ne souffrons pas qu’un vent de vaine gloire nous enfle le cœur, et ne nous remplissons pas l’esprit de ces termes pompeux qui font tant de bruit et qui représentent les choses autres qu’elles ne sont ; ces mots de peuples, de Royaume et de province frappent les sens, mais ne nous y arrêtons pas.</w:t>
      </w:r>
      <w:r>
        <w:rPr>
          <w:sz w:val="22"/>
          <w:vertAlign w:val="superscript"/>
        </w:rPr>
        <w:t xml:space="preserve"> </w:t>
      </w:r>
      <w:r>
        <w:rPr>
          <w:rStyle w:val="Appelnotedebasdep"/>
        </w:rPr>
        <w:footnoteReference w:id="116"/>
      </w:r>
    </w:p>
    <w:p>
      <w:pPr>
        <w:pStyle w:val="TEIparagraphconsecutive"/>
      </w:pPr>
      <w:r>
        <w:t xml:space="preserve">Agamemnon, lui, s’y est arrêté. Lui-même confesse le pouvoir de séduction de ces mots – « Roi des Rois », « Chef de la Grèce » – par lesquels Ulysse est venu </w:t>
      </w:r>
      <w:r>
        <w:rPr>
          <w:i/>
        </w:rPr>
        <w:t>flatter</w:t>
      </w:r>
      <w:r>
        <w:t xml:space="preserve"> son orgueil. Plutôt que comme une victime de la fonction royale</w:t>
      </w:r>
      <w:r>
        <w:rPr>
          <w:rStyle w:val="Appelnotedebasdep"/>
        </w:rPr>
        <w:footnoteReference w:id="117"/>
      </w:r>
      <w:r>
        <w:t xml:space="preserve">, le père d’Iphigénie apparaît comme un être intéressé, avide de pouvoir et de gloire, de cette gloire dont les moralistes augustiniens – La Rochefoucauld, Nicole, Esprit – ont montré ce qu’elle dissimulait d’amour de soi, de </w:t>
      </w:r>
      <w:r>
        <w:rPr>
          <w:i/>
        </w:rPr>
        <w:t>libido dominandi</w:t>
      </w:r>
      <w:r>
        <w:t xml:space="preserve">. L’auteur des </w:t>
      </w:r>
      <w:r>
        <w:rPr>
          <w:i/>
        </w:rPr>
        <w:t>Remarques</w:t>
      </w:r>
      <w:r>
        <w:t xml:space="preserve"> voit ainsi en Agamemnon un père qui immole sa fille à son propre intérêt plutôt qu’à sa patrie (« Mais ce n’est pas pour la patrie qu’Agamemnon veut immoler Iphigénie ; la Religion et la </w:t>
      </w:r>
      <w:r>
        <w:t>gloire sont les couleurs que M. Racine donne à cette résolution terrible</w:t>
      </w:r>
      <w:r>
        <w:rPr>
          <w:rStyle w:val="Appelnotedebasdep"/>
        </w:rPr>
        <w:footnoteReference w:id="118"/>
      </w:r>
      <w:r>
        <w:t>. »), et significativement préfère au mot même de « gloire » celui d’« ambition</w:t>
      </w:r>
      <w:r>
        <w:rPr>
          <w:rStyle w:val="Appelnotedebasdep"/>
        </w:rPr>
        <w:footnoteReference w:id="119"/>
      </w:r>
      <w:r>
        <w:t xml:space="preserve"> ». </w:t>
      </w:r>
    </w:p>
    <w:p>
      <w:pPr>
        <w:ind w:firstLine="283"/>
      </w:pPr>
      <w:r>
        <w:t xml:space="preserve">De telles rencontres, thématiques et lexicales, alimentent une interprétation métaphorique et morale de ces </w:t>
      </w:r>
      <w:r>
        <w:rPr>
          <w:i/>
        </w:rPr>
        <w:t>vents</w:t>
      </w:r>
      <w:r>
        <w:t xml:space="preserve"> que poursuit désormais Agamemnon, et les Grecs avec lui, et invitent à y reconn</w:t>
      </w:r>
      <w:r>
        <w:t>aîtr</w:t>
      </w:r>
      <w:r>
        <w:t>e une image de « la vaine gloire » à laquelle tous sacrifient</w:t>
      </w:r>
      <w:r>
        <w:rPr>
          <w:rStyle w:val="Appelnotedebasdep"/>
        </w:rPr>
        <w:footnoteReference w:id="120"/>
      </w:r>
      <w:r>
        <w:t>. C’est aussi, on s’en souvient, l’accusation que Clytemnestre porte contre Agamemnon :</w:t>
      </w:r>
    </w:p>
    <w:p>
      <w:pPr>
        <w:pStyle w:val="TEIverse"/>
        <w:spacing w:line="240" w:lineRule="auto"/>
        <w:ind w:left="397"/>
        <w:jc w:val="left"/>
      </w:pPr>
      <w:r>
        <w:rPr>
          <w:sz w:val="22"/>
        </w:rPr>
        <w:t>Mais non, l’amour d’un Frère, et son honneur blessé</w:t>
      </w:r>
      <w:r>
        <w:br/>
      </w:r>
      <w:r>
        <w:rPr>
          <w:sz w:val="22"/>
        </w:rPr>
        <w:t>Sont les moindres des soins, dont vous êtes pressé.</w:t>
      </w:r>
      <w:r>
        <w:br/>
      </w:r>
      <w:r>
        <w:rPr>
          <w:sz w:val="22"/>
        </w:rPr>
        <w:t>Cette soif de régner, que rien ne peut éteindre,</w:t>
      </w:r>
      <w:r>
        <w:br/>
      </w:r>
      <w:r>
        <w:rPr>
          <w:sz w:val="22"/>
        </w:rPr>
        <w:t>L’orgueil de voir vingt Rois vous servir et vous craindre,</w:t>
      </w:r>
      <w:r>
        <w:br/>
      </w:r>
      <w:r>
        <w:rPr>
          <w:sz w:val="22"/>
        </w:rPr>
        <w:t>Tous les droits de l’Empire en vos mains confiés,</w:t>
      </w:r>
      <w:r>
        <w:br/>
      </w:r>
      <w:r>
        <w:rPr>
          <w:sz w:val="22"/>
        </w:rPr>
        <w:t>Cruel, c’est à ces Dieux que vous sacrifiez. (v. 1287-1292)</w:t>
      </w:r>
    </w:p>
    <w:p>
      <w:pPr>
        <w:pStyle w:val="TEIparagraphconsecutive"/>
      </w:pPr>
      <w:r>
        <w:t xml:space="preserve">Le consentement d’Agamemnon au sacrifice de sa fille est aux yeux mêmes de Clytemnestre un geste intéressé, entièrement déterminé par une </w:t>
      </w:r>
      <w:r>
        <w:rPr>
          <w:i/>
        </w:rPr>
        <w:t>libido dominandi</w:t>
      </w:r>
      <w:r>
        <w:t xml:space="preserve"> dont le dernier vers dénonce la nature idolâtrique. Mais dans son combat en faveur de sa fille, la superbe Clytemnestre se montre-t-elle plus désintéressée ? Est-elle mue par l’amour maternel, ou par l’orgueil que flatte en elle le projet de marier Iphigénie avec le « Fils d’une Déesse » (v. 642) ? « Le fils de Thétis va m’appeler sa Mère » (v. 806), se réjouit-elle. Iphigénie est le moyen que s’est choisi et forgé Clytemnestre pour satisfaire son </w:t>
      </w:r>
      <w:r>
        <w:rPr>
          <w:i/>
        </w:rPr>
        <w:t>hubris</w:t>
      </w:r>
      <w:r>
        <w:t xml:space="preserve"> et rivaliser avec la divinité. Comme pour accuser l’effet de miroir entre les deux époux, Racine leur fait prononcer un même hémistiche – « et plein de ma grandeur » (v. 80 et v. 807) –, dont le caractère moralement problématique est explicité par Furetière : « </w:t>
      </w:r>
      <w:r>
        <w:rPr>
          <w:i/>
        </w:rPr>
        <w:t>ce prince est plein de sa grandeur</w:t>
      </w:r>
      <w:r>
        <w:t>, il est entêté de son pouvoir</w:t>
      </w:r>
      <w:r>
        <w:rPr>
          <w:rStyle w:val="Appelnotedebasdep"/>
        </w:rPr>
        <w:footnoteReference w:id="121"/>
      </w:r>
      <w:r>
        <w:t xml:space="preserve"> ». Aussi est-il significatif que, sacrifiant elle aussi au « vent de la vaine gloire », Clytemnestre ne s’oppose pas à l’idée d’un sacrifice humain : sa réticence ne concerne que l’identité de la victime ; et si, selon une logique toute païenne qui consiste à punir dans les enfants les fautes de leurs parents, elle suggère qu’on immole plutôt une fille d’Hélène, n’est-ce pas qu’elle trouve dans le sacrifice le moyen de satisfaire, en même temps que son ambition, la jalousie qu’elle nourrit envers sa sœur</w:t>
      </w:r>
      <w:r>
        <w:rPr>
          <w:rStyle w:val="Appelnotedebasdep"/>
        </w:rPr>
        <w:footnoteReference w:id="122"/>
      </w:r>
      <w:r>
        <w:t xml:space="preserve"> ? Elle qui ne cesse de reprocher à Agamemnon son ascendance funeste</w:t>
      </w:r>
      <w:r>
        <w:rPr>
          <w:rStyle w:val="Appelnotedebasdep"/>
        </w:rPr>
        <w:footnoteReference w:id="123"/>
      </w:r>
      <w:r>
        <w:t xml:space="preserve">, semble ainsi toute disposée à reproduire le geste d’Atrée immolant ses neveux afin de punir leur père. </w:t>
      </w:r>
    </w:p>
    <w:p>
      <w:pPr>
        <w:ind w:firstLine="283"/>
      </w:pPr>
      <w:r>
        <w:t xml:space="preserve">Si Agamemnon est entêté de son pouvoir, si Clytemnestre jalouse mortellement sa sœur, en Achille l’ambition se confond avec la gloire qu’il veut voir attachée à son nom. Dès son apparition, éclate ce souci du nom qui lui fait préférer une vie courte mais glorieuse à « une vie sans gloire » : </w:t>
      </w:r>
    </w:p>
    <w:p>
      <w:pPr>
        <w:pStyle w:val="TEIverse"/>
        <w:spacing w:line="240" w:lineRule="auto"/>
        <w:ind w:left="397"/>
        <w:jc w:val="left"/>
      </w:pPr>
      <w:r>
        <w:rPr>
          <w:sz w:val="22"/>
        </w:rPr>
        <w:t>Mais puisqu’il faut enfin que j’arrive au tombeau,</w:t>
      </w:r>
      <w:r>
        <w:br/>
      </w:r>
      <w:r>
        <w:rPr>
          <w:sz w:val="22"/>
        </w:rPr>
        <w:t>Voudrais-je, de la Terre inutile fardeau,</w:t>
      </w:r>
      <w:r>
        <w:br/>
      </w:r>
      <w:r>
        <w:rPr>
          <w:sz w:val="22"/>
        </w:rPr>
        <w:t>Trop avare d’un sang reçu d’une Déesse,</w:t>
      </w:r>
      <w:r>
        <w:br/>
      </w:r>
      <w:r>
        <w:rPr>
          <w:sz w:val="22"/>
        </w:rPr>
        <w:t>Attendre chez mon Père une obscure vieillesse,</w:t>
      </w:r>
      <w:r>
        <w:br/>
      </w:r>
      <w:r>
        <w:rPr>
          <w:sz w:val="22"/>
        </w:rPr>
        <w:t>Et toujours de la Gloire évitant le sentier,</w:t>
      </w:r>
      <w:r>
        <w:br/>
      </w:r>
      <w:r>
        <w:rPr>
          <w:sz w:val="22"/>
        </w:rPr>
        <w:t>Ne laisser aucun nom, et mourir tout entier ?</w:t>
      </w:r>
      <w:r>
        <w:br/>
      </w:r>
      <w:r>
        <w:rPr>
          <w:sz w:val="22"/>
        </w:rPr>
        <w:t>Ah ! Ne nous formons point ces indignes obstacles.</w:t>
      </w:r>
      <w:r>
        <w:br/>
      </w:r>
      <w:r>
        <w:rPr>
          <w:sz w:val="22"/>
        </w:rPr>
        <w:t>L’honneur parle, il suffit, ce sont là nos Oracles.</w:t>
      </w:r>
      <w:r>
        <w:br/>
      </w:r>
      <w:r>
        <w:rPr>
          <w:sz w:val="22"/>
        </w:rPr>
        <w:t>Les Dieux sont de nos jours les maîtres souverains.</w:t>
      </w:r>
      <w:r>
        <w:br/>
      </w:r>
      <w:r>
        <w:rPr>
          <w:sz w:val="22"/>
        </w:rPr>
        <w:t>Mais, Seigneur, notre gloire est dans nos propres mains,</w:t>
      </w:r>
      <w:r>
        <w:br/>
      </w:r>
      <w:r>
        <w:rPr>
          <w:sz w:val="22"/>
        </w:rPr>
        <w:t>[…] et quoi qu’on me prédise,</w:t>
      </w:r>
      <w:r>
        <w:br/>
      </w:r>
      <w:r>
        <w:rPr>
          <w:sz w:val="22"/>
        </w:rPr>
        <w:t>Je ne demande aux Dieux, qu’un vent qui m’y conduise. (v. 251-266)</w:t>
      </w:r>
    </w:p>
    <w:p>
      <w:pPr>
        <w:pStyle w:val="TEIparagraphconsecutive"/>
      </w:pPr>
      <w:r>
        <w:t>Le désir de gloire se fait désir de vent : est-ce à dire qu’ils se confondent, et que courir après la gloire, c’est « courir après le vent</w:t>
      </w:r>
      <w:r>
        <w:rPr>
          <w:rStyle w:val="Appelnotedebasdep"/>
        </w:rPr>
        <w:footnoteReference w:id="124"/>
      </w:r>
      <w:r>
        <w:t xml:space="preserve"> » ? La volonté d’Achille de </w:t>
      </w:r>
      <w:r>
        <w:rPr>
          <w:i/>
        </w:rPr>
        <w:t>laisser un nom</w:t>
      </w:r>
      <w:r>
        <w:t xml:space="preserve"> prépare habilement sa colère de la scène 6 de l’acte III, à la découverte de l’abus qu’Agamemnon a fait de son nom pour attirer Iphigénie à Aulis, puis l’en faire repartir au plus vite</w:t>
      </w:r>
      <w:r>
        <w:rPr>
          <w:rStyle w:val="Appelnotedebasdep"/>
        </w:rPr>
        <w:footnoteReference w:id="125"/>
      </w:r>
      <w:r>
        <w:t xml:space="preserve">. Mais que cette obsession du nom puisse être questionnée est rendu évident dès la déclaration faite à Clytemnestre à l’acte III, scène 3 : </w:t>
      </w:r>
    </w:p>
    <w:p>
      <w:pPr>
        <w:pStyle w:val="TEIverse"/>
        <w:spacing w:line="240" w:lineRule="auto"/>
        <w:ind w:left="397"/>
        <w:jc w:val="left"/>
      </w:pPr>
      <w:r>
        <w:rPr>
          <w:sz w:val="22"/>
        </w:rPr>
        <w:t>Puis-je ne point chérir l’heureuse occasion</w:t>
      </w:r>
      <w:r>
        <w:br/>
      </w:r>
      <w:r>
        <w:rPr>
          <w:sz w:val="22"/>
        </w:rPr>
        <w:t>D’aller du sang troyen sceller notre union,</w:t>
      </w:r>
      <w:r>
        <w:br/>
      </w:r>
      <w:r>
        <w:rPr>
          <w:sz w:val="22"/>
        </w:rPr>
        <w:t>Et de laisser bientôt sous Troie ensevelie,</w:t>
      </w:r>
      <w:r>
        <w:br/>
      </w:r>
      <w:r>
        <w:rPr>
          <w:sz w:val="22"/>
        </w:rPr>
        <w:t>Le déshonneur d’un nom à qui le mien s’allie ? (v. 847-850)</w:t>
      </w:r>
    </w:p>
    <w:p>
      <w:pPr>
        <w:pStyle w:val="TEIquote"/>
        <w:spacing w:line="240" w:lineRule="auto"/>
        <w:ind w:left="397"/>
        <w:jc w:val="both"/>
      </w:pPr>
      <w:r>
        <w:rPr>
          <w:sz w:val="22"/>
        </w:rPr>
        <w:t>«  Ne voilà-t-il pas un fort joli compliment ? Que dirait-on d’un Français qui adresserait un tel discours à la mère de sa maîtresse ? » s’étonnera un critique du XVIII</w:t>
      </w:r>
      <w:r>
        <w:rPr>
          <w:sz w:val="22"/>
          <w:vertAlign w:val="superscript"/>
        </w:rPr>
        <w:t>e</w:t>
      </w:r>
      <w:r>
        <w:rPr>
          <w:sz w:val="22"/>
        </w:rPr>
        <w:t xml:space="preserve"> siècle</w:t>
      </w:r>
      <w:r>
        <w:rPr>
          <w:rStyle w:val="Appelnotedebasdep"/>
        </w:rPr>
        <w:footnoteReference w:id="126"/>
      </w:r>
      <w:r>
        <w:rPr>
          <w:sz w:val="22"/>
        </w:rPr>
        <w:t>. Que penser en outre de cette vision sanglante, de ces images de destruction, qu’Achille superpose ici à la fête de ses noces ? Ces réjouissances barbares apparaissent curieusement corrélées à son obsession du nom, qui se révèle ainsi l’aliment de sa rage destructrice. L’Achille de Racine rejoint les rangs de ces conquérants gagnés par l’</w:t>
      </w:r>
      <w:r>
        <w:rPr>
          <w:i/>
          <w:sz w:val="22"/>
        </w:rPr>
        <w:t>hubris</w:t>
      </w:r>
      <w:r>
        <w:rPr>
          <w:sz w:val="22"/>
        </w:rPr>
        <w:t>, entraînés par le seul souci de leur renommée dans des guerres aussi cruelles qu’interminables, que depuis l’Antiquité philosophes et moralistes dénoncent comme de « misérables esclaves de l’ambition</w:t>
      </w:r>
      <w:r>
        <w:rPr>
          <w:rStyle w:val="Appelnotedebasdep"/>
        </w:rPr>
        <w:footnoteReference w:id="127"/>
      </w:r>
      <w:r>
        <w:rPr>
          <w:sz w:val="22"/>
        </w:rPr>
        <w:t xml:space="preserve"> ». </w:t>
      </w:r>
    </w:p>
    <w:p>
      <w:pPr>
        <w:pStyle w:val="TEIparagraphconsecutive"/>
      </w:pPr>
      <w:r>
        <w:t>C’est donc comme des êtres asservis à une ambition tyrannique que se présentent les personnages d’</w:t>
      </w:r>
      <w:r>
        <w:rPr>
          <w:i/>
        </w:rPr>
        <w:t xml:space="preserve">Iphigénie, </w:t>
      </w:r>
      <w:r>
        <w:t>et non seulement les protagonistes, mais encore ces Grecs anonymes dont Agamemnon dit redouter « l’ambition » (v. 139), et jusqu’à l’invisible Calchas qui, dans l’ombre, use du pouvoir que la religion lui confère pour agiter les foules et menacer l’autorité royale</w:t>
      </w:r>
      <w:r>
        <w:rPr>
          <w:rStyle w:val="Appelnotedebasdep"/>
        </w:rPr>
        <w:footnoteReference w:id="128"/>
      </w:r>
      <w:r>
        <w:t xml:space="preserve">. De cette </w:t>
      </w:r>
      <w:r>
        <w:rPr>
          <w:i/>
        </w:rPr>
        <w:t>libido dominandi</w:t>
      </w:r>
      <w:r>
        <w:t>, la quête des vents n’était-elle pas la figure offerte à Racine par le mythe ? De tous, ne pourrait-on dire avec Furetière qu’ils ont « bien du vent dans la tête » ? L’annonce d’Arcas, lors du coup de théâtre de l’acte III, laisse peu de doute : Iphigénie doit être sacrifiée, explique-t-il, « Et les Dieux, jusque-là protecteurs de Pâris,</w:t>
      </w:r>
      <w:r>
        <w:t xml:space="preserve"> </w:t>
      </w:r>
      <w:r>
        <w:t>/ Ne nous promettent Troie et les Vents qu’à ce prix. » (v. 919-920). Troie est ici curieusement concurrencée, voire supplantée comme objectif ultime des Grecs ; elle ne semble plus que le moyen d’une autre quête, dont les Vents seraient la figure.</w:t>
      </w:r>
    </w:p>
    <w:p>
      <w:pPr>
        <w:ind w:firstLine="283"/>
      </w:pPr>
      <w:r>
        <w:t xml:space="preserve"> Iphigénie elle-même n’échappe peut-être pas au soupçon, elle qui, au moment où elle croit partir à la mort, trouve du réconfort à la pensée des larmes que verseront bientôt les veuves troyennes : </w:t>
      </w:r>
    </w:p>
    <w:p>
      <w:pPr>
        <w:pStyle w:val="TEIverse"/>
        <w:spacing w:line="240" w:lineRule="auto"/>
        <w:ind w:left="397"/>
        <w:jc w:val="left"/>
      </w:pPr>
      <w:r>
        <w:rPr>
          <w:sz w:val="22"/>
        </w:rPr>
        <w:t>Allez, et dans ses murs vides de Citoyens,</w:t>
      </w:r>
      <w:r>
        <w:br/>
      </w:r>
      <w:r>
        <w:rPr>
          <w:sz w:val="22"/>
        </w:rPr>
        <w:t>Faites pleurer ma mort aux Veuves des Troyens.</w:t>
      </w:r>
      <w:r>
        <w:br/>
      </w:r>
      <w:r>
        <w:rPr>
          <w:sz w:val="22"/>
        </w:rPr>
        <w:t>Je meurs dans cet espoir, satisfaite et tranquille. (v. 1555-1557)</w:t>
      </w:r>
    </w:p>
    <w:p>
      <w:pPr>
        <w:pStyle w:val="TEIparagraphconsecutive"/>
      </w:pPr>
      <w:r>
        <w:t xml:space="preserve">L’aimable et vertueuse Iphigénie puise sa consolation dans le désespoir des victimes. Faut-il y voir l’expression héroïque d’un patriotisme au féminin ? </w:t>
      </w:r>
      <w:r>
        <w:t>O</w:t>
      </w:r>
      <w:r>
        <w:t xml:space="preserve">u celle d’un désir de vengeance, d’une cruauté problématique ? L’invitation d’Iphigénie à faire pleurer les « Veuves des Troyens » est d’autant plus frappante que, s’il est une veuve troyenne à laquelle ne peut manquer de songer ici le spectateur, c’est Andromaque. Par cette allusion indirecte à sa précédente tragédie, Racine n’invite-t-il pas discrètement à renverser la perspective ? Non seulement le spectateur qui naguère a compati au malheur d’une veuve troyenne, ne peut manquer d’interroger la rage vengeresse de l’héroïne, mais il aperçoit, à côté du visage inconsolable de la veuve d’Hector, la folle et funeste passion que lui vouera Pyrrhus. Le souhait d’Iphigénie laisse entrevoir la fin tragique d’un Grec, fils de l’homme qu’elle aime, et, en minant la lecture patriotique de la pièce, invite à reconsidérer sa qualification comme tragédie à fin heureuse. </w:t>
      </w:r>
    </w:p>
    <w:p>
      <w:pPr>
        <w:ind w:firstLine="283"/>
      </w:pPr>
      <w:r>
        <w:rPr>
          <w:b/>
        </w:rPr>
        <w:t xml:space="preserve">« Et nos iniquités nous ont emportés comme un vent impétueux » (Is 64, 7) : </w:t>
      </w:r>
      <w:r>
        <w:rPr>
          <w:b/>
          <w:i/>
        </w:rPr>
        <w:t>Iphigénie</w:t>
      </w:r>
      <w:r>
        <w:rPr>
          <w:b/>
        </w:rPr>
        <w:t xml:space="preserve">, tragédie à fin heureuse ? </w:t>
      </w:r>
      <w:r>
        <w:t xml:space="preserve"> </w:t>
      </w:r>
    </w:p>
    <w:p>
      <w:pPr>
        <w:ind w:firstLine="283"/>
      </w:pPr>
      <w:r>
        <w:t>Certes, Iphigénie échappe à la mort : grâce à l’« heureux personnage d’Ériphile », Racine évite « le meurtre horrible d’une personne aussi vertueuse et aussi aimable qu’il fallait représenter Iphigénie</w:t>
      </w:r>
      <w:r>
        <w:rPr>
          <w:rStyle w:val="Appelnotedebasdep"/>
        </w:rPr>
        <w:footnoteReference w:id="129"/>
      </w:r>
      <w:r>
        <w:t xml:space="preserve"> ». Mais la survie de l’héroïne éponyme suffit-elle à assurer la fin heureuse de la pièce ? Ni </w:t>
      </w:r>
      <w:r>
        <w:rPr>
          <w:i/>
        </w:rPr>
        <w:t>Andromaque,</w:t>
      </w:r>
      <w:r>
        <w:t xml:space="preserve"> ni </w:t>
      </w:r>
      <w:r>
        <w:rPr>
          <w:i/>
        </w:rPr>
        <w:t>Bérénice</w:t>
      </w:r>
      <w:r>
        <w:t>, dont les héroïnes respectives échappent à la mort, ne sont considérées comme des tragédies à fin heureuse.</w:t>
      </w:r>
    </w:p>
    <w:p>
      <w:pPr>
        <w:ind w:firstLine="283"/>
      </w:pPr>
      <w:r>
        <w:t>Certes, Clytemnestre, que ravit le récit d’Ulysse, ne songe plus qu’à remercier le ciel et Achille, pour leurs « bienfaits » (v. 1796). Mais que ce soit là le dernier mot de la tragédie ne doit-il pas interroger ? Non seulement Clytemnestre se réjouit par ces mots de la mort de sa nièce – et l’évocation immédiatement précédente des pleurs d’Iphigénie fait valoir la cruauté égoïste de son indifférence –, mais que le mot de la fin soit ainsi laissé à celle dont le spectateur sait qu’en guise d’encens, c’est le sang de son époux qu’elle finira par répandre, ne suffit-il pas à miner cette déclaration de gratitude, et à introduire dans l’esprit du spectateur une distance ironique ?</w:t>
      </w:r>
    </w:p>
    <w:p>
      <w:pPr>
        <w:ind w:firstLine="283"/>
      </w:pPr>
      <w:r>
        <w:t xml:space="preserve">Certes, après la « sainte horreur » (v. 1784) éprouvée devant les premiers signes de l’orage – le « tonnerre » (v. 1778) gronde, des « éclairs » (v. 1783) illuminent le ciel –, l’armée grecque enfin </w:t>
      </w:r>
      <w:r>
        <w:t xml:space="preserve">réconciliée s’empresse, « dans un commun bonheur » (v. 1790), de s’embarquer. Mais qu’entrevoit ici l’imagination du spectateur, que surimprime-t-il à ces images de liesse, sinon le carnage et l’incendie de Troie, dont la pièce s’est employée à annoncer l’horreur ? Car, de la même manière qu’à la fin de </w:t>
      </w:r>
      <w:r>
        <w:rPr>
          <w:i/>
        </w:rPr>
        <w:t>Britannicus</w:t>
      </w:r>
      <w:r>
        <w:t xml:space="preserve"> se profilent les crimes à venir de l’empereur – l’incendie de Rome, le matricide –, </w:t>
      </w:r>
      <w:r>
        <w:rPr>
          <w:i/>
        </w:rPr>
        <w:t>Iphigénie</w:t>
      </w:r>
      <w:r>
        <w:t xml:space="preserve"> multiplie les annonces d’un avenir funeste : la destruction de Troie, dont la ruine de Lesbos offre une saisissante préfiguration</w:t>
      </w:r>
      <w:r>
        <w:rPr>
          <w:rStyle w:val="Appelnotedebasdep"/>
        </w:rPr>
        <w:footnoteReference w:id="130"/>
      </w:r>
      <w:r>
        <w:t>, la mort d’Achille, celles enfin d’Agamemnon et de Clytemnestre</w:t>
      </w:r>
      <w:r>
        <w:rPr>
          <w:rStyle w:val="Appelnotedebasdep"/>
        </w:rPr>
        <w:footnoteReference w:id="131"/>
      </w:r>
      <w:r>
        <w:t xml:space="preserve">. Qu’Ulysse et Clytemnestre se réjouissent, comme Agrippine et Burrhus espèrent à la fin de </w:t>
      </w:r>
      <w:r>
        <w:rPr>
          <w:i/>
        </w:rPr>
        <w:t>Britannicus</w:t>
      </w:r>
      <w:r>
        <w:t>, ne saurait suffire à assurer le caractère heureux d’un dénouement – auquel la violence des éléments naturels confère un caractère paradoxal. En effet, l’orage qui chez Racine accompagne le retour des vents ne figure pas dans la pièce d’Euripide ; il intervient en revanche chez Dictys de Crète au moment où Iphigénie est sur le point d’être sacrifiée : aussitôt interprété comme le signe de la colère des dieux, il provoque l’interruption du sacrifice et sauve la vie d’Iphigénie</w:t>
      </w:r>
      <w:r>
        <w:rPr>
          <w:rStyle w:val="Appelnotedebasdep"/>
        </w:rPr>
        <w:footnoteReference w:id="132"/>
      </w:r>
      <w:r>
        <w:t>. Racine a donc modifié la chronologie : dans sa tragédie, l’orage suit la mort d’Ériphile et accompagne l’embarquement. Dit-il, comme chez Dictys, la colère de la divinité devant la férocité dont se rendent coupables les Grecs à l’égard de la jeune fille qu’ils poussent au suicide ? Ne se prête-t-il pas surtout à la même lecture métaphorique que les annonces dont il faisait plus tôt l’objet, dans la bouche d’Ériphile (« Mais Doris, ou j’aime à me flatte</w:t>
      </w:r>
      <w:r>
        <w:t>r, / O</w:t>
      </w:r>
      <w:r>
        <w:t xml:space="preserve">u sur eux quelque orage est tout près d’éclater », v. 760), d’Iphigénie (« </w:t>
      </w:r>
      <w:r>
        <w:t>Re</w:t>
      </w:r>
      <w:r>
        <w:t xml:space="preserve">garde quel orage est tout prêt à tomber », v. 1496) et d’Eurybate (« […] Achille à cet orage </w:t>
      </w:r>
      <w:r>
        <w:t xml:space="preserve">/ </w:t>
      </w:r>
      <w:r>
        <w:t xml:space="preserve">Voudrait lui-même en vain opposer son courage », v. 1629-1630) ? En d’autres termes, n’est-il pas lui-même, cet orage qui éclate soudain, une image de la guerre cruelle vers laquelle tous à présent se précipitent, et dont Augustin dans </w:t>
      </w:r>
      <w:r>
        <w:rPr>
          <w:i/>
        </w:rPr>
        <w:t>La</w:t>
      </w:r>
      <w:r>
        <w:t xml:space="preserve"> </w:t>
      </w:r>
      <w:r>
        <w:rPr>
          <w:i/>
        </w:rPr>
        <w:t>Cité de Dieu</w:t>
      </w:r>
      <w:r>
        <w:t xml:space="preserve"> fait l’exemple même du carnage sans pitié</w:t>
      </w:r>
      <w:r>
        <w:rPr>
          <w:rStyle w:val="Appelnotedebasdep"/>
        </w:rPr>
        <w:footnoteReference w:id="133"/>
      </w:r>
      <w:r>
        <w:t>, au point d’opposer à la férocité des Grecs l’humanité dont devaient faire preuve les Barbares lors du sac de Rome</w:t>
      </w:r>
      <w:r>
        <w:rPr>
          <w:rStyle w:val="Appelnotedebasdep"/>
        </w:rPr>
        <w:footnoteReference w:id="134"/>
      </w:r>
      <w:r>
        <w:t xml:space="preserve"> ? Au V</w:t>
      </w:r>
      <w:r>
        <w:rPr>
          <w:vertAlign w:val="superscript"/>
        </w:rPr>
        <w:t>e</w:t>
      </w:r>
      <w:r>
        <w:t xml:space="preserve"> siècle Orose, filant la métaphore éolienne, parlait déjà de la guerre de Troie comme d’« une tornade</w:t>
      </w:r>
      <w:r>
        <w:rPr>
          <w:rStyle w:val="Appelnotedebasdep"/>
        </w:rPr>
        <w:footnoteReference w:id="135"/>
      </w:r>
      <w:r>
        <w:t xml:space="preserve"> ». À n’en pas douter, les valeurs dégradées au nom desquelles les Grecs vont engager le combat – soif de pouvoir, gloire individuelle, intérêt </w:t>
      </w:r>
      <w:r>
        <w:t>économique</w:t>
      </w:r>
      <w:r>
        <w:rPr>
          <w:rStyle w:val="Appelnotedebasdep"/>
        </w:rPr>
        <w:footnoteReference w:id="136"/>
      </w:r>
      <w:r>
        <w:t xml:space="preserve"> – les montrent entraînés vers Troie par leurs seules passions, dont la « fureur » se reflète dans celle des éléments. Gageons que plus d’un spectateur du temps aura ainsi décelé dans la tragédie de Racine, une </w:t>
      </w:r>
    </w:p>
    <w:p>
      <w:pPr>
        <w:pStyle w:val="TEIquote"/>
        <w:spacing w:line="240" w:lineRule="auto"/>
        <w:ind w:left="397"/>
        <w:jc w:val="both"/>
      </w:pPr>
      <w:r>
        <w:rPr>
          <w:sz w:val="22"/>
        </w:rPr>
        <w:t>h</w:t>
      </w:r>
      <w:r>
        <w:rPr>
          <w:sz w:val="22"/>
        </w:rPr>
        <w:t>orrible image du vent des gloires, ou du vent de la vaine gloire ; vent critique qui souffle et qui fait de très grands orages dans la morale, et chrétienne et civile, vent composé de tous les vents, c’est-à-dire du trouble et du tumulte d’une infinité de très folles passions, qui soulèvent le cœur des hommes</w:t>
      </w:r>
      <w:r>
        <w:rPr>
          <w:rStyle w:val="Appelnotedebasdep"/>
        </w:rPr>
        <w:footnoteReference w:id="137"/>
      </w:r>
      <w:r>
        <w:rPr>
          <w:sz w:val="22"/>
        </w:rPr>
        <w:t>.</w:t>
      </w:r>
    </w:p>
    <w:p>
      <w:pPr>
        <w:pStyle w:val="TEIparagraphconsecutive"/>
      </w:pPr>
      <w:r>
        <w:rPr>
          <w:b/>
        </w:rPr>
        <w:t>« Celui qui s’appuie sur des mensonges se repaît de vents » (Pr 10, 4) : Agamemnon</w:t>
      </w:r>
    </w:p>
    <w:p>
      <w:pPr>
        <w:ind w:firstLine="283"/>
      </w:pPr>
      <w:r>
        <w:t xml:space="preserve">Si tous sacrifient au vent de la vaine gloire, c’est autour d’Agamemnon que se concentre cet imaginaire du vent qui donne à voir comment le plus puissant des hommes, le « chef de la Grèce », le « Roi des Rois » (v. 81), n’est qu’un fétu ballotté par des vents contraires. Incertain, irrésolu, le père d’Iphigénie ne cesse de changer d’avis au sujet du sacrifice : à la scène d’exposition, il est revenu sur sa décision initiale, et désormais décidé à sauver celle qu’il avait condamnée ; mais dès l’annonce de l’arrivée d’Iphigénie au camp à la fin du même acte, il consent de nouveau à sa mort. Une décision assumée dans les actes II à IV, avant d’être à nouveau interrogée à l’acte IV (sc. 8), puis rejetée (sc. 9 et 10). Le dernier acte le montrera consentant finalement au sacrifice vers lequel il accompagne sa fille. Lui-même présente ses revirements successifs comme autant de défaites. Il ne fait que </w:t>
      </w:r>
      <w:r>
        <w:rPr>
          <w:i/>
        </w:rPr>
        <w:t>céder</w:t>
      </w:r>
      <w:r>
        <w:t xml:space="preserve">, et ce, quelle que soit sa décision : « </w:t>
      </w:r>
      <w:r>
        <w:t>J</w:t>
      </w:r>
      <w:r>
        <w:t xml:space="preserve">e cède, et laisse aux Dieux opprimer l’innocence » (v. 390) ; « </w:t>
      </w:r>
      <w:r>
        <w:t>M</w:t>
      </w:r>
      <w:r>
        <w:t xml:space="preserve">a Fille, il faut céder » (v. 1241) dit-il à Iphigénie pour arracher son consentement ; mais aussi, quand il se décide à la sauver : « Cédons au sang, à l’amitié » (v. 1451). Est-ce un hasard si le verbe </w:t>
      </w:r>
      <w:r>
        <w:rPr>
          <w:i/>
        </w:rPr>
        <w:t>céder</w:t>
      </w:r>
      <w:r>
        <w:t xml:space="preserve"> appartient lui-même à la constellation lexicale du vent</w:t>
      </w:r>
      <w:r>
        <w:rPr>
          <w:rStyle w:val="Appelnotedebasdep"/>
        </w:rPr>
        <w:footnoteReference w:id="138"/>
      </w:r>
      <w:r>
        <w:t xml:space="preserve"> ? Alors que l’inébranlable Achille est celui « à qui tout cède » (v. 1629) – si bien qu’on dirait de lui, dans la langue du XVII</w:t>
      </w:r>
      <w:r>
        <w:rPr>
          <w:vertAlign w:val="superscript"/>
        </w:rPr>
        <w:t>e</w:t>
      </w:r>
      <w:r>
        <w:t xml:space="preserve"> siècle, qu’il est </w:t>
      </w:r>
      <w:r>
        <w:rPr>
          <w:i/>
        </w:rPr>
        <w:t>au-dessus des vents</w:t>
      </w:r>
      <w:r>
        <w:rPr>
          <w:rStyle w:val="Appelnotedebasdep"/>
        </w:rPr>
        <w:footnoteReference w:id="139"/>
      </w:r>
      <w:r>
        <w:t xml:space="preserve">  –, Agamemnon, lui, </w:t>
      </w:r>
      <w:r>
        <w:rPr>
          <w:i/>
        </w:rPr>
        <w:t>tourne à tout vent</w:t>
      </w:r>
      <w:r>
        <w:t xml:space="preserve">. Son inconstance illustre exactement ce qu’écrit saint Augustin de celui à qui la vérité fait défaut : </w:t>
      </w:r>
    </w:p>
    <w:p>
      <w:pPr>
        <w:pStyle w:val="TEIquote"/>
        <w:spacing w:line="240" w:lineRule="auto"/>
        <w:ind w:left="397"/>
        <w:jc w:val="both"/>
      </w:pPr>
      <w:r>
        <w:rPr>
          <w:sz w:val="22"/>
        </w:rPr>
        <w:t>Voilà l’état déplorable, où languit une âme faible qui n’est point encore appuyée sur le ferme soutien de la vérité : selon que soufflent les vents excités par l’esprit et par la langue de ceux qui lui parlent, elle se trouve agitée par des mouvements tout contraires, elle se tourne tantôt d’un côté et tantôt d’un autre, et sa lumière s’obscurcit d’une telle sorte qu’elle ne peut discerner la vérité, quoiqu’elle nous soit toujours présente</w:t>
      </w:r>
      <w:r>
        <w:rPr>
          <w:rStyle w:val="Appelnotedebasdep"/>
        </w:rPr>
        <w:footnoteReference w:id="140"/>
      </w:r>
      <w:r>
        <w:rPr>
          <w:sz w:val="22"/>
        </w:rPr>
        <w:t xml:space="preserve">. </w:t>
      </w:r>
    </w:p>
    <w:p>
      <w:pPr>
        <w:pStyle w:val="TEIparagraphconsecutive"/>
      </w:pPr>
      <w:r>
        <w:t xml:space="preserve">Telle est l’image d’Agamemnon qu’imposent ses revirements successifs, et qui résulte de son rapport problématique à la vérité. En effet, conformément au personnage homérique – à propos duquel Racine remarquait déjà dans ses notes sur </w:t>
      </w:r>
      <w:r>
        <w:rPr>
          <w:i/>
        </w:rPr>
        <w:t xml:space="preserve">l’Iliade </w:t>
      </w:r>
      <w:r>
        <w:t>:</w:t>
      </w:r>
      <w:r>
        <w:rPr>
          <w:i/>
        </w:rPr>
        <w:t xml:space="preserve"> </w:t>
      </w:r>
      <w:r>
        <w:t>« peut-être le poète a voulu marquer qu’il vaut mieux aller plus rondement, sans tant de finesse</w:t>
      </w:r>
      <w:r>
        <w:rPr>
          <w:rStyle w:val="Appelnotedebasdep"/>
        </w:rPr>
        <w:footnoteReference w:id="141"/>
      </w:r>
      <w:r>
        <w:t xml:space="preserve"> » –, Racine campe en Agamemnon un personnage dissimulé, oblique, dont les nombreux détours et stratagèmes entament la moralité avant même de se retourner contre lui : c’est d’abord le cas de ces deux lettres où il utilise le nom d’Achille pour faire </w:t>
      </w:r>
      <w:r>
        <w:t xml:space="preserve">venir Iphigénie à Aulis, puis l’en faire repartir avant qu’elle n’entre dans le camp : lui-même en parle à deux reprises comme d’un « funeste artifice » (v. 92 ; v. 181) ; autre artifice, l’ambiguïté qu’il entretient à partir de l’acte III sur la nature de la cérémonie qui doit avoir lieu devant Calchas, afin de couvrir le sacrifice sous le prétexte du mariage. Quelles que soient ses décisions, les raisons qu’allègue Agamemnon ne sont jamais les véritables : ainsi, quand il entend renvoyer Clytemnestre du camp, et qu’il prétexte l’atmosphère guerrière qui y règne, alors qu’il s’agit seulement d’épargner à son épouse le spectacle du sacrifice, ou plutôt de s’épargner à lui-même la fureur de son épouse (« D’une Mère en fureur épargne-moi les cris. », v. 147). En découle un art du double discours, dont l’exemple le plus célèbre figure dans la scène de ses retrouvailles avec Iphigénie : « Vous y serez, ma Fille » (v. 578). Qu’Agamemnon se définisse par cette pratique de la dissimulation, est comme mis en exergue au dénouement, dans les derniers vers que lui consacre la tragédie : </w:t>
      </w:r>
    </w:p>
    <w:p>
      <w:pPr>
        <w:ind w:firstLine="283"/>
      </w:pPr>
      <w:r>
        <w:t>Le triste Agamemnon, qui n’ose l’avouer,</w:t>
      </w:r>
    </w:p>
    <w:p>
      <w:pPr>
        <w:ind w:firstLine="283"/>
      </w:pPr>
      <w:r>
        <w:t>Pour détourner ses yeux des meurtres qu’il présage,</w:t>
      </w:r>
    </w:p>
    <w:p>
      <w:pPr>
        <w:pStyle w:val="TEIverse"/>
        <w:spacing w:line="240" w:lineRule="auto"/>
        <w:ind w:left="397"/>
        <w:jc w:val="left"/>
      </w:pPr>
      <w:r>
        <w:rPr>
          <w:sz w:val="22"/>
        </w:rPr>
        <w:t>Ou pour cacher ses pleurs, s’est voilé le visage. (v. 1708-1710)</w:t>
      </w:r>
    </w:p>
    <w:p>
      <w:pPr>
        <w:pStyle w:val="TEIparagraphconsecutive"/>
      </w:pPr>
      <w:r>
        <w:t>Racine ne se contente pas de reprendre la fameuse représentation du père d’Iphigénie assistant au sacrifice le visage voilé. Pour les commentateurs qui l’ont précédé, ce geste signifiait « la tendresse » du père et disait « l’excès de sa douleur</w:t>
      </w:r>
      <w:r>
        <w:rPr>
          <w:rStyle w:val="Appelnotedebasdep"/>
        </w:rPr>
        <w:footnoteReference w:id="142"/>
      </w:r>
      <w:r>
        <w:t xml:space="preserve"> ». Mais Racine, par l’alternative « pour détourner ses yeux des meurtres qu’il présage, / Ou pour cacher ses pleurs », introduit un doute. S’agit-il de cacher aux autres assistants le spectacle de son extrême douleur, ou bien d’une ultime dérobade, devant l’affrontement qui menace et dont il est en partie responsable ? La relative qui précède (« qui n’ose l’avouer ») conforte cette image d’un Agamemnon dissimulé, se refusant non sans lâcheté à afficher son soutien à Achille en se retranchant sous son voile. Le voile d’Agamemnon apparaît ainsi, sous la plume de Racine, comme une couverture, le symbole de sa dissimulation, de son hypocrisie</w:t>
      </w:r>
      <w:r>
        <w:rPr>
          <w:rStyle w:val="Appelnotedebasdep"/>
        </w:rPr>
        <w:footnoteReference w:id="143"/>
      </w:r>
      <w:r>
        <w:t xml:space="preserve">. </w:t>
      </w:r>
    </w:p>
    <w:p>
      <w:pPr>
        <w:ind w:firstLine="283"/>
      </w:pPr>
      <w:r>
        <w:t xml:space="preserve">D’autant que l’ambiguïté du personnage s’étend au domaine religieux. Face aux dieux, Agamemnon paraît également indécis, hésitant constamment entre obéissance et indifférence, crédulité et scepticisme, voire « athéisme ». L’auteur des </w:t>
      </w:r>
      <w:r>
        <w:rPr>
          <w:i/>
        </w:rPr>
        <w:t>Remarques</w:t>
      </w:r>
      <w:r>
        <w:t xml:space="preserve"> s’étonne ainsi : « il cite souvent l’Ordre des Dieux en parlant à sa femme, à sa fille et à Achille, pour justifier sa conduite ; mais ce ne sont que des couleurs</w:t>
      </w:r>
      <w:r>
        <w:rPr>
          <w:rStyle w:val="Appelnotedebasdep"/>
        </w:rPr>
        <w:footnoteReference w:id="144"/>
      </w:r>
      <w:r>
        <w:t xml:space="preserve"> » ; plusieurs formules ambiguës le montrent même, estime le critique, « guéri des imaginations populaires ». Ainsi dès la scène d’exposition, quand il déclare : </w:t>
      </w:r>
    </w:p>
    <w:p>
      <w:pPr>
        <w:pStyle w:val="TEIverse"/>
        <w:spacing w:line="240" w:lineRule="auto"/>
        <w:ind w:left="397"/>
        <w:jc w:val="left"/>
      </w:pPr>
      <w:r>
        <w:rPr>
          <w:sz w:val="22"/>
        </w:rPr>
        <w:t>[…] Calchas, qui l’attend en ces lieux,</w:t>
      </w:r>
      <w:r>
        <w:br/>
      </w:r>
      <w:r>
        <w:rPr>
          <w:sz w:val="22"/>
        </w:rPr>
        <w:t>Fera taire nos pleurs, fera parler les Dieux,</w:t>
      </w:r>
      <w:r>
        <w:br/>
      </w:r>
      <w:r>
        <w:rPr>
          <w:sz w:val="22"/>
        </w:rPr>
        <w:t>Et la Religion contre nous irritée</w:t>
      </w:r>
      <w:r>
        <w:br/>
      </w:r>
      <w:r>
        <w:rPr>
          <w:sz w:val="22"/>
        </w:rPr>
        <w:t>Par les timides Grecs sera seule écoutée (v. 135-138 nous soulignons).</w:t>
      </w:r>
    </w:p>
    <w:p>
      <w:pPr>
        <w:pStyle w:val="TEIparagraphconsecutive"/>
      </w:pPr>
      <w:r>
        <w:t>Agamemnon paraît anticiper ici le rôle trouble joué par Calchas, manipulateur ambitieux abusant de la crédulité de la foule</w:t>
      </w:r>
      <w:r>
        <w:rPr>
          <w:rStyle w:val="Appelnotedebasdep"/>
        </w:rPr>
        <w:footnoteReference w:id="145"/>
      </w:r>
      <w:r>
        <w:t>. Non seulement Agamemnon semble deviner les mensonges du paganisme, mais lui-même en use à son profit : quand il espère encore que sa lettre</w:t>
      </w:r>
      <w:r>
        <w:rPr>
          <w:i/>
        </w:rPr>
        <w:t xml:space="preserve"> </w:t>
      </w:r>
      <w:r>
        <w:t xml:space="preserve">trouvera Iphigénie à temps, il n’hésite pas devant Ulysse à couvrir sa ruse en invoquant une intervention des dieux : « Souffrez […] / Que j’ose pour ma fille accepter le secours / De quelque Dieu plus doux qui veille sur ces jours » (v. 333-336). Ce faisant, il encourage une « lecture désacralisante » de la tragédie, à travers laquelle Racine entendait répondre au traitement du merveilleux païen que les Modernes venaient d’offrir dans </w:t>
      </w:r>
      <w:r>
        <w:rPr>
          <w:i/>
        </w:rPr>
        <w:t xml:space="preserve">Alceste </w:t>
      </w:r>
      <w:r>
        <w:t>: face aux enchantements spectaculaires que cultive l’opéra, la tragédie racinienne, comme l’a montré Tony Gheeraert, invite à contempler ce même merveilleux « d’un œil sincèrement chrétien</w:t>
      </w:r>
      <w:r>
        <w:t xml:space="preserve">, </w:t>
      </w:r>
      <w:r>
        <w:t>c’est-à-dire défiant envers le surnaturel païen</w:t>
      </w:r>
      <w:r>
        <w:rPr>
          <w:rStyle w:val="Appelnotedebasdep"/>
        </w:rPr>
        <w:footnoteReference w:id="146"/>
      </w:r>
      <w:r>
        <w:t xml:space="preserve"> </w:t>
      </w:r>
      <w:r>
        <w:t xml:space="preserve">». Et pour ces mêmes raisons, le personnage d’Agamemnon offrait à Racine, et au public chrétien pour lequel il écrit, une saisissante illustration du proverbe biblique : « Celui qui s’appuie sur des mensonges se repaît de vents » (Pr 10, 4). Dans son </w:t>
      </w:r>
      <w:r>
        <w:rPr>
          <w:i/>
        </w:rPr>
        <w:t>Dictionnaire chrétien</w:t>
      </w:r>
      <w:r>
        <w:t>, Nicolas Fontaine commente ainsi l’image : « [l’Écriture] dit qu’il y en a qui se repaissent de vents, c’est-à-dire d’espérances imaginaires qui, au lieu de leur procurer quelque solide avantage, les précipitent au contraire dans de grands maux et les rendent ensuite eux-mêmes la pâture des vents, c’est-à-dire des démons</w:t>
      </w:r>
      <w:r>
        <w:rPr>
          <w:rStyle w:val="Appelnotedebasdep"/>
        </w:rPr>
        <w:footnoteReference w:id="147"/>
      </w:r>
      <w:r>
        <w:t xml:space="preserve"> ». De même, le chef des Grecs ne tardera pas à être précipité de ses rêves d’empire vers une mort sanglante. Quant à déchiffrer dans ces vents auxquels Agamemnon est prêt à sacrifier sa fille la figure d’esprits démoniaques, la pièce l’autorise-t-elle ? Dans l’</w:t>
      </w:r>
      <w:r>
        <w:t>A</w:t>
      </w:r>
      <w:r>
        <w:t>ntiquité chrétienne déjà, le diable régnant sur des légions infernales trouvait dans le dieu Éole qui retient dans sa caverne les vents enchaînés une figure privilégiée</w:t>
      </w:r>
      <w:r>
        <w:rPr>
          <w:rStyle w:val="Appelnotedebasdep"/>
        </w:rPr>
        <w:footnoteReference w:id="148"/>
      </w:r>
      <w:r>
        <w:t xml:space="preserve"> ; au XVII</w:t>
      </w:r>
      <w:r>
        <w:rPr>
          <w:vertAlign w:val="superscript"/>
        </w:rPr>
        <w:t>e</w:t>
      </w:r>
      <w:r>
        <w:t xml:space="preserve"> siècle, l’image se rencontre encore : « Les vents violents », remarque encore Fontaine, « peuvent aussi être la figure des tentations violentes, et des efforts opiniâtres du démon pour nous jeter dans de grands péchés, et du péché dans l’enfer </w:t>
      </w:r>
      <w:r>
        <w:rPr>
          <w:rStyle w:val="Appelnotedebasdep"/>
        </w:rPr>
        <w:footnoteReference w:id="149"/>
      </w:r>
      <w:r>
        <w:t xml:space="preserve">». Sans doute le spectateur du temps pouvait-il être tenté de surimprimer à l’allusion mythologique de « ces vents depuis trois mois enchaînés sur nos têtes », et « prêts à exaucer » (v. 839) contre du sang versé ceux qui les sollicitent, la figure des démons du christianisme flattant les mauvaises passions des hommes. Faut-il alors comprendre que dans </w:t>
      </w:r>
      <w:r>
        <w:t xml:space="preserve">l’immobilisation à Aulis était offerte aux Grecs l’occasion de rompre avec la tyrannie de l’ambition, et comme une </w:t>
      </w:r>
      <w:r>
        <w:rPr>
          <w:i/>
        </w:rPr>
        <w:t>grâce</w:t>
      </w:r>
      <w:r>
        <w:t xml:space="preserve"> qu’ils n’ont pas su saisir – tels les compagnons d’Ulysse devant Ithaque ?</w:t>
      </w:r>
      <w:r>
        <w:rPr>
          <w:vertAlign w:val="superscript"/>
        </w:rPr>
        <w:t xml:space="preserve"> </w:t>
      </w:r>
    </w:p>
    <w:p>
      <w:pPr>
        <w:ind w:firstLine="283"/>
      </w:pPr>
      <w:r>
        <w:t xml:space="preserve">Du même proverbe biblique, une paraphrase figure dans les </w:t>
      </w:r>
      <w:r>
        <w:rPr>
          <w:i/>
        </w:rPr>
        <w:t xml:space="preserve">Confessions </w:t>
      </w:r>
      <w:r>
        <w:t xml:space="preserve">d’Augustin, dans un chapitre où curieusement il est aussi question de devin et de sacrifice </w:t>
      </w:r>
      <w:r>
        <w:t xml:space="preserve">; </w:t>
      </w:r>
      <w:r>
        <w:t xml:space="preserve">Augustin est alors dans sa période manichéenne : </w:t>
      </w:r>
    </w:p>
    <w:p>
      <w:pPr>
        <w:pStyle w:val="TEIquote"/>
        <w:spacing w:line="240" w:lineRule="auto"/>
        <w:ind w:left="397"/>
        <w:jc w:val="both"/>
      </w:pPr>
      <w:r>
        <w:rPr>
          <w:sz w:val="22"/>
        </w:rPr>
        <w:t xml:space="preserve">Je me souviens aussi qu’ayant résolu d’entrer dans une dispute publique où l’on récitait sur un théâtre les vers que l’on avait composés, et où celui qu’on jugeait avoir mieux réussi que les autres emportait le prix, un devin me fit demander ce que je lui voulais donner pour me faire gagner le prix. À quoi l’horreur que j’avais de ces sacrilèges abominables me fit répondre, que quand cette couronne serait d’or et immortelle, je ne souffrirais pas que pour me la procurer on fît mourir une mouche. Ce que je disais parce qu’il devait immoler quelques animaux dans ses détestables sacrifices pour convier les démons par ses hommages impies à me vouloir être favorables. Mais, ô Dieu de mon cœur, ce ne fut pas par un désir chaste de vous plaire que je rejetais ce mal et ce crime car je ne pouvais pas vous aimer puisque mon esprit ne pouvait vous concevoir que comme une lumière corporelle et que mon âme qui soupirait après ses fantômes vains s’éloignait et se séparait de vous comme par un adultère en </w:t>
      </w:r>
      <w:r>
        <w:rPr>
          <w:i/>
          <w:sz w:val="22"/>
        </w:rPr>
        <w:t>s’appuyant sur le vide du mensonge et se rendant le jouet des vents</w:t>
      </w:r>
      <w:r>
        <w:rPr>
          <w:sz w:val="22"/>
        </w:rPr>
        <w:t>. Mais lors même que je ne voulais pas qu’on sacrifiât pour moi aux démons, je m’y sacrifiais moi-même par cette maudite superstition. Et n’est-ce pas se rendre le jouet des vents que de l’être de ces esprits de ténèbres lorsque par nos erreurs criminelles nous leur sommes un sujet de moquerie et de risée</w:t>
      </w:r>
      <w:r>
        <w:rPr>
          <w:rStyle w:val="Appelnotedebasdep"/>
        </w:rPr>
        <w:footnoteReference w:id="150"/>
      </w:r>
      <w:r>
        <w:rPr>
          <w:sz w:val="22"/>
        </w:rPr>
        <w:t xml:space="preserve"> ?</w:t>
      </w:r>
    </w:p>
    <w:p>
      <w:pPr>
        <w:pStyle w:val="TEIparagraphconsecutive"/>
      </w:pPr>
      <w:r>
        <w:t>À</w:t>
      </w:r>
      <w:r>
        <w:rPr>
          <w:i/>
        </w:rPr>
        <w:t xml:space="preserve"> </w:t>
      </w:r>
      <w:r>
        <w:t xml:space="preserve">quelle couronne d’or songe ici Augustin ? À quelle plus noble victime vient s’opposer cette vulgaire mouche dont il se refuse à être le bourreau ? On ne saurait affirmer que le souvenir d’Iphigénie traverse ce texte des </w:t>
      </w:r>
      <w:r>
        <w:rPr>
          <w:i/>
        </w:rPr>
        <w:t>Confessions,</w:t>
      </w:r>
      <w:r>
        <w:t xml:space="preserve"> mais la répétition de l’image héritée des </w:t>
      </w:r>
      <w:r>
        <w:rPr>
          <w:i/>
        </w:rPr>
        <w:t xml:space="preserve">Proverbes </w:t>
      </w:r>
      <w:r>
        <w:t xml:space="preserve">– « être le jouet des vents » est la traduction par Arnauld d’Andilly de </w:t>
      </w:r>
      <w:r>
        <w:rPr>
          <w:i/>
        </w:rPr>
        <w:t>pascere ventos</w:t>
      </w:r>
      <w:r>
        <w:t xml:space="preserve"> –</w:t>
      </w:r>
      <w:r>
        <w:rPr>
          <w:i/>
        </w:rPr>
        <w:t xml:space="preserve"> </w:t>
      </w:r>
      <w:r>
        <w:t>à propos d’une histoire de devin et de sacrifice sanglant,</w:t>
      </w:r>
      <w:r>
        <w:rPr>
          <w:i/>
        </w:rPr>
        <w:t xml:space="preserve"> </w:t>
      </w:r>
      <w:r>
        <w:t xml:space="preserve">n’aurait-elle pas favorisé, chez un dramaturge familier des </w:t>
      </w:r>
      <w:r>
        <w:rPr>
          <w:i/>
        </w:rPr>
        <w:t>Confessions</w:t>
      </w:r>
      <w:r>
        <w:t>, une lecture allégorique du mythe susceptible d’expliquer sa préférence pour le sujet d’</w:t>
      </w:r>
      <w:r>
        <w:rPr>
          <w:i/>
        </w:rPr>
        <w:t>Iphigénie à Aulis</w:t>
      </w:r>
      <w:r>
        <w:t xml:space="preserve"> ? </w:t>
      </w:r>
      <w:r>
        <w:t>C</w:t>
      </w:r>
      <w:r>
        <w:t xml:space="preserve">ar si, dans le refus qu’Augustin sut opposer au devin qui voulait lui rendre les démons favorables, le lecteur décelait le sourd travail de la grâce et l’annonce de sa conversion prochaine, à l’inverse le choix des Grecs de sacrifier une jeune fille pour obtenir des vents favorables ne signifiait-il pas une tout autre allégeance, et la destinée funeste d’une humanité corrompue par </w:t>
      </w:r>
      <w:r>
        <w:rPr>
          <w:i/>
        </w:rPr>
        <w:t>l’amor sui</w:t>
      </w:r>
      <w:r>
        <w:t xml:space="preserve"> ?</w:t>
      </w:r>
    </w:p>
    <w:p>
      <w:pPr>
        <w:ind w:firstLine="283"/>
      </w:pPr>
      <w:r>
        <w:rPr>
          <w:i/>
        </w:rPr>
        <w:t>***</w:t>
      </w:r>
    </w:p>
    <w:p>
      <w:pPr>
        <w:ind w:firstLine="283"/>
      </w:pPr>
      <w:r>
        <w:t xml:space="preserve">En invitant à une interprétation allégorique des vents pour lesquels les Grecs consentent au sacrifice d’une jeune fille, le critique inconnu des </w:t>
      </w:r>
      <w:r>
        <w:rPr>
          <w:i/>
        </w:rPr>
        <w:t>Remarques</w:t>
      </w:r>
      <w:r>
        <w:t xml:space="preserve"> entendait se railler de l’auteur d’</w:t>
      </w:r>
      <w:r>
        <w:rPr>
          <w:i/>
        </w:rPr>
        <w:t>Iphigénie</w:t>
      </w:r>
      <w:r>
        <w:t xml:space="preserve">, sans imaginer l’hypothèse que celui-ci ait pu souhaiter une telle lecture de sa pièce. Et pourtant… Le traitement que Racine réserve au motif du vent paraît encourager une lecture augustinienne de la tragédie, au moment où lui-même se rapproche de ses anciens maîtres. Il semble </w:t>
      </w:r>
      <w:r>
        <w:t>aussi que certains, parmi les premiers spectateurs d’</w:t>
      </w:r>
      <w:r>
        <w:rPr>
          <w:i/>
        </w:rPr>
        <w:t>Iphigénie</w:t>
      </w:r>
      <w:r>
        <w:t>, aient été séduits par cette lecture allégorique. N’en décèle-t-on pas comme un écho dans l’habile formule d’un ouvrage anonyme paru dix ans après la tragédie de Racine : « Si l’on loue chez les Capitaines ceux qui se servent du vent pour gagner des Batailles, on se moque chez les Sages de ceux qui se servent des Batailles pour gagner du vent</w:t>
      </w:r>
      <w:r>
        <w:rPr>
          <w:rStyle w:val="Appelnotedebasdep"/>
        </w:rPr>
        <w:footnoteReference w:id="151"/>
      </w:r>
      <w:r>
        <w:t xml:space="preserve"> » ? </w:t>
      </w:r>
    </w:p>
    <w:p>
      <w:r>
        <w:br w:type="page"/>
      </w:r>
    </w:p>
    <w:p>
      <w:pPr>
        <w:ind w:firstLine="283"/>
      </w:pPr>
      <w:r>
        <w:rPr>
          <w:b/>
        </w:rPr>
        <w:t>L’« autre Iphigénie » au miroir de la « veuve d’Hector » :</w:t>
      </w:r>
    </w:p>
    <w:p>
      <w:pPr>
        <w:ind w:firstLine="283"/>
      </w:pPr>
      <w:r>
        <w:rPr>
          <w:b/>
        </w:rPr>
        <w:t>quel tragique pour Ériphile ?</w:t>
      </w:r>
    </w:p>
    <w:p>
      <w:pPr>
        <w:ind w:firstLine="283"/>
      </w:pPr>
      <w:r>
        <w:t>Dans la France du XVII</w:t>
      </w:r>
      <w:r>
        <w:rPr>
          <w:vertAlign w:val="superscript"/>
        </w:rPr>
        <w:t>e</w:t>
      </w:r>
      <w:r>
        <w:t xml:space="preserve"> siècle, est qualifié de « tragique » tout objet qui inspire au spectateur les deux grandes passions aristotéliciennes que sont la pitié et la crainte</w:t>
      </w:r>
      <w:r>
        <w:rPr>
          <w:rStyle w:val="Appelnotedebasdep"/>
        </w:rPr>
        <w:footnoteReference w:id="152"/>
      </w:r>
      <w:r>
        <w:t>. Racine le rappelle dans la préface d’</w:t>
      </w:r>
      <w:r>
        <w:rPr>
          <w:i/>
        </w:rPr>
        <w:t xml:space="preserve">Iphigénie </w:t>
      </w:r>
      <w:r>
        <w:t xml:space="preserve">: </w:t>
      </w:r>
    </w:p>
    <w:p>
      <w:pPr>
        <w:pStyle w:val="TEIquote"/>
        <w:spacing w:line="240" w:lineRule="auto"/>
        <w:ind w:left="397"/>
        <w:jc w:val="both"/>
      </w:pPr>
      <w:r>
        <w:rPr>
          <w:sz w:val="22"/>
        </w:rPr>
        <w:t>[…] entre les Poètes, Euripide était extrêmement tragique, τραγικώτατος, c’est-à-dire qu’il savait merveilleusement exciter la compassion et la terreur, qui sont les véritables effets de la Tragédie.</w:t>
      </w:r>
      <w:r>
        <w:rPr>
          <w:rStyle w:val="Appelnotedebasdep"/>
        </w:rPr>
        <w:footnoteReference w:id="153"/>
      </w:r>
      <w:r>
        <w:rPr>
          <w:sz w:val="22"/>
        </w:rPr>
        <w:t xml:space="preserve"> </w:t>
      </w:r>
    </w:p>
    <w:p>
      <w:pPr>
        <w:pStyle w:val="TEIparagraphconsecutive"/>
      </w:pPr>
      <w:r>
        <w:t>De tels propos éclairent ce que le dramaturge a écrit, quelques lignes plus haut, sur le personnage d’Ériphile, cette « autre Iphigénie</w:t>
      </w:r>
      <w:r>
        <w:rPr>
          <w:rStyle w:val="Appelnotedebasdep"/>
        </w:rPr>
        <w:footnoteReference w:id="154"/>
      </w:r>
      <w:r>
        <w:t xml:space="preserve"> » s</w:t>
      </w:r>
      <w:r>
        <w:t>ans laquelle « [il] n’aurai[t] jamais osé entreprendre [sa] Tragédie ». En précisant que « cette Amante jalouse […] mérit[ait] en quelque façon d’être punie, sans être pourtant tout à fait indigne de compassion</w:t>
      </w:r>
      <w:r>
        <w:rPr>
          <w:rStyle w:val="Appelnotedebasdep"/>
        </w:rPr>
        <w:footnoteReference w:id="155"/>
      </w:r>
      <w:r>
        <w:t xml:space="preserve"> », il manifeste qu’elle est, sans doute possible, une figure tragique</w:t>
      </w:r>
      <w:r>
        <w:rPr>
          <w:rStyle w:val="Appelnotedebasdep"/>
        </w:rPr>
        <w:footnoteReference w:id="156"/>
      </w:r>
      <w:r>
        <w:t xml:space="preserve">. C’est la nature de ce tragique que nous allons étudier ici, à la lumière du caractère racinien du personnage. </w:t>
      </w:r>
    </w:p>
    <w:p>
      <w:pPr>
        <w:ind w:firstLine="283"/>
      </w:pPr>
      <w:r>
        <w:t>Certes, Ériphile ressemble fort à la Briséide de Benserade d’une part, et à la Briséis de Thomas Corneille</w:t>
      </w:r>
      <w:r>
        <w:rPr>
          <w:rStyle w:val="Appelnotedebasdep"/>
        </w:rPr>
        <w:footnoteReference w:id="157"/>
      </w:r>
      <w:r>
        <w:t xml:space="preserve"> d’autre part ; certes, notre dramaturge lui-même souligne qu’il « [a] été très heureux de trouver dans les Anciens cette autre Iphigénie</w:t>
      </w:r>
      <w:r>
        <w:rPr>
          <w:rStyle w:val="Appelnotedebasdep"/>
        </w:rPr>
        <w:footnoteReference w:id="158"/>
      </w:r>
      <w:r>
        <w:t xml:space="preserve"> ». Mais il importe ici de ne pas se laisser aveugler par une référence principalement opportuniste : il s’agit moins là de citer ses sources que de </w:t>
      </w:r>
      <w:r>
        <w:t>permettre et de justifier le déploiement d’une invention toute personnelle. De fait, Ériphile est bel et bien une figure d’inspiration essentiellement racinienne – ce que notre auteur manifeste, d’ailleurs, quelques lignes plus bas, en précisant qu’il « [a] pu représenter [Ériphile] telle qu’il [lui] a plu</w:t>
      </w:r>
      <w:r>
        <w:rPr>
          <w:rStyle w:val="Appelnotedebasdep"/>
        </w:rPr>
        <w:footnoteReference w:id="159"/>
      </w:r>
      <w:r>
        <w:t xml:space="preserve"> ». Et pour cause : le texte de Pausanias ne lui donnait guère de matière</w:t>
      </w:r>
      <w:r>
        <w:rPr>
          <w:rStyle w:val="Appelnotedebasdep"/>
        </w:rPr>
        <w:footnoteReference w:id="160"/>
      </w:r>
      <w:r>
        <w:t xml:space="preserve"> pour construire le personnage d’Ériphile – pas même le nom de cette dernière, qu’il est peut-être allé puiser dans </w:t>
      </w:r>
      <w:r>
        <w:rPr>
          <w:i/>
        </w:rPr>
        <w:t>L’Odyssée</w:t>
      </w:r>
      <w:r>
        <w:t xml:space="preserve">, chez Sophocle ou dans la </w:t>
      </w:r>
      <w:r>
        <w:rPr>
          <w:i/>
        </w:rPr>
        <w:t xml:space="preserve">Poétique </w:t>
      </w:r>
      <w:r>
        <w:t>d’Aristote avant de le modifier, en un geste caractéristique d’appropriation</w:t>
      </w:r>
      <w:r>
        <w:rPr>
          <w:rStyle w:val="Appelnotedebasdep"/>
        </w:rPr>
        <w:footnoteReference w:id="161"/>
      </w:r>
      <w:r>
        <w:t xml:space="preserve">. Ainsi, nous entendons montrer que cette « autre Iphigénie » est une figure tragique parce que Racine l’a effectivement représentée « telle qui </w:t>
      </w:r>
      <w:r>
        <w:rPr>
          <w:i/>
        </w:rPr>
        <w:t>lui</w:t>
      </w:r>
      <w:r>
        <w:t xml:space="preserve"> a plu</w:t>
      </w:r>
      <w:r>
        <w:rPr>
          <w:rStyle w:val="Appelnotedebasdep"/>
        </w:rPr>
        <w:footnoteReference w:id="162"/>
      </w:r>
      <w:r>
        <w:t xml:space="preserve"> », et plus précisément parce qu’il l’a modelée d’après </w:t>
      </w:r>
      <w:r>
        <w:t>l’héroïne d’</w:t>
      </w:r>
      <w:r>
        <w:rPr>
          <w:i/>
        </w:rPr>
        <w:t>Andromaque</w:t>
      </w:r>
      <w:r>
        <w:rPr>
          <w:rStyle w:val="Appelnotedebasdep"/>
        </w:rPr>
        <w:footnoteReference w:id="163"/>
      </w:r>
      <w:r>
        <w:t xml:space="preserve">. </w:t>
      </w:r>
      <w:r>
        <w:t>Avant même d’être « une sorte de cousine d’Hermione</w:t>
      </w:r>
      <w:r>
        <w:rPr>
          <w:rStyle w:val="Appelnotedebasdep"/>
        </w:rPr>
        <w:footnoteReference w:id="164"/>
      </w:r>
      <w:r>
        <w:t xml:space="preserve"> », Ériphile est un double de la veuve d’Hector</w:t>
      </w:r>
      <w:r>
        <w:rPr>
          <w:rStyle w:val="Appelnotedebasdep"/>
        </w:rPr>
        <w:footnoteReference w:id="165"/>
      </w:r>
      <w:r>
        <w:t xml:space="preserve">. </w:t>
      </w:r>
    </w:p>
    <w:p>
      <w:pPr>
        <w:ind w:firstLine="283"/>
      </w:pPr>
      <w:r>
        <w:t xml:space="preserve">Racine n’en reconfigure pas moins profondément les données de l’intrigue dans </w:t>
      </w:r>
      <w:r>
        <w:rPr>
          <w:i/>
        </w:rPr>
        <w:t>Iphigénie</w:t>
      </w:r>
      <w:r>
        <w:t xml:space="preserve">. Dès lors, loin d’être une simple réécriture de la figure essentiellement pathétique qu’est la veuve d’Hector, Ériphile devient le support de tragiques multiples, dont les deux premiers ne se succèdent, puis ne </w:t>
      </w:r>
      <w:r>
        <w:t xml:space="preserve">coexistent que pour mieux être spectaculairement désamorcés par le troisième. En elle, Racine articule ainsi pitié et crainte pour finalement mieux les dépasser, et pour mieux ériger le personnage qu’il a créé de toutes pièces en figure « extrêmement » et, surtout, nouvellement « tragique ». </w:t>
      </w:r>
    </w:p>
    <w:p>
      <w:pPr>
        <w:pStyle w:val="Titre2"/>
      </w:pPr>
      <w:r>
        <w:rPr>
          <w:sz w:val="28"/>
        </w:rPr>
        <w:tab/>
      </w:r>
      <w:r>
        <w:rPr>
          <w:b/>
          <w:sz w:val="28"/>
        </w:rPr>
        <w:t>Deux « tristes » captives</w:t>
      </w:r>
    </w:p>
    <w:p>
      <w:pPr>
        <w:ind w:firstLine="283"/>
      </w:pPr>
      <w:r>
        <w:t>Jusqu’au vers 476 d</w:t>
      </w:r>
      <w:r>
        <w:rPr>
          <w:i/>
        </w:rPr>
        <w:t>’Iphigénie</w:t>
      </w:r>
      <w:r>
        <w:t>, le rapprochement d’Ériphile et de la veuve d’Hector s’impose tant Racine martèle leur condition commune de « captives</w:t>
      </w:r>
      <w:r>
        <w:rPr>
          <w:rStyle w:val="Appelnotedebasdep"/>
        </w:rPr>
        <w:footnoteReference w:id="166"/>
      </w:r>
      <w:r>
        <w:t xml:space="preserve"> », et même d’« esclaves</w:t>
      </w:r>
      <w:r>
        <w:rPr>
          <w:rStyle w:val="Appelnotedebasdep"/>
        </w:rPr>
        <w:footnoteReference w:id="167"/>
      </w:r>
      <w:r>
        <w:t xml:space="preserve"> » prises dans les « fers</w:t>
      </w:r>
      <w:r>
        <w:rPr>
          <w:rStyle w:val="Appelnotedebasdep"/>
        </w:rPr>
        <w:footnoteReference w:id="168"/>
      </w:r>
      <w:r>
        <w:t xml:space="preserve"> » de leur « vainqueur</w:t>
      </w:r>
      <w:r>
        <w:rPr>
          <w:rStyle w:val="Appelnotedebasdep"/>
        </w:rPr>
        <w:footnoteReference w:id="169"/>
      </w:r>
      <w:r>
        <w:t xml:space="preserve"> ». L’analogie est d’autant plus évidente qu’elle est doublée d’une autre : de façon caractéristique, Ériphile et Andromaque dépendent toutes deux de Péléides dont l’un – Achille  – est le père de l’autre – Pyrrhus. </w:t>
      </w:r>
    </w:p>
    <w:p>
      <w:pPr>
        <w:ind w:firstLine="283"/>
      </w:pPr>
      <w:r>
        <w:t>Or ces derniers ne partagent pas seulement un même sang : ils sont façonnés sur le même modèle, notamment parce que Racine adapte l’</w:t>
      </w:r>
      <w:r>
        <w:rPr>
          <w:i/>
        </w:rPr>
        <w:t>Iphigénie en Aulide</w:t>
      </w:r>
      <w:r>
        <w:t xml:space="preserve"> d’Euripide. De fait, à ce stade du cycle troyen, le chef des Myrmidons n’est pas encore l’irascible héros de </w:t>
      </w:r>
      <w:r>
        <w:rPr>
          <w:i/>
        </w:rPr>
        <w:t>L’Iliade</w:t>
      </w:r>
      <w:r>
        <w:t>. Il n’est pas encore au pied de Troie et n’a pas encore tué Hector : il n’a donc à son actif que le sac de Lesbos, que Racine a soin de faire évoquer à plusieurs reprises dans sa pièce</w:t>
      </w:r>
      <w:r>
        <w:rPr>
          <w:rStyle w:val="Appelnotedebasdep"/>
        </w:rPr>
        <w:footnoteReference w:id="170"/>
      </w:r>
      <w:r>
        <w:t>. Le dramaturge porte ainsi un éclairage très particulier sur le fils de Pélée ; et il s’avère que celui-ci n’est guère plus tiré des œuvres d’Euphorion de Chalcide</w:t>
      </w:r>
      <w:r>
        <w:rPr>
          <w:rStyle w:val="Appelnotedebasdep"/>
        </w:rPr>
        <w:footnoteReference w:id="171"/>
      </w:r>
      <w:r>
        <w:t xml:space="preserve"> qu’Ériphile de celles de Pausanias. Car les spectateurs avertis ne sauraient oublier qu’</w:t>
      </w:r>
      <w:r>
        <w:rPr>
          <w:i/>
        </w:rPr>
        <w:t>Iphigénie</w:t>
      </w:r>
      <w:r>
        <w:t xml:space="preserve"> vient après </w:t>
      </w:r>
      <w:r>
        <w:rPr>
          <w:i/>
        </w:rPr>
        <w:t xml:space="preserve">Andromaque </w:t>
      </w:r>
      <w:r>
        <w:t>: ils ne peuvent manquer de mettre en parallèle le chef des Myrmidons, qui a saccagé Lesbos, et le roi d’Épire, qui a saccagé Troie. Cela est d’autant plus vrai que, dès le début d’</w:t>
      </w:r>
      <w:r>
        <w:rPr>
          <w:i/>
        </w:rPr>
        <w:t>Andromaque</w:t>
      </w:r>
      <w:r>
        <w:t>, Oreste qualifie Pyrrhus de « Fils d’Achille et de Vainqueur de Troie » (I, 2, v. 146), que Racine lui-même a souligné l’identité de caractère des deux personnages</w:t>
      </w:r>
      <w:r>
        <w:rPr>
          <w:rStyle w:val="Appelnotedebasdep"/>
        </w:rPr>
        <w:footnoteReference w:id="172"/>
      </w:r>
      <w:r>
        <w:t xml:space="preserve"> et qu’Achille semble déjà empiéter sur le futur saccage de Troie par son fils</w:t>
      </w:r>
      <w:r>
        <w:rPr>
          <w:rStyle w:val="Appelnotedebasdep"/>
        </w:rPr>
        <w:footnoteReference w:id="173"/>
      </w:r>
      <w:r>
        <w:t xml:space="preserve">. De ce faisceau d’éléments se </w:t>
      </w:r>
      <w:r>
        <w:t xml:space="preserve">dégage un puissant paradoxe : si Achille est le père mythologique de Pyrrhus, ce dernier est le père du premier du point de vue de la génétique littéraire. Ainsi l’un et l’autre s’entredonnent-ils naissance à différents égards : Achille est le miroir à la fois préalable et rétrospectif de Pyrrhus. </w:t>
      </w:r>
    </w:p>
    <w:p>
      <w:pPr>
        <w:ind w:firstLine="283"/>
      </w:pPr>
      <w:r>
        <w:t>Comme Racine présente Achille avant tout comme le support du traumatisme d’Ériphile, cette dernière devient, à son tour, l’héritière littéraire de la veuve d’Hector. Dès lors, on ne s’étonne pas de la voir associée, comme Andromaque, à l’isotopie du souvenir</w:t>
      </w:r>
      <w:r>
        <w:rPr>
          <w:rStyle w:val="Appelnotedebasdep"/>
        </w:rPr>
        <w:footnoteReference w:id="174"/>
      </w:r>
      <w:r>
        <w:t>. À cet égard, il importe de mettre en parallèle les scènes de remémoration du saccage de Lesbos et de Troie, rappelées par les deux femmes devant leur confidente. De façon significative, l’une et l’autre associent ce souvenir à un même sentiment : l’horreur</w:t>
      </w:r>
      <w:r>
        <w:rPr>
          <w:rStyle w:val="Appelnotedebasdep"/>
        </w:rPr>
        <w:footnoteReference w:id="175"/>
      </w:r>
      <w:r>
        <w:t xml:space="preserve">. Toutes deux, par la suite, formulent la même requête à leur vainqueur : </w:t>
      </w:r>
    </w:p>
    <w:p>
      <w:pPr>
        <w:pStyle w:val="TEIverse"/>
        <w:spacing w:line="240" w:lineRule="auto"/>
        <w:ind w:left="397"/>
        <w:jc w:val="left"/>
      </w:pPr>
      <w:r>
        <w:rPr>
          <w:sz w:val="22"/>
        </w:rPr>
        <w:t>Andromaque</w:t>
      </w:r>
      <w:r>
        <w:br/>
      </w:r>
      <w:r>
        <w:rPr>
          <w:sz w:val="22"/>
        </w:rPr>
        <w:t>C’est un Exil que mes pleurs vous demandent.</w:t>
      </w:r>
      <w:r>
        <w:br/>
      </w:r>
      <w:r>
        <w:rPr>
          <w:sz w:val="22"/>
        </w:rPr>
        <w:t>Souffrez que loin des Grecs, et même loin de vous,</w:t>
      </w:r>
      <w:r>
        <w:br/>
      </w:r>
      <w:r>
        <w:rPr>
          <w:sz w:val="22"/>
        </w:rPr>
        <w:t>J’aille cacher mon Fils, et pleurer mon Époux. (Andromaque, I, 4, v. 338-340)</w:t>
      </w:r>
    </w:p>
    <w:p>
      <w:pPr>
        <w:pStyle w:val="TEIverse"/>
        <w:spacing w:line="240" w:lineRule="auto"/>
        <w:ind w:left="397"/>
        <w:jc w:val="left"/>
      </w:pPr>
      <w:r>
        <w:rPr>
          <w:sz w:val="22"/>
        </w:rPr>
        <w:t>Ériphile</w:t>
      </w:r>
      <w:r>
        <w:br/>
      </w:r>
      <w:r>
        <w:rPr>
          <w:sz w:val="22"/>
        </w:rPr>
        <w:t>Souffrez que loin du Camp, et loin de votre vue,</w:t>
      </w:r>
      <w:r>
        <w:br/>
      </w:r>
      <w:r>
        <w:rPr>
          <w:sz w:val="22"/>
        </w:rPr>
        <w:t>Toujours infortunée, et toujours inconnue ;</w:t>
      </w:r>
      <w:r>
        <w:br/>
      </w:r>
      <w:r>
        <w:rPr>
          <w:sz w:val="22"/>
        </w:rPr>
        <w:t>J’aille cacher un sort si digne de pitié,</w:t>
      </w:r>
      <w:r>
        <w:br/>
      </w:r>
      <w:r>
        <w:rPr>
          <w:sz w:val="22"/>
        </w:rPr>
        <w:t>Et dont mes pleurs encor vous taisent la moitié. (Iphigénie, III, 4, v. 889-892)</w:t>
      </w:r>
    </w:p>
    <w:p>
      <w:pPr>
        <w:pStyle w:val="TEIparagraphconsecutive"/>
      </w:pPr>
      <w:r>
        <w:t>Non seulement Andromaque et Ériphile usent ici exactement du même lexique (</w:t>
      </w:r>
      <w:r>
        <w:rPr>
          <w:i/>
        </w:rPr>
        <w:t xml:space="preserve">souffrez que </w:t>
      </w:r>
      <w:r>
        <w:t>;</w:t>
      </w:r>
      <w:r>
        <w:rPr>
          <w:i/>
        </w:rPr>
        <w:t xml:space="preserve"> j’aille cacher </w:t>
      </w:r>
      <w:r>
        <w:t xml:space="preserve">; </w:t>
      </w:r>
      <w:r>
        <w:rPr>
          <w:i/>
        </w:rPr>
        <w:t xml:space="preserve">loin de </w:t>
      </w:r>
      <w:r>
        <w:t xml:space="preserve">; </w:t>
      </w:r>
      <w:r>
        <w:rPr>
          <w:i/>
        </w:rPr>
        <w:t>pleurer</w:t>
      </w:r>
      <w:r>
        <w:t>/</w:t>
      </w:r>
      <w:r>
        <w:rPr>
          <w:i/>
        </w:rPr>
        <w:t>pleurs</w:t>
      </w:r>
      <w:r>
        <w:t>), mais leurs propos sont syntaxiquement structurés de façon identique : toutes deux usent d’une phrase injonctive organisée autour d’un verbe conjugué au mode impératif, et marquée par un rythme binaire (</w:t>
      </w:r>
      <w:r>
        <w:rPr>
          <w:i/>
        </w:rPr>
        <w:t>loin de... et loin de...</w:t>
      </w:r>
      <w:r>
        <w:t>). On note enfin, dans l’une et l’autre réplique, des mouvements sémantiques parallèles, qui vont du général (</w:t>
      </w:r>
      <w:r>
        <w:rPr>
          <w:i/>
        </w:rPr>
        <w:t xml:space="preserve">les Grecs </w:t>
      </w:r>
      <w:r>
        <w:t xml:space="preserve">/ </w:t>
      </w:r>
      <w:r>
        <w:rPr>
          <w:i/>
        </w:rPr>
        <w:t>du camp</w:t>
      </w:r>
      <w:r>
        <w:t>) au particulier (</w:t>
      </w:r>
      <w:r>
        <w:rPr>
          <w:i/>
        </w:rPr>
        <w:t xml:space="preserve">de </w:t>
      </w:r>
      <w:r>
        <w:rPr>
          <w:i/>
        </w:rPr>
        <w:t xml:space="preserve">vous </w:t>
      </w:r>
      <w:r>
        <w:t xml:space="preserve">/ </w:t>
      </w:r>
      <w:r>
        <w:rPr>
          <w:i/>
        </w:rPr>
        <w:t>de votre vue</w:t>
      </w:r>
      <w:r>
        <w:t xml:space="preserve">). Force est donc de constater que le discours d’Ériphile est strictement modelé d’après celui d’Andromaque. </w:t>
      </w:r>
    </w:p>
    <w:p>
      <w:pPr>
        <w:ind w:firstLine="283"/>
      </w:pPr>
      <w:r>
        <w:t>Si la captive d’Achille est effectivement une figure tragique, c’est donc dans un premier temps parce que, comme la veuve d’Hector, elle est marquée du sceau du pathétique : Racine le manifeste par le recours répété à l’isotopie de la tristesse, que l’on observait déjà dans sa troisième tragédie. En effet, la « triste Ériphile » (</w:t>
      </w:r>
      <w:r>
        <w:rPr>
          <w:i/>
        </w:rPr>
        <w:t>Iphigénie</w:t>
      </w:r>
      <w:r>
        <w:t>, II, 1, v. 417) est très proche de la « captive, toujours triste, importune à [elle-]même » qu’est Andromaque (</w:t>
      </w:r>
      <w:r>
        <w:rPr>
          <w:i/>
        </w:rPr>
        <w:t>Andromaque</w:t>
      </w:r>
      <w:r>
        <w:t>, I, 4, v. 301) – caractéristique dramatisée par le fait que la jeune femme se qualifie ainsi elle-même dès sa première réplique</w:t>
      </w:r>
      <w:r>
        <w:rPr>
          <w:rStyle w:val="Appelnotedebasdep"/>
        </w:rPr>
        <w:footnoteReference w:id="176"/>
      </w:r>
      <w:r>
        <w:t>. Par ailleurs, les deux personnages sont régulièrement associés à la « douleur</w:t>
      </w:r>
      <w:r>
        <w:rPr>
          <w:rStyle w:val="Appelnotedebasdep"/>
        </w:rPr>
        <w:footnoteReference w:id="177"/>
      </w:r>
      <w:r>
        <w:t xml:space="preserve"> » et aux « pleurs</w:t>
      </w:r>
      <w:r>
        <w:rPr>
          <w:rStyle w:val="Appelnotedebasdep"/>
        </w:rPr>
        <w:footnoteReference w:id="178"/>
      </w:r>
      <w:r>
        <w:t xml:space="preserve"> ». À la fois captive et « triste », au sens étymologique et courant du terme (au XVII</w:t>
      </w:r>
      <w:r>
        <w:rPr>
          <w:vertAlign w:val="superscript"/>
        </w:rPr>
        <w:t>e</w:t>
      </w:r>
      <w:r>
        <w:t xml:space="preserve"> siècle</w:t>
      </w:r>
      <w:r>
        <w:rPr>
          <w:rStyle w:val="Appelnotedebasdep"/>
        </w:rPr>
        <w:footnoteReference w:id="179"/>
      </w:r>
      <w:r>
        <w:t xml:space="preserve"> comme aujourd’hui)</w:t>
      </w:r>
      <w:r>
        <w:t xml:space="preserve">, Ériphile apparaît donc comme un véritable double de la veuve d’Hector. </w:t>
      </w:r>
    </w:p>
    <w:p>
      <w:pPr>
        <w:pStyle w:val="Titre2"/>
      </w:pPr>
      <w:r>
        <w:rPr>
          <w:b/>
          <w:sz w:val="28"/>
        </w:rPr>
        <w:tab/>
      </w:r>
      <w:r>
        <w:rPr>
          <w:b/>
          <w:sz w:val="28"/>
        </w:rPr>
        <w:t>Un miroir inversé d’Andromaque</w:t>
      </w:r>
    </w:p>
    <w:p>
      <w:pPr>
        <w:ind w:firstLine="283"/>
      </w:pPr>
      <w:r>
        <w:t xml:space="preserve">Tout bascule cependant au vers 476 de la tragédie, quand le spectateur apprend que, contrairement à Andromaque, Ériphile aime le vainqueur qu’elle devrait haïr. </w:t>
      </w:r>
    </w:p>
    <w:p>
      <w:pPr>
        <w:ind w:firstLine="283"/>
      </w:pPr>
      <w:r>
        <w:t>C’est ici que Racine montre toute l’étendue de la maîtrise de son art. Le fait de retarder le fatal aveu de la jeune femme au niveau aussi bien macro-structurel (p</w:t>
      </w:r>
      <w:r>
        <w:t>uisque la révélation n’a lieu qu’au début du deuxième acte)</w:t>
      </w:r>
      <w:r>
        <w:t xml:space="preserve"> que micro-structurel (p</w:t>
      </w:r>
      <w:r>
        <w:t>uisqu’Ériphile met plus de quatre-vingt vers à se résoudre à parler)</w:t>
      </w:r>
      <w:r>
        <w:t xml:space="preserve"> relève effectivement du coup de maître. Dans un premier temps, cela lui permet de concentrer l’attention du spectateur sur le déplorable sort de la captive</w:t>
      </w:r>
      <w:r>
        <w:rPr>
          <w:rStyle w:val="Appelnotedebasdep"/>
        </w:rPr>
        <w:footnoteReference w:id="180"/>
      </w:r>
      <w:r>
        <w:t xml:space="preserve"> : jusqu’au vers 476, rien n’importe sinon le fait qu’Ériphile ignore sa naissance, « l’Oracle effrayant » qui pèse sur elle (II, 1, v. 428), la ruine de Lesbos et l’esclavage auquel elle a été réduite. Mais un tel procédé ne met que mieux en valeur, rétrospectivement, l’infamie du personnage : plus les spectateurs l’auront plainte, plus ils auront d’horreur pour elle quand ils apprendront qu’elle aime Achille et, surtout, quand ils verront à quelles extrémités cet amour la réduira. Ainsi le dramaturge parvient-il à faire d’Ériphile une figure tragique complète, c’est-à-dire à la fois pathétique et terrible : au lieu de simplement dissoudre la pitié que les spectateurs éprouvent pour Ériphile, Racine l’entretient soigneusement tout en l’enrichissant d’une crainte viscérale. </w:t>
      </w:r>
    </w:p>
    <w:p>
      <w:pPr>
        <w:ind w:firstLine="283"/>
      </w:pPr>
      <w:r>
        <w:t>Double d’Andromaque, Ériphile l’était donc assurément jusqu’au vers 476 ; et elle le reste au-delà</w:t>
      </w:r>
      <w:r>
        <w:rPr>
          <w:rStyle w:val="Appelnotedebasdep"/>
        </w:rPr>
        <w:footnoteReference w:id="181"/>
      </w:r>
      <w:r>
        <w:t xml:space="preserve">. Mais elle n’en est pas moins un double dégradé, ce que Racine esquisse, très ironiquement, dès le début de la pièce. En effet, voici en quels termes le roi des rois s’adresse à son domestique Arcas dans la première scène de la tragédie : </w:t>
      </w:r>
    </w:p>
    <w:p>
      <w:pPr>
        <w:pStyle w:val="TEIverse"/>
        <w:spacing w:line="240" w:lineRule="auto"/>
        <w:ind w:left="397"/>
        <w:jc w:val="left"/>
      </w:pPr>
      <w:r>
        <w:rPr>
          <w:sz w:val="22"/>
        </w:rPr>
        <w:t>Agamemnon</w:t>
      </w:r>
      <w:r>
        <w:br/>
      </w:r>
      <w:r>
        <w:rPr>
          <w:sz w:val="22"/>
        </w:rPr>
        <w:t>Ajoute, tu le peux, que des froideurs d’Achille</w:t>
      </w:r>
      <w:r>
        <w:br/>
      </w:r>
      <w:r>
        <w:rPr>
          <w:sz w:val="22"/>
        </w:rPr>
        <w:t>On accuse en secret cette jeune Ériphile,</w:t>
      </w:r>
      <w:r>
        <w:br/>
      </w:r>
      <w:r>
        <w:rPr>
          <w:sz w:val="22"/>
        </w:rPr>
        <w:t>Que lui-même captive amena de Lesbos,</w:t>
      </w:r>
      <w:r>
        <w:br/>
      </w:r>
      <w:r>
        <w:rPr>
          <w:sz w:val="22"/>
        </w:rPr>
        <w:t>Et qu’auprès de ma Fille on garde dans Argos. (I, 1, v. 153-156)</w:t>
      </w:r>
    </w:p>
    <w:p>
      <w:pPr>
        <w:pStyle w:val="TEIparagraphconsecutive"/>
      </w:pPr>
      <w:r>
        <w:t xml:space="preserve">Comment ne pas voir, ici encore, l’ombre d’Andromaque se profiler sur Ériphile ? La suggestion d’Agamemnon est une pure réécriture de la troisième tragédie de Racine : dans </w:t>
      </w:r>
      <w:r>
        <w:rPr>
          <w:i/>
        </w:rPr>
        <w:t>Iphigénie</w:t>
      </w:r>
      <w:r>
        <w:t xml:space="preserve"> comme dans </w:t>
      </w:r>
      <w:r>
        <w:rPr>
          <w:i/>
        </w:rPr>
        <w:t>Andromaque</w:t>
      </w:r>
      <w:r>
        <w:t>, une princesse et une captive sont simultanément emmenées dans un même lieu pour voir leur sort fixé par un célèbre destructeur de ville</w:t>
      </w:r>
      <w:r>
        <w:rPr>
          <w:rStyle w:val="Appelnotedebasdep"/>
        </w:rPr>
        <w:footnoteReference w:id="182"/>
      </w:r>
      <w:r>
        <w:t xml:space="preserve"> – simultanéité qui relève exclusivement de l’invention racinienne. </w:t>
      </w:r>
    </w:p>
    <w:p>
      <w:pPr>
        <w:ind w:firstLine="283"/>
      </w:pPr>
      <w:r>
        <w:t>Or le propos d’Agamemnon est une pure fausse piste : non seulement il est très brièvement et très négligemment formulé, mais il est spectaculairement démenti par deux fois – la première dès la deuxième scène de la pièce, où Achille manifeste son empressement amoureux, ironiquement, devant celui-là même qui lui prête des velléités d’abandon</w:t>
      </w:r>
      <w:r>
        <w:rPr>
          <w:rStyle w:val="Appelnotedebasdep"/>
        </w:rPr>
        <w:footnoteReference w:id="183"/>
      </w:r>
      <w:r>
        <w:t xml:space="preserve"> ; la deuxième à la fin du deuxième acte, quand le chef des Myrmidons explique à Ériphile qu’il est tout à Iphigénie</w:t>
      </w:r>
      <w:r>
        <w:rPr>
          <w:rStyle w:val="Appelnotedebasdep"/>
        </w:rPr>
        <w:footnoteReference w:id="184"/>
      </w:r>
      <w:r>
        <w:t xml:space="preserve">. Même le spectateur le plus crédule se ferait scrupule de croire à une déclaration aussi fermement et indiscutablement démentie. Celle-ci ne peut dès lors être considérée que comme un surcroît de vraisemblance au stratagème d’Agamemnon, et vaut exclusivement en tant que référence de Racine à sa propre œuvre. Mais il ne s’agit plus, cette fois, d’étayer le parallèle établi entre Andromaque et Ériphile ; au contraire, la référence intra-racinienne sert de support à leur mise en opposition. N’étant pas aimée de son vainqueur, Ériphile est construite en miroir inversé de la veuve d’Hector. </w:t>
      </w:r>
    </w:p>
    <w:p>
      <w:pPr>
        <w:ind w:firstLine="283"/>
      </w:pPr>
      <w:r>
        <w:t>D’une même situation, Racine tire ainsi des conséquences opposées. Le motif des pleurs, notamment, s’en trouve intégralement remotivé</w:t>
      </w:r>
      <w:r>
        <w:rPr>
          <w:i/>
        </w:rPr>
        <w:t xml:space="preserve"> </w:t>
      </w:r>
      <w:r>
        <w:t xml:space="preserve">: là où la mère d’Astyanax pleure son époux défunt et les dangers encourus par son fils, Ériphile se désole de ne pas être aimée d’Achille. Si, de façon caractéristique, toutes deux demandent à être exilées, leurs requêtes respectives sont suscitées par des motivations strictement contraires : l’une n’est mue que par sa fidélité à son défunt époux et par sa haine pour Pyrrhus, alors que </w:t>
      </w:r>
      <w:r>
        <w:t>l’autre est guidée par la passion fatale qu’elle voue à son vainqueur. L’</w:t>
      </w:r>
      <w:r>
        <w:rPr>
          <w:i/>
        </w:rPr>
        <w:t>ethos</w:t>
      </w:r>
      <w:r>
        <w:t xml:space="preserve"> de la « triste » captive s’enrichit dès lors d’un nouvel aspect : « affligée</w:t>
      </w:r>
      <w:r>
        <w:rPr>
          <w:rStyle w:val="Appelnotedebasdep"/>
        </w:rPr>
        <w:footnoteReference w:id="185"/>
      </w:r>
      <w:r>
        <w:t xml:space="preserve"> », Ériphile devient également « sombre » et « funeste », selon le second sens étymologique du terme. Consœur d’Andromaque, elle est également « cousine d’Hermione</w:t>
      </w:r>
      <w:r>
        <w:rPr>
          <w:rStyle w:val="Appelnotedebasdep"/>
        </w:rPr>
        <w:footnoteReference w:id="186"/>
      </w:r>
      <w:r>
        <w:t xml:space="preserve"> » parce qu’elle devient ferment de discorde au sein du camp grec</w:t>
      </w:r>
      <w:r>
        <w:rPr>
          <w:rStyle w:val="Appelnotedebasdep"/>
        </w:rPr>
        <w:footnoteReference w:id="187"/>
      </w:r>
      <w:r>
        <w:t>. C’est pourquoi tout se finit pour elle comme pour la « fille d’Hélène », c’est-à-dire devant un autel, par la lame d’un couteau</w:t>
      </w:r>
      <w:r>
        <w:rPr>
          <w:rStyle w:val="Appelnotedebasdep"/>
        </w:rPr>
        <w:footnoteReference w:id="188"/>
      </w:r>
      <w:r>
        <w:t xml:space="preserve">. L’inversion est patente et suprêmement ironique : là où Andromaque épouse Pyrrhus au Temple et survit, Ériphile ne se marie pas et se suicide. En elle, Racine réussit donc la synthèse formidable et « extrêmement tragique » – </w:t>
      </w:r>
      <w:r>
        <w:t>τραγικώτατη –</w:t>
      </w:r>
      <w:r>
        <w:t xml:space="preserve"> de la « triste » captive » et de l’amante monstrueuse. </w:t>
      </w:r>
    </w:p>
    <w:p>
      <w:pPr>
        <w:pStyle w:val="Titre2"/>
      </w:pPr>
      <w:r>
        <w:rPr>
          <w:b/>
          <w:sz w:val="28"/>
        </w:rPr>
        <w:tab/>
      </w:r>
      <w:r>
        <w:rPr>
          <w:b/>
          <w:sz w:val="28"/>
        </w:rPr>
        <w:t xml:space="preserve">Le tragique de l’héroïne avortée </w:t>
      </w:r>
    </w:p>
    <w:p>
      <w:pPr>
        <w:ind w:firstLine="283"/>
      </w:pPr>
      <w:r>
        <w:t>Or, une fois encore, tout bascule – en l’occurrence dans la dernière scène de la pièce, à partir du vers 1749. En effet, le spectateur apprend alors que l’origine troyenne de la jeune femme, suggérée dès le deuxième acte, n’était qu’un leurre, puisqu’elle est en réalité fille d’Hélène et de Thésée</w:t>
      </w:r>
      <w:r>
        <w:rPr>
          <w:rStyle w:val="Appelnotedebasdep"/>
        </w:rPr>
        <w:footnoteReference w:id="189"/>
      </w:r>
      <w:r>
        <w:t xml:space="preserve">. Et pour cause : les informations dont Ériphile disposait jusque-là prêtaient à confusion. Quand le père de Doris lui a dit que « dans cette Troie où [elle était] attendue, / [Sa] gloire [lui] allait être rendue », et qu’elle « alla[it], en reprenant et [son] nom et [son] rang, / Des plus grands Rois en [elle] reconnaître le sang » (II, 1, v. 441-444), la jeune femme ne pouvait manquer de penser qu’elle était du sang de Priam. Le nombre phénoménal d’enfants que la mythologie attribue à ce dernier confortait cette idée préconçue. Ainsi la jeune femme peut-elle se prévaloir en toute plausibilité d’une patrie simplement supposée quand elle se fantasme en ferment de discorde pour les Grecs : </w:t>
      </w:r>
    </w:p>
    <w:p>
      <w:pPr>
        <w:pStyle w:val="TEIverse"/>
        <w:spacing w:line="240" w:lineRule="auto"/>
        <w:ind w:left="397"/>
        <w:jc w:val="left"/>
      </w:pPr>
      <w:r>
        <w:rPr>
          <w:sz w:val="22"/>
        </w:rPr>
        <w:t>Ériphile</w:t>
      </w:r>
      <w:r>
        <w:br/>
      </w:r>
      <w:r>
        <w:rPr>
          <w:sz w:val="22"/>
        </w:rPr>
        <w:t>Ah, Doris, quelle joie !</w:t>
      </w:r>
      <w:r>
        <w:br/>
      </w:r>
      <w:r>
        <w:rPr>
          <w:sz w:val="22"/>
        </w:rPr>
        <w:t>Que d’encens brûlerait dans les Temples de Troie !</w:t>
      </w:r>
      <w:r>
        <w:br/>
      </w:r>
      <w:r>
        <w:rPr>
          <w:sz w:val="22"/>
        </w:rPr>
        <w:t>Si troublant tous les Grecs et vengeant ma prison</w:t>
      </w:r>
      <w:r>
        <w:br/>
      </w:r>
      <w:r>
        <w:rPr>
          <w:sz w:val="22"/>
        </w:rPr>
        <w:t>Je pouvais contre Achille armer Agamemnon,</w:t>
      </w:r>
      <w:r>
        <w:br/>
      </w:r>
      <w:r>
        <w:rPr>
          <w:sz w:val="22"/>
        </w:rPr>
        <w:t>Si leur haine, de Troie oubliant la querelle,</w:t>
      </w:r>
      <w:r>
        <w:br/>
      </w:r>
      <w:r>
        <w:rPr>
          <w:sz w:val="22"/>
        </w:rPr>
        <w:t>Tournait contre eux le fer qu’ils aiguisent contre elle,</w:t>
      </w:r>
      <w:r>
        <w:br/>
      </w:r>
      <w:r>
        <w:rPr>
          <w:sz w:val="22"/>
        </w:rPr>
        <w:t>Et si de tout le Camp mes avis dangereux</w:t>
      </w:r>
      <w:r>
        <w:br/>
      </w:r>
      <w:r>
        <w:rPr>
          <w:sz w:val="22"/>
        </w:rPr>
        <w:t>Faisaient à ma Patrie un Sacrifice heureux. (IV, 1, v. 1133-1140)</w:t>
      </w:r>
    </w:p>
    <w:p>
      <w:pPr>
        <w:pStyle w:val="TEIparagraphconsecutive"/>
      </w:pPr>
      <w:r>
        <w:t xml:space="preserve">Nous soulignons le groupe nominal </w:t>
      </w:r>
      <w:r>
        <w:rPr>
          <w:i/>
        </w:rPr>
        <w:t>ma Patrie</w:t>
      </w:r>
      <w:r>
        <w:t xml:space="preserve">, éminemment ironique puisque, en réalité, Ériphile est grecque. Si elle devait aller à Troie pour s’y faire rendre et nom et rang, c’est parce qu’Hélène s’y trouvait ; mais comme le père de Doris est mort sans l’avoir pleinement éclairée, Ériphile a fait une certitude d’une simple, et même fort hasardeuse conjecture. </w:t>
      </w:r>
    </w:p>
    <w:p>
      <w:pPr>
        <w:ind w:firstLine="283"/>
      </w:pPr>
      <w:r>
        <w:t xml:space="preserve">La méprise est profondément tragique parce qu’elle est empreinte d’une cruelle ironie. En effet, si Ériphile ne dit rien du </w:t>
      </w:r>
      <w:r>
        <w:t>« fatal amour [dont elle est] possédée » (II, 1, v. 482) sinon à sa confidente Doris, c’est parce qu’elle est persuadée de « [sortir] d’un sang [qu’Achille] brûle de répandre » (II, 5, v. 710). Convaincue d’être Troyenne, elle se réduit elle-même au silence</w:t>
      </w:r>
      <w:r>
        <w:rPr>
          <w:rStyle w:val="Appelnotedebasdep"/>
        </w:rPr>
        <w:footnoteReference w:id="190"/>
      </w:r>
      <w:r>
        <w:t xml:space="preserve"> et programme ainsi sa propre relégation à l’arrière-plan de l’action. En cela, Racine aligne la structure dramaturgique du rôle sur la marginalisation constitutive du personnage</w:t>
      </w:r>
      <w:r>
        <w:rPr>
          <w:rStyle w:val="Appelnotedebasdep"/>
        </w:rPr>
        <w:footnoteReference w:id="191"/>
      </w:r>
      <w:r>
        <w:t xml:space="preserve">. </w:t>
      </w:r>
    </w:p>
    <w:p>
      <w:pPr>
        <w:ind w:firstLine="283"/>
      </w:pPr>
      <w:r>
        <w:t>Et de fait, contrairement à Iphigénie</w:t>
      </w:r>
      <w:r>
        <w:rPr>
          <w:rStyle w:val="Appelnotedebasdep"/>
        </w:rPr>
        <w:footnoteReference w:id="192"/>
      </w:r>
      <w:r>
        <w:t>, la jeune femme n’a aucune « grande scène » avec Achille. Si elle a pu croire quelques instants que cette scène allait advenir (II, 7), les spectateurs, qui ont entendu le héros professer son amour pour la fille d’Agamemnon au premier acte</w:t>
      </w:r>
      <w:r>
        <w:rPr>
          <w:rStyle w:val="Appelnotedebasdep"/>
        </w:rPr>
        <w:footnoteReference w:id="193"/>
      </w:r>
      <w:r>
        <w:t>, savent qu’un tel espoir est étouffé dans l’œuf. Le fait qu’Achille interrompe la jeune femme au moment où elle commence à formuler cet espoir</w:t>
      </w:r>
      <w:r>
        <w:rPr>
          <w:rStyle w:val="Appelnotedebasdep"/>
        </w:rPr>
        <w:footnoteReference w:id="194"/>
      </w:r>
      <w:r>
        <w:t xml:space="preserve"> est éminemment symbolique : désormais muselée, Ériphile se trouve progressivement invisibilisée au sein d’une tragédie qui, quoiqu’elle porte techniquement son nom, la cantonne au statut de figure secondaire. </w:t>
      </w:r>
    </w:p>
    <w:p>
      <w:pPr>
        <w:ind w:firstLine="283"/>
      </w:pPr>
      <w:r>
        <w:t>Certes, « [c’était elle] et non Iphigénie qui [paraissait] la première</w:t>
      </w:r>
      <w:r>
        <w:rPr>
          <w:rStyle w:val="Appelnotedebasdep"/>
        </w:rPr>
        <w:footnoteReference w:id="195"/>
      </w:r>
      <w:r>
        <w:t xml:space="preserve"> », au deuxième acte de la pièce : cet état de fait interroge à juste titre. Mais la valorisation d’Ériphile n’est pas le but ultime de la manœuvre : au contraire, le procédé exhibe, par contraste, l’effacement progressif du personnage au profit de sa rivale. Dans ces conditions, il est logique de ne pas voir Ériphile paraître au cinquième acte de la pièce, alors qu’Iphigénie l’ouvre et reste visible jusqu’à la fin de la troisième scène. Ériphile n’est plus alors une « triste captive » : ce tragique a volé en éclats dès que le public a appris sa véritable naissance. À ce stade de la pièce, la jeune femme est totalement éclipsée par la cousine qu’elle déteste. Elle n’est plus </w:t>
      </w:r>
      <w:r>
        <w:rPr>
          <w:i/>
        </w:rPr>
        <w:t>rien</w:t>
      </w:r>
      <w:r>
        <w:t xml:space="preserve">, sinon un moyen d’éviter de heurter le public en vertu du principe de « justice distributive » qui préside aux sorts des personnages </w:t>
      </w:r>
      <w:r>
        <w:t>féminins chez Racine</w:t>
      </w:r>
      <w:r>
        <w:rPr>
          <w:rStyle w:val="Appelnotedebasdep"/>
        </w:rPr>
        <w:footnoteReference w:id="196"/>
      </w:r>
      <w:r>
        <w:t xml:space="preserve"> : « une utilité en quelque sorte</w:t>
      </w:r>
      <w:r>
        <w:rPr>
          <w:rStyle w:val="Appelnotedebasdep"/>
        </w:rPr>
        <w:footnoteReference w:id="197"/>
      </w:r>
      <w:r>
        <w:t xml:space="preserve"> », qui fait bien pâle figure auprès d’Iphigénie. </w:t>
      </w:r>
    </w:p>
    <w:p>
      <w:pPr>
        <w:ind w:firstLine="283"/>
      </w:pPr>
      <w:r>
        <w:t>On mesure dès lors tout le poids de l’ultime périphrase qui désigne Ériphile. Si, en dernière analyse, celle-ci est effectivement « une autre Iphigénie » (V, 6, v. 1749), c’est parce qu’au moment suprême où elle pourrait accéder au statut d’héroïne, non seulement elle n’existe plus par le nom qui la singularise, mais qu</w:t>
      </w:r>
      <w:r>
        <w:t xml:space="preserve">’en plus, </w:t>
      </w:r>
      <w:r>
        <w:t xml:space="preserve">elle est ravalée à un rang symbolique inférieur par l’usage de l’article indéfini. La formule manifeste que la captive d’Achille s’est véritablement fait éclipser, et même effacer par sa cousine, la véritable héroïne de la tragédie. </w:t>
      </w:r>
    </w:p>
    <w:p>
      <w:pPr>
        <w:ind w:firstLine="283"/>
      </w:pPr>
      <w:r>
        <w:t>Une fois encore, le parallèle d’Ériphile et d’Andromaque s’impose. De fait, les deux femmes suivent une trajectoire similaire, puisque l’une et l’autre passent du camp troyen à celui des Grecs. Mais quel contraste frappant la captive d’Achille offre avec celle de Pyrrhus ! Rappelons en effet que, dans la première version d’</w:t>
      </w:r>
      <w:r>
        <w:rPr>
          <w:i/>
        </w:rPr>
        <w:t>Andromaque</w:t>
      </w:r>
      <w:r>
        <w:t>, Racine fait reparaître le personnage éponyme aux côtés d’Oreste, dans la troisième scène du dernier acte. Cette ultime apparition (supprimée en 1673</w:t>
      </w:r>
      <w:r>
        <w:rPr>
          <w:rStyle w:val="Appelnotedebasdep"/>
        </w:rPr>
        <w:footnoteReference w:id="198"/>
      </w:r>
      <w:r>
        <w:t>) est fondamentale pour prendre toute la mesure du tragique du personnage. En effet, si la veuve d’Hector est, une fois encore, associée aux « pleurs », la motivation de ses larmes est intégralement réorientée. Jusque-là, Andromaque déplorait la mort de son premier époux ; désormais, elle est contrainte à pleurer le second, que pourtant elle hait – raison pour laquelle sa « misère » s’en trouve « accrue</w:t>
      </w:r>
      <w:r>
        <w:rPr>
          <w:rStyle w:val="Appelnotedebasdep"/>
        </w:rPr>
        <w:footnoteReference w:id="199"/>
      </w:r>
      <w:r>
        <w:t xml:space="preserve"> ». Or elle est la première responsable de son propre malheur. De fait, elle savait à quoi un mariage avec Pyrrhus l’engageait : elle comptait précisément sur ce qu’impliquait ce « nœud</w:t>
      </w:r>
      <w:r>
        <w:rPr>
          <w:rStyle w:val="Appelnotedebasdep"/>
        </w:rPr>
        <w:footnoteReference w:id="200"/>
      </w:r>
      <w:r>
        <w:t xml:space="preserve"> » (selon la terminologie éminemment significative de l’époque</w:t>
      </w:r>
      <w:r>
        <w:rPr>
          <w:rStyle w:val="Appelnotedebasdep"/>
        </w:rPr>
        <w:footnoteReference w:id="201"/>
      </w:r>
      <w:r>
        <w:t>) pour préserver la vie d’Astyanax après son propre suicide</w:t>
      </w:r>
      <w:r>
        <w:rPr>
          <w:rStyle w:val="Appelnotedebasdep"/>
        </w:rPr>
        <w:footnoteReference w:id="202"/>
      </w:r>
      <w:r>
        <w:t xml:space="preserve">. Mais ce qui était censé </w:t>
      </w:r>
      <w:r>
        <w:t>la libérer du joug des Grecs est précisément ce qui la prend au piège : désormais veuve non seulement du fils de Priam, mais également de Pyrrhus, elle est irrémédiablement et définitivement liée à ce dernier. « Pyrrhus de [s]on Hector [ne] semble [pas seulement] avoir pris la place » (V, 3, v. 1522) : il l’a bel et bien prise, précisément par la faute d’Andromaque. Le tragique de cette dernière s’accomplit dans ce déchirement qu’elle a, ironiquement, elle-même organisé pour le restant de ses jours</w:t>
      </w:r>
      <w:r>
        <w:rPr>
          <w:rStyle w:val="Appelnotedebasdep"/>
        </w:rPr>
        <w:footnoteReference w:id="203"/>
      </w:r>
      <w:r>
        <w:t xml:space="preserve">. </w:t>
      </w:r>
    </w:p>
    <w:p>
      <w:pPr>
        <w:ind w:firstLine="283"/>
      </w:pPr>
      <w:r>
        <w:t>On voit ici quel gouffre sépare Andromaque d’Ériphile. La première accède au rang d’héroïne tragique parce qu’elle est condamnée à pleurer un vainqueur qu’elle a épousé alors qu’elle se devait de le haïr ; la seconde, à l’inverse, est reléguée aux marges de l’action parce qu’elle aime un homme qu’elle croit être coupable d’aimer. Ainsi, la comparaison de la troisième et de la huitième tragédie de Racine s’avère essentielle pour éclairer et évaluer les enjeux du tragique d’Ériphile : c’est grâce à ce rapprochement que l’on comprend que la captive d’Achille est, pire qu’un rôle simplement secondaire, une héroïne tragique avortée</w:t>
      </w:r>
      <w:r>
        <w:rPr>
          <w:rStyle w:val="Appelnotedebasdep"/>
        </w:rPr>
        <w:footnoteReference w:id="204"/>
      </w:r>
      <w:r>
        <w:t xml:space="preserve"> ; donc que l’on mesure toute la cruauté du sort de celle qui, au lieu d’être une nouvelle Andromaque, ne sera jamais qu’une « autre Iphigénie ». </w:t>
      </w:r>
    </w:p>
    <w:p>
      <w:pPr>
        <w:ind w:firstLine="283"/>
      </w:pPr>
      <w:r>
        <w:tab/>
      </w:r>
      <w:r>
        <w:rPr>
          <w:b/>
        </w:rPr>
        <w:t xml:space="preserve">Conclusion </w:t>
      </w:r>
    </w:p>
    <w:p>
      <w:pPr>
        <w:ind w:firstLine="283"/>
      </w:pPr>
      <w:r>
        <w:t>Au terme de ces considérations, on comprend pourquoi, à la suite de Doris</w:t>
      </w:r>
      <w:r>
        <w:rPr>
          <w:rStyle w:val="Appelnotedebasdep"/>
        </w:rPr>
        <w:footnoteReference w:id="205"/>
      </w:r>
      <w:r>
        <w:t>, il importe de plaindre Ériphile. De fait, jusqu’au dernier moment, les spectateurs voient en elle une captive « triste » aux deux sens étymologiques du terme. À ce titre, elle semblait destinée à être érigée au rang d’héroïne tragique</w:t>
      </w:r>
      <w:r>
        <w:rPr>
          <w:rStyle w:val="Appelnotedebasdep"/>
        </w:rPr>
        <w:footnoteReference w:id="206"/>
      </w:r>
      <w:r>
        <w:t xml:space="preserve">, comme Andromaque. Or Racine fait voler cette représentation en éclats à la dernière minute. En révélant qu’Ériphile est non pas une Troyenne, mais la première fille d’Hélène, non seulement il étouffe le tragique de la « triste » captive dans l’œuf, mais il rejette la jeune femme aux marges de l’action. Au lieu d’être le cœur de la tragédie qui, techniquement, porte son nom, Ériphile en est progressivement effacée. </w:t>
      </w:r>
    </w:p>
    <w:p>
      <w:pPr>
        <w:ind w:firstLine="283"/>
      </w:pPr>
      <w:r>
        <w:t>Un tel tragique nous est tout particulièrement sensible en ces temps où l’invisibilisation des femmes nous est devenue intolérable. En effet, s</w:t>
      </w:r>
      <w:r>
        <w:t xml:space="preserve">i Ériphile est </w:t>
      </w:r>
      <w:r>
        <w:t>assurément une figure tragique, et notamment pathétique, c’est non seulement parce qu’elle est monstrueuse, mais surtout, à nos yeux, parce qu’elle se fait refuser l’accès au statut d’héroïne alors que tout semblait lui promettre ce sort littérairement glorieux ; parce que, comme l’a vu Christian Delmas, elle « reste quasiment jusqu’au bout une comparse en marge de la situation vécue par les autres personnages</w:t>
      </w:r>
      <w:r>
        <w:rPr>
          <w:rStyle w:val="Appelnotedebasdep"/>
        </w:rPr>
        <w:footnoteReference w:id="207"/>
      </w:r>
      <w:r>
        <w:t xml:space="preserve"> ». Si on la plaint malgré sa monstruosité, c’est parce que la fureur qui la dévore, toute tragique qu’elle est, ne lui permet d’exister qu’un temps aux yeux des autres personnages ; et parce que,</w:t>
      </w:r>
      <w:r>
        <w:t xml:space="preserve"> contrairement à Andromaque, elle est progressivement effacée au sein d’une tragédie dont elle aurait dû être l’alpha et l’oméga. En d’autres termes, si Ériphile est, de fait, « extrêmement tragique » – </w:t>
      </w:r>
      <w:r>
        <w:t xml:space="preserve">τραγικώτατη – à nos yeux, c’est parce qu’en elle, </w:t>
      </w:r>
      <w:r>
        <w:t>Racine a trouvé le moyen de tuer non seulement Iphigénie</w:t>
      </w:r>
      <w:r>
        <w:rPr>
          <w:rStyle w:val="Appelnotedebasdep"/>
        </w:rPr>
        <w:footnoteReference w:id="208"/>
      </w:r>
      <w:r>
        <w:t xml:space="preserve">, mais aussi et surtout la veuve d’Hector. </w:t>
      </w:r>
    </w:p>
    <w:p>
      <w:pPr>
        <w:pStyle w:val="Titre2"/>
      </w:pPr>
      <w:r>
        <w:rPr>
          <w:sz w:val="28"/>
        </w:rPr>
        <w:t>Caroline Labrune</w:t>
      </w:r>
    </w:p>
    <w:p>
      <w:pPr>
        <w:pStyle w:val="Titre2"/>
      </w:pPr>
      <w:r>
        <w:rPr>
          <w:sz w:val="28"/>
        </w:rPr>
        <w:t>CÉRÉdI (Université de Rouen Normandie)</w:t>
      </w:r>
    </w:p>
    <w:p>
      <w:r>
        <w:br w:type="page"/>
      </w:r>
    </w:p>
    <w:p>
      <w:pPr>
        <w:pStyle w:val="Titre2"/>
      </w:pPr>
      <w:r>
        <w:rPr>
          <w:b/>
          <w:i/>
          <w:smallCaps/>
          <w:sz w:val="28"/>
        </w:rPr>
        <w:t>L’expiration mythologique racinienne</w:t>
      </w:r>
    </w:p>
    <w:p>
      <w:pPr>
        <w:ind w:firstLine="283"/>
      </w:pPr>
      <w:r>
        <w:t>par Hubert Aupetit</w:t>
      </w:r>
    </w:p>
    <w:p>
      <w:pPr>
        <w:ind w:firstLine="283"/>
      </w:pPr>
      <w:r>
        <w:t xml:space="preserve">Aux universitaires savants qui m’entourent, je proposerai aujourd'hui un exercice de purgation intellectuelle que l’éminent critique Michel Charles appelle la « lecture naïve ». </w:t>
      </w:r>
    </w:p>
    <w:p>
      <w:pPr>
        <w:ind w:firstLine="283"/>
      </w:pPr>
      <w:r>
        <w:t xml:space="preserve">Supposons que nous n’ayons pas lu Aristote, pas lu Euripide, pas lu les tragiques grecs et latin, que toute cette mythologie dont Racine sature ses deux dernières tragédies nous soit étrangère... </w:t>
      </w:r>
    </w:p>
    <w:p>
      <w:pPr>
        <w:ind w:firstLine="283"/>
      </w:pPr>
      <w:r>
        <w:t>Asseyons-nous dans un théâtre, assistons à une représentation d’</w:t>
      </w:r>
      <w:r>
        <w:rPr>
          <w:i/>
        </w:rPr>
        <w:t xml:space="preserve">Iphigénie, </w:t>
      </w:r>
      <w:r>
        <w:t xml:space="preserve">par exemple dans la mise en scène en complet-veston de Stéphane Braunschweig, dont les costumes et les décors ont le mérite, pour notre exercice désuniversitaire, de ne pas chercher à nous faire croire une seconde à la possibilité que les personnages croient aux divinités qu’ils invoquent - pas plus qu’aux bûchers et aux sacrifices qu’elles exigent. </w:t>
      </w:r>
    </w:p>
    <w:p>
      <w:pPr>
        <w:ind w:firstLine="283"/>
      </w:pPr>
      <w:r>
        <w:t>Que reste-t-il ?</w:t>
      </w:r>
    </w:p>
    <w:p>
      <w:pPr>
        <w:ind w:firstLine="283"/>
      </w:pPr>
      <w:r>
        <w:t>L’amour...</w:t>
      </w:r>
    </w:p>
    <w:p>
      <w:pPr>
        <w:ind w:firstLine="283"/>
      </w:pPr>
      <w:r>
        <w:t>Je propose donc de prendre cette tragédie de Racine, que l’on présente généralement comme une greffe galante plus ou moins réussie sur une intrigue mythologique, à l’envers.</w:t>
      </w:r>
    </w:p>
    <w:p>
      <w:pPr>
        <w:ind w:firstLine="283"/>
      </w:pPr>
      <w:r>
        <w:t xml:space="preserve">Faisons l’hypothèse que ce qui intéresse l’auteur de cette pièce n’est pas tant Aristote ou Euripide que de nous dire quelque chose sur l’amour, voire de l’apprendre lui-même grâce aux mots qui lui viennent, et de résoudre cette fameuse équation fondamentale de son théâtre, que j’avais reprise à la bouche d’Hermione au colloque </w:t>
      </w:r>
      <w:r>
        <w:rPr>
          <w:i/>
        </w:rPr>
        <w:t>Le Désert et l’orient</w:t>
      </w:r>
      <w:r>
        <w:rPr>
          <w:rStyle w:val="Appelnotedebasdep"/>
        </w:rPr>
        <w:footnoteReference w:id="209"/>
      </w:r>
      <w:r>
        <w:t xml:space="preserve"> : </w:t>
      </w:r>
    </w:p>
    <w:p>
      <w:pPr>
        <w:ind w:firstLine="283"/>
      </w:pPr>
      <w:r>
        <w:t>« Ah ! ne puis-je savoir si j’aime ou si je hais</w:t>
      </w:r>
      <w:r>
        <w:rPr>
          <w:rStyle w:val="Appelnotedebasdep"/>
        </w:rPr>
        <w:footnoteReference w:id="210"/>
      </w:r>
      <w:r>
        <w:t xml:space="preserve"> ? »</w:t>
      </w:r>
    </w:p>
    <w:p>
      <w:pPr>
        <w:ind w:firstLine="283"/>
      </w:pPr>
      <w:r>
        <w:t>Se pose alors alors la question : si personne n’y croit, que vient faire la mythologie là-dedans ? Quel est son statut ? Que permet-elle de dire qu’on ne dise autrement ?</w:t>
      </w:r>
    </w:p>
    <w:p>
      <w:pPr>
        <w:ind w:firstLine="283"/>
      </w:pPr>
      <w:r>
        <w:t>Mon hypothèse est que la mythologie est d’abord pour Racine un langage, un ensemble de signifiants plus ou moins flottants, articulés par une syntaxe dramatique à peu près codifiée par Aristote, mieux à même d’évoquer des réalités de la passion que la langue ordinaire est impuissante à saisir. Un langage anthropologique, si l’on veut. Une telle opération suppose de vider la mythologie de sa signification référentielle, de la « désontologiser » eût dit Lacan. C’est ce que j’appelle « l’expiration mythologique ».</w:t>
      </w:r>
    </w:p>
    <w:p>
      <w:pPr>
        <w:ind w:firstLine="283"/>
      </w:pPr>
      <w:r>
        <w:t xml:space="preserve">Pour en arriver là, j’essaierai de comprendre pourquoi Racine dénoue son intrigue, ses intrigues </w:t>
      </w:r>
      <w:r>
        <w:t>– deux s’entrelacent dans son</w:t>
      </w:r>
      <w:r>
        <w:rPr>
          <w:i/>
        </w:rPr>
        <w:t xml:space="preserve"> Iphigénie –, </w:t>
      </w:r>
      <w:r>
        <w:t xml:space="preserve">par ce que j’appelle un </w:t>
      </w:r>
      <w:r>
        <w:rPr>
          <w:i/>
        </w:rPr>
        <w:t>deus ex verbis</w:t>
      </w:r>
      <w:r>
        <w:t>, savoir une machine purement verbale étrangère à l’intrigue. On verra alors que le véritable triangle amoureux des passions dans notre tragédie, celui qui déclenche la catastrophe, n’est pas celui qu’on croit.</w:t>
      </w:r>
    </w:p>
    <w:p>
      <w:pPr>
        <w:pStyle w:val="Titre2"/>
      </w:pPr>
      <w:r>
        <w:rPr>
          <w:b/>
          <w:smallCaps/>
          <w:sz w:val="28"/>
        </w:rPr>
        <w:t xml:space="preserve">Du </w:t>
      </w:r>
      <w:r>
        <w:rPr>
          <w:b/>
          <w:i/>
          <w:smallCaps/>
          <w:sz w:val="28"/>
        </w:rPr>
        <w:t xml:space="preserve">deus ex machina </w:t>
      </w:r>
      <w:r>
        <w:rPr>
          <w:b/>
          <w:smallCaps/>
          <w:sz w:val="28"/>
        </w:rPr>
        <w:t xml:space="preserve">au </w:t>
      </w:r>
      <w:r>
        <w:rPr>
          <w:b/>
          <w:i/>
          <w:smallCaps/>
          <w:sz w:val="28"/>
        </w:rPr>
        <w:t>deus ex verbis</w:t>
      </w:r>
    </w:p>
    <w:p>
      <w:pPr>
        <w:pStyle w:val="TEIquote"/>
        <w:spacing w:line="240" w:lineRule="auto"/>
        <w:ind w:left="397"/>
        <w:jc w:val="both"/>
      </w:pPr>
      <w:r>
        <w:rPr>
          <w:sz w:val="22"/>
        </w:rPr>
        <w:t xml:space="preserve">Quelle apparence de dénouer ma tragédie par le secours d’une déesse et d’une machine, qui pourrait bien trouver quelque créance du temps d’Euripide, mais qui serait trop absurde et trop incroyable </w:t>
      </w:r>
      <w:r>
        <w:rPr>
          <w:i/>
          <w:sz w:val="22"/>
        </w:rPr>
        <w:t>parmi nous</w:t>
      </w:r>
      <w:r>
        <w:rPr>
          <w:sz w:val="22"/>
        </w:rPr>
        <w:t xml:space="preserve"> ?</w:t>
      </w:r>
    </w:p>
    <w:p>
      <w:pPr>
        <w:pStyle w:val="TEIparagraphconsecutive"/>
      </w:pPr>
      <w:r>
        <w:t xml:space="preserve">Que signifie ici précisément la locution « parmi nous » ? Je propose de l’expliciter de la façon suivante : parmi nous qui vivons en un siècle et dans un pays où les </w:t>
      </w:r>
      <w:r>
        <w:rPr>
          <w:i/>
        </w:rPr>
        <w:t>créances</w:t>
      </w:r>
      <w:r>
        <w:t xml:space="preserve"> ont évolué ; elles sont désormais régies par une religion qui n’a plus ni dieux ni déesses exigeant des sacrifices, mais un dieu unique qui refuse les sacrifices parce qu’il s’est lui-même donné en sacrifice.</w:t>
      </w:r>
    </w:p>
    <w:p>
      <w:pPr>
        <w:ind w:firstLine="283"/>
      </w:pPr>
      <w:r>
        <w:rPr>
          <w:b/>
        </w:rPr>
        <w:t>Eug</w:t>
      </w:r>
      <w:r>
        <w:rPr>
          <w:b/>
        </w:rPr>
        <w:t>è</w:t>
      </w:r>
      <w:r>
        <w:rPr>
          <w:b/>
        </w:rPr>
        <w:t>n</w:t>
      </w:r>
      <w:r>
        <w:rPr>
          <w:b/>
        </w:rPr>
        <w:t>e</w:t>
      </w:r>
      <w:r>
        <w:t xml:space="preserve"> Vinaver, avec sa finesse habituelle, rétorque :</w:t>
      </w:r>
    </w:p>
    <w:p>
      <w:pPr>
        <w:pStyle w:val="TEIquote"/>
        <w:spacing w:line="240" w:lineRule="auto"/>
        <w:ind w:left="397"/>
        <w:jc w:val="both"/>
      </w:pPr>
      <w:r>
        <w:rPr>
          <w:sz w:val="22"/>
        </w:rPr>
        <w:t>Il est évidemment incroyable et absurde qu’une jeune fille soit changée en biche ou qu’elle soit enlevée par une déesse ; mais n’est-il pas tout aussi incroyable et absurde que la mort sanglante d’une jeune fille ait pour effet de faire souffler les vents ? Et n’est-il pas vrai que la question agitée d’un bout à l’autre d’</w:t>
      </w:r>
      <w:r>
        <w:rPr>
          <w:i/>
          <w:sz w:val="22"/>
        </w:rPr>
        <w:t xml:space="preserve">Iphigénie </w:t>
      </w:r>
      <w:r>
        <w:rPr>
          <w:sz w:val="22"/>
        </w:rPr>
        <w:t>est de savoir si l’on va égorger une jeune fille pour obtenir des dieux un vent favorable</w:t>
      </w:r>
      <w:r>
        <w:rPr>
          <w:rStyle w:val="Appelnotedebasdep"/>
        </w:rPr>
        <w:footnoteReference w:id="211"/>
      </w:r>
      <w:r>
        <w:rPr>
          <w:sz w:val="22"/>
        </w:rPr>
        <w:t xml:space="preserve"> ?</w:t>
      </w:r>
    </w:p>
    <w:p>
      <w:pPr>
        <w:pStyle w:val="TEIparagraphconsecutive"/>
      </w:pPr>
      <w:r>
        <w:t xml:space="preserve">Effectivement, c’est tout le fonds mythologique dont on se demande ce qu’il vient faire chez un auteur chrétien d’une société chrétienne dans une époque chrétienne – </w:t>
      </w:r>
      <w:r>
        <w:t>et l’on pourrait appliquer une réflexion analogue à la nôtre, baignant, pour ce qui est de l’Occident, dans une sorte d’athéisme existentialiste et consumériste</w:t>
      </w:r>
      <w:r>
        <w:t xml:space="preserve">. </w:t>
      </w:r>
    </w:p>
    <w:p>
      <w:pPr>
        <w:ind w:firstLine="283"/>
      </w:pPr>
      <w:r>
        <w:t xml:space="preserve">Cette incongruité est rendue manifeste dans la mise en scène que j’ai évoquée, où l’on voit des messieurs et des dames habillés comme dans les </w:t>
      </w:r>
      <w:r>
        <w:t>bureaux de Météo France</w:t>
      </w:r>
      <w:r>
        <w:t xml:space="preserve"> parler de manière très convaincue de procédés magiques pour faire lever le vent. C’était aussi le cas à l’époque de Racine, où les costumes « à l’antique » (ou « à la romaine</w:t>
      </w:r>
      <w:r>
        <w:rPr>
          <w:rStyle w:val="Appelnotedebasdep"/>
        </w:rPr>
        <w:footnoteReference w:id="212"/>
      </w:r>
      <w:r>
        <w:t xml:space="preserve"> ») mélangeaient la mode du temps à des éléments anciens </w:t>
      </w:r>
      <w:r>
        <w:t>plus ou moins fantaisistes – dont ne manquaient pas de se gausser certains contemporains</w:t>
      </w:r>
      <w:r>
        <w:rPr>
          <w:rStyle w:val="Appelnotedebasdep"/>
        </w:rPr>
        <w:footnoteReference w:id="213"/>
      </w:r>
      <w:r>
        <w:t>.</w:t>
      </w:r>
    </w:p>
    <w:p>
      <w:pPr>
        <w:ind w:firstLine="283"/>
      </w:pPr>
      <w:r>
        <w:t xml:space="preserve">L’inconséquence du propos racinien tel que mis en évidence par Vinaver peut s’expliquer de plusieurs manières. </w:t>
      </w:r>
    </w:p>
    <w:p>
      <w:pPr>
        <w:ind w:firstLine="283"/>
      </w:pPr>
      <w:r>
        <w:t xml:space="preserve">D’abord rhétorique. On est dans une préface. Les arguments sont généralement choisis pour répondre aux critiques qu’a reçues la pièce lors de ses premières représentations. Ils ne sont pas forcément de la meilleure foi, surtout chez Racine. </w:t>
      </w:r>
    </w:p>
    <w:p>
      <w:pPr>
        <w:ind w:firstLine="283"/>
      </w:pPr>
      <w:r>
        <w:t xml:space="preserve">Ainsi lorsqu’il se justifie peu avant de n’avoir pas « souillé la scène par le meurtre horrible d’une personne aussi vertueuse et aussi aimable qu’il fallait représenter Iphigénie », on peut s’interroger sur le « plaisir » qu’il prétend « faire au spectateur » en assurant le dénouement de sa pièce par le meurtre d’une autre jeune fille, oh ! pas aussi aimable, oh ! pas aussi vertueuse, voire  « foncièrement négative », comme le voudrait Tristan Alonge dans son excellent </w:t>
      </w:r>
      <w:r>
        <w:rPr>
          <w:i/>
        </w:rPr>
        <w:t>Racine et Euripide</w:t>
      </w:r>
      <w:r>
        <w:rPr>
          <w:rStyle w:val="Appelnotedebasdep"/>
        </w:rPr>
        <w:footnoteReference w:id="214"/>
      </w:r>
      <w:r>
        <w:t>, mais à qui n’importe quel tribunal de nos jours accorderait quelques circonstances atténuantes : rejetée par son père et sa mère, dépossédée de toute identité, capturée par Achille, ramenée chez les Grecs comme butin de guerre, et pour couronner le tout, victime d’un virulent syndrome de Stockholm !</w:t>
      </w:r>
    </w:p>
    <w:p>
      <w:pPr>
        <w:ind w:firstLine="283"/>
      </w:pPr>
      <w:r>
        <w:t>Non, un spectateur moderne doté d’un tant soit peu de sentiment d’humanité ne peut pas vraiment prendre de plaisir à voir trucider une jeune femme par une bande de guerriers surexcités – se donnât-elle la mort elle-même pour échapper à leurs mains.</w:t>
      </w:r>
    </w:p>
    <w:p>
      <w:pPr>
        <w:ind w:firstLine="283"/>
      </w:pPr>
      <w:r>
        <w:t>Il y a cependant un argument chez Racine qui semble ne pas relever de la rhétorique défensive propre au genre de la préface. Il apparaît quelques lignes plus loin :</w:t>
      </w:r>
    </w:p>
    <w:p>
      <w:pPr>
        <w:pStyle w:val="TEIquote"/>
        <w:spacing w:line="240" w:lineRule="auto"/>
        <w:ind w:left="397"/>
        <w:jc w:val="both"/>
      </w:pPr>
      <w:r>
        <w:rPr>
          <w:sz w:val="22"/>
        </w:rPr>
        <w:t>Ainsi le dénouement de la pièce est tiré du fond même de la pièce.</w:t>
      </w:r>
    </w:p>
    <w:p>
      <w:pPr>
        <w:pStyle w:val="TEIparagraphconsecutive"/>
      </w:pPr>
      <w:r>
        <w:t>Il reprend quasi mot pour mot la prescription d’Aristote</w:t>
      </w:r>
      <w:r>
        <w:rPr>
          <w:rStyle w:val="Appelnotedebasdep"/>
        </w:rPr>
        <w:footnoteReference w:id="215"/>
      </w:r>
      <w:r>
        <w:t xml:space="preserve"> :</w:t>
      </w:r>
    </w:p>
    <w:p>
      <w:pPr>
        <w:pStyle w:val="TEIquote"/>
        <w:spacing w:line="240" w:lineRule="auto"/>
        <w:ind w:left="397"/>
        <w:jc w:val="both"/>
      </w:pPr>
      <w:r>
        <w:rPr>
          <w:sz w:val="22"/>
        </w:rPr>
        <w:t>Il est donc évident que le dénouement de chaque histoire doit aussi résulter de l’intrigue elle-même et non de l’intervention de la machine.</w:t>
      </w:r>
    </w:p>
    <w:p>
      <w:pPr>
        <w:pStyle w:val="TEIparagraphconsecutive"/>
      </w:pPr>
      <w:r>
        <w:t xml:space="preserve">La phrase est tirée du chapitre XV de la </w:t>
      </w:r>
      <w:r>
        <w:rPr>
          <w:i/>
        </w:rPr>
        <w:t xml:space="preserve">Poétique </w:t>
      </w:r>
      <w:r>
        <w:t>dans lequel l’auteur critique l’incohérence de caractère de l’</w:t>
      </w:r>
      <w:r>
        <w:rPr>
          <w:i/>
        </w:rPr>
        <w:t>Iphigénie</w:t>
      </w:r>
      <w:r>
        <w:t xml:space="preserve"> (en Aulis) d’Euripide, qui passe du refus à l’acceptation de la mort sans qu’aucune action ne vienne entre temps justifier ce revirement.</w:t>
      </w:r>
    </w:p>
    <w:p>
      <w:pPr>
        <w:ind w:firstLine="283"/>
      </w:pPr>
      <w:r>
        <w:t xml:space="preserve">Aristote, on le sait, marque sa préférence pour les actions complexes, qu’il caractérise en termes d’intrigue et de caractères, soit par l’existence d’une péripétie, dans laquelle le mouvement vers le malheur ou vers le bonheur  semble temporairement s’inverser, soit par une scène de « reconnaissance », que je traduis par « anagnorèse » pour bien marquer le sens technique qu’il lui donne, et qui peut être de deux types ; un personnage passe « de l'état d'ignorance à la connaissance, ou bien de l’amour à la haine ». </w:t>
      </w:r>
    </w:p>
    <w:p>
      <w:pPr>
        <w:ind w:firstLine="283"/>
      </w:pPr>
      <w:r>
        <w:t>Le premier type n’apparaît qu’exceptionnellement dans les tragédies de Racine avant</w:t>
      </w:r>
      <w:r>
        <w:rPr>
          <w:i/>
        </w:rPr>
        <w:t xml:space="preserve"> Esther</w:t>
      </w:r>
      <w:r>
        <w:t xml:space="preserve"> et</w:t>
      </w:r>
      <w:r>
        <w:rPr>
          <w:i/>
        </w:rPr>
        <w:t xml:space="preserve"> Athalie</w:t>
      </w:r>
      <w:r>
        <w:t xml:space="preserve"> : on ne l’observe, si je ne me trompe, que dans la seule </w:t>
      </w:r>
      <w:r>
        <w:rPr>
          <w:i/>
        </w:rPr>
        <w:t xml:space="preserve">Iphigénie. </w:t>
      </w:r>
      <w:r>
        <w:t>Le second se rencontre dans toutes ses tragédies non bibliques, ce qui n’est pas pour nous étonner si l’on se souvient de ce que j’ai appelé l’équation fondamentale du théâtre racinien.</w:t>
      </w:r>
    </w:p>
    <w:p>
      <w:pPr>
        <w:ind w:firstLine="283"/>
      </w:pPr>
      <w:r>
        <w:t>On peut alors le constater. L’invention d’Ériphile permet au dramaturge de fabriquer une anagnorèse du premier type : la révélation par Calchas de la véritable identité d’Ériphile, fille d’Hélène et de Thésée. C’est le coup de théâtre : la soif de sang des dieux et des Grecs se détourne de l’une vers l’autre Iphigénie</w:t>
      </w:r>
      <w:r>
        <w:rPr>
          <w:rStyle w:val="Appelnotedebasdep"/>
        </w:rPr>
        <w:footnoteReference w:id="216"/>
      </w:r>
      <w:r>
        <w:t xml:space="preserve">. Pour autant il n’y a pas péripétie. Le sauvetage </w:t>
      </w:r>
      <w:r>
        <w:rPr>
          <w:i/>
        </w:rPr>
        <w:t xml:space="preserve">in extremis </w:t>
      </w:r>
      <w:r>
        <w:t>de la fille d’Agamemnon s’apparente à l’action simple qu’on trouve dans de nombreuses comédies : une jeune fille destinée à un « hymen » heureux ou malheureux  (je reprends le mot qu’elle utilise en III,4) en est empêchée par la révélation finale de son identité véritable.</w:t>
      </w:r>
    </w:p>
    <w:p>
      <w:pPr>
        <w:ind w:firstLine="283"/>
      </w:pPr>
      <w:r>
        <w:t>Ce qui rend l’action complexe chez Racine n’est donc pas cela. C’est une autre invention que cache la première, une autre action, que j’appelle l’action  n</w:t>
      </w:r>
      <w:r>
        <w:rPr>
          <w:vertAlign w:val="superscript"/>
        </w:rPr>
        <w:t>o</w:t>
      </w:r>
      <w:r>
        <w:t>2 : non seulement l’amour d’Achille pour Iphigénie, qu’on trouvait déjà dans l’</w:t>
      </w:r>
      <w:r>
        <w:rPr>
          <w:i/>
        </w:rPr>
        <w:t xml:space="preserve">Iphigénie </w:t>
      </w:r>
      <w:r>
        <w:t xml:space="preserve">de Rotrou, mais celui d’Iphigénie pour Achille, qui suscite un second triangle des passions : non plus Achille/Ériphile/Iphigénie, mais  Achille/Agamemnon/Iphigénie. </w:t>
      </w:r>
    </w:p>
    <w:p>
      <w:pPr>
        <w:ind w:firstLine="283"/>
      </w:pPr>
      <w:r>
        <w:t>À la différence du triangle n</w:t>
      </w:r>
      <w:r>
        <w:rPr>
          <w:vertAlign w:val="superscript"/>
        </w:rPr>
        <w:t>o</w:t>
      </w:r>
      <w:r>
        <w:t>1, celui-ci est fertile en péripéties, l’un et l’autre des deux hommes promettant d’inverser le destin de la femme qu’ils aiment et qui les aime, mais jamais en même temps ! fertile aussi en anagnorèses, cette fois du second type, avec des passages successifs de l’amitié à la haine chez Achille – c’est la fonction de la scène V, 2 opposant Achille et Iphigénie : « Portez à votre père un cœur, où j'entrevois/ Moins de respect pour lui, que de haine pour moi »</w:t>
      </w:r>
      <w:r>
        <w:rPr>
          <w:rStyle w:val="Appelnotedebasdep"/>
        </w:rPr>
        <w:footnoteReference w:id="217"/>
      </w:r>
      <w:r>
        <w:rPr>
          <w:vertAlign w:val="superscript"/>
        </w:rPr>
        <w:t xml:space="preserve"> </w:t>
      </w:r>
      <w:r>
        <w:t xml:space="preserve">– et surtout, on va le voir, chez Agamemnon, dont </w:t>
      </w:r>
      <w:r>
        <w:t>la tirade de la scène IV, 8 présente toutes les caractéristiques sémantiques et stylistiques de la « grande » anagnorèse racinienne.</w:t>
      </w:r>
    </w:p>
    <w:p>
      <w:pPr>
        <w:ind w:firstLine="283"/>
      </w:pPr>
      <w:r>
        <w:t>Si l’</w:t>
      </w:r>
      <w:r>
        <w:rPr>
          <w:i/>
        </w:rPr>
        <w:t xml:space="preserve">Iphigénie en Aulis </w:t>
      </w:r>
      <w:r>
        <w:t>d’Euripide souffrait aux yeux d’Aristote de son action simple, on pourrait dire linéaire, montrant l’héroïne marchant inexorablement du bonheur de retrouver son père au malheur d’être mise à mort, on voit que Racine a réussi là où celui qu’Aristote appelait « le plus tragique des auteurs tragiques » avait échoué.</w:t>
      </w:r>
    </w:p>
    <w:p>
      <w:pPr>
        <w:ind w:firstLine="283"/>
      </w:pPr>
      <w:r>
        <w:t>Cette victoire sur Euripide, il est difficile de ne pas voir Racine s’en délecter avec une cruauté amusée lorsqu’il semble mettre en abyme le dénouement de son rival antique dans son propre dénouement. Alors que tous les témoins sont pris d’une « sainte horreur » en voyant les vents se lever et le tonnerre gronder, un simple spectateur, qu’on croirait sorti de la pièce d’Euripide, fait part de sa vision hallucinée à Ulysse, narrateur de la scène :</w:t>
      </w:r>
    </w:p>
    <w:p>
      <w:pPr>
        <w:pStyle w:val="TEIquote"/>
        <w:spacing w:line="240" w:lineRule="auto"/>
        <w:ind w:left="397"/>
        <w:jc w:val="both"/>
      </w:pPr>
      <w:r>
        <w:rPr>
          <w:sz w:val="22"/>
        </w:rPr>
        <w:t>Le soldat étonné dit que dans une nue</w:t>
      </w:r>
    </w:p>
    <w:p>
      <w:pPr>
        <w:pStyle w:val="TEIquote"/>
        <w:spacing w:line="240" w:lineRule="auto"/>
        <w:ind w:left="397"/>
        <w:jc w:val="both"/>
      </w:pPr>
      <w:r>
        <w:rPr>
          <w:sz w:val="22"/>
        </w:rPr>
        <w:t>Jusque sur le bûcher Diane est descendue,</w:t>
      </w:r>
    </w:p>
    <w:p>
      <w:pPr>
        <w:pStyle w:val="TEIquote"/>
        <w:spacing w:line="240" w:lineRule="auto"/>
        <w:ind w:left="397"/>
        <w:jc w:val="both"/>
      </w:pPr>
      <w:r>
        <w:rPr>
          <w:sz w:val="22"/>
        </w:rPr>
        <w:t>Et croit que s'élevant au travers de ses feux,</w:t>
      </w:r>
    </w:p>
    <w:p>
      <w:pPr>
        <w:pStyle w:val="TEIquote"/>
        <w:spacing w:line="240" w:lineRule="auto"/>
        <w:ind w:left="397"/>
        <w:jc w:val="both"/>
      </w:pPr>
      <w:r>
        <w:rPr>
          <w:sz w:val="22"/>
        </w:rPr>
        <w:t>Elle portait au ciel notre encens et nos vœux</w:t>
      </w:r>
      <w:r>
        <w:rPr>
          <w:rStyle w:val="Appelnotedebasdep"/>
        </w:rPr>
        <w:footnoteReference w:id="218"/>
      </w:r>
      <w:r>
        <w:rPr>
          <w:sz w:val="22"/>
        </w:rPr>
        <w:t>.</w:t>
      </w:r>
    </w:p>
    <w:p>
      <w:pPr>
        <w:pStyle w:val="TEIparagraphconsecutive"/>
      </w:pPr>
      <w:r>
        <w:t xml:space="preserve">Cette émulation entre les deux auteurs, la manière dont le Français exploite le travail de son prédécesseur antique a déjà été décrite, et récemment encore par Tristan Alonge dans l’ouvrage cité </w:t>
      </w:r>
      <w:r>
        <w:rPr>
          <w:i/>
        </w:rPr>
        <w:t>supra</w:t>
      </w:r>
      <w:r>
        <w:t>.</w:t>
      </w:r>
    </w:p>
    <w:p>
      <w:pPr>
        <w:ind w:firstLine="283"/>
      </w:pPr>
      <w:r>
        <w:t xml:space="preserve">Reste un point qui ne me semble pas avoir été suffisamment pris en compte : le fait que ce dénouement racinien échappe à la scène, et qu’il tienne de ce que j’ai appelé dans </w:t>
      </w:r>
      <w:r>
        <w:rPr>
          <w:i/>
        </w:rPr>
        <w:t>Le Désert et l’orient</w:t>
      </w:r>
      <w:r>
        <w:rPr>
          <w:rStyle w:val="Appelnotedebasdep"/>
        </w:rPr>
        <w:footnoteReference w:id="219"/>
      </w:r>
      <w:r>
        <w:t xml:space="preserve"> une scène fantôme, à savoir : une scène essentielle que l’auteur choisit de ne pas montrer, mais qu’il demande à son lecteur d’imaginer par différents procédés, dramatiques ou  narratifs.</w:t>
      </w:r>
    </w:p>
    <w:p>
      <w:pPr>
        <w:ind w:firstLine="283"/>
      </w:pPr>
      <w:r>
        <w:t>Ici, c’est la longue analepse descriptive – faut-il dire poème ou hypotypose ? – proférée par le personnage clé d’Ulysse, par laquelle on assiste non seulement à la mort d’une des deux héroïnes – cas pour lequel on invoquera sans doute la bienséance en oubliant qu’il arrive aussi à Racine de faire mourir des personnages sur scène (Atalide, Mithridate, ou Phèdre) – mais encore à un tableau sublime relevant du merveilleux mythologique, avec un grand prêtre officiant autour d’une table de sacrifice, entouré d’une foule en armes sous un ciel plombé traversé d’éclairs devant une mer mugissante.</w:t>
      </w:r>
    </w:p>
    <w:p>
      <w:pPr>
        <w:ind w:firstLine="283"/>
      </w:pPr>
      <w:r>
        <w:t xml:space="preserve">C’est évidemment la grande différence formelle avec Rotrou qui montre  Agamemnon sur scène levant le couteau du supplice sur sa fille devant le bûcher. On dira que Racine ne fait que reprendre le procédé à Euripide, chez qui c’est aussi un messager qui raconte la </w:t>
      </w:r>
      <w:r>
        <w:t>scène à Clytemnestre, mais le fait n’est pas isolé. Dans la tragédie suivante, la dernière écrite par Racine avant la longue période sabbatique qui le verra passer à l’inspiration biblique, il utilise la même technique : il dénoue l’action, non par un spectacle mythologique produit sur la scène, mais par le récit épique d’un témoin digne de foi</w:t>
      </w:r>
      <w:r>
        <w:rPr>
          <w:rStyle w:val="Appelnotedebasdep"/>
        </w:rPr>
        <w:footnoteReference w:id="220"/>
      </w:r>
      <w:r>
        <w:t>.</w:t>
      </w:r>
    </w:p>
    <w:p>
      <w:pPr>
        <w:ind w:firstLine="283"/>
      </w:pPr>
      <w:r>
        <w:t xml:space="preserve">Il s’agit donc dans ces deux dernières tragédies d’un </w:t>
      </w:r>
      <w:r>
        <w:rPr>
          <w:i/>
        </w:rPr>
        <w:t>deus ex verbis</w:t>
      </w:r>
      <w:r>
        <w:t xml:space="preserve">, c'est-à-dire d’un procédé permettant de résoudre une intrigue grâce à un artifice, non pas mécanique mais rhétorique, et plus précisément narratif. Il y a toutefois une différence. </w:t>
      </w:r>
    </w:p>
    <w:p>
      <w:pPr>
        <w:ind w:firstLine="283"/>
      </w:pPr>
      <w:r>
        <w:t xml:space="preserve">Dans </w:t>
      </w:r>
      <w:r>
        <w:rPr>
          <w:i/>
        </w:rPr>
        <w:t>Phèdre</w:t>
      </w:r>
      <w:r>
        <w:t>, le dénouement résulte bien de l’intrigue elle-même, c’est une véritable action complexe, qui se résout, partiellement au moins, par le poème mythologique du monstre marin</w:t>
      </w:r>
      <w:r>
        <w:rPr>
          <w:rStyle w:val="Appelnotedebasdep"/>
        </w:rPr>
        <w:footnoteReference w:id="221"/>
      </w:r>
      <w:r>
        <w:t>.</w:t>
      </w:r>
    </w:p>
    <w:p>
      <w:pPr>
        <w:ind w:firstLine="283"/>
      </w:pPr>
      <w:r>
        <w:t xml:space="preserve">Dans </w:t>
      </w:r>
      <w:r>
        <w:rPr>
          <w:i/>
        </w:rPr>
        <w:t xml:space="preserve">Iphigénie, </w:t>
      </w:r>
      <w:r>
        <w:t>contrairement à ce qu’affirme son auteur, le dénouement de la pièce</w:t>
      </w:r>
      <w:r>
        <w:rPr>
          <w:i/>
        </w:rPr>
        <w:t xml:space="preserve"> </w:t>
      </w:r>
      <w:r>
        <w:t xml:space="preserve">n’est nullement tiré « du fond même de la pièce ». Il est tout autant sorti du chapeau que la machine dénoncée par Racine chez ses prédécesseurs ! La substitution d’une victime à une autre et le </w:t>
      </w:r>
      <w:r>
        <w:rPr>
          <w:i/>
        </w:rPr>
        <w:t xml:space="preserve">happy end </w:t>
      </w:r>
      <w:r>
        <w:t xml:space="preserve">qui s’ensuit, ne résultent pas de l’intrigue. Il y a bien un </w:t>
      </w:r>
      <w:r>
        <w:rPr>
          <w:i/>
        </w:rPr>
        <w:t>deus ex machina</w:t>
      </w:r>
      <w:r>
        <w:t>, même si son intervention est noyée dans le récit d’Ulysse :</w:t>
      </w:r>
    </w:p>
    <w:p>
      <w:pPr>
        <w:pStyle w:val="TEIquote"/>
        <w:spacing w:line="240" w:lineRule="auto"/>
        <w:ind w:left="397"/>
        <w:jc w:val="both"/>
      </w:pPr>
      <w:r>
        <w:rPr>
          <w:sz w:val="22"/>
        </w:rPr>
        <w:t>Le Dieu qui maintenant vous parle par ma voix</w:t>
      </w:r>
    </w:p>
    <w:p>
      <w:pPr>
        <w:pStyle w:val="TEIquote"/>
        <w:spacing w:line="240" w:lineRule="auto"/>
        <w:ind w:left="397"/>
        <w:jc w:val="both"/>
      </w:pPr>
      <w:r>
        <w:rPr>
          <w:sz w:val="22"/>
        </w:rPr>
        <w:t>M’explique son oracle et m’instruit de son choix.</w:t>
      </w:r>
    </w:p>
    <w:p>
      <w:pPr>
        <w:pStyle w:val="TEIquote"/>
        <w:spacing w:line="240" w:lineRule="auto"/>
        <w:ind w:left="397"/>
        <w:jc w:val="both"/>
      </w:pPr>
      <w:r>
        <w:rPr>
          <w:sz w:val="22"/>
          <w:vertAlign w:val="superscript"/>
        </w:rPr>
        <w:t>Un autre sang d’Hélène, une autre Iphigénie,</w:t>
      </w:r>
    </w:p>
    <w:p>
      <w:pPr>
        <w:pStyle w:val="TEIquote"/>
        <w:spacing w:line="240" w:lineRule="auto"/>
        <w:ind w:left="397"/>
        <w:jc w:val="both"/>
      </w:pPr>
      <w:r>
        <w:rPr>
          <w:sz w:val="22"/>
          <w:vertAlign w:val="superscript"/>
        </w:rPr>
        <w:t>Sur ce bord immolée y doit laisser la vie</w:t>
      </w:r>
      <w:r>
        <w:rPr>
          <w:rStyle w:val="Appelnotedebasdep"/>
        </w:rPr>
        <w:footnoteReference w:id="222"/>
      </w:r>
      <w:r>
        <w:rPr>
          <w:sz w:val="22"/>
        </w:rPr>
        <w:t>.</w:t>
      </w:r>
    </w:p>
    <w:p>
      <w:pPr>
        <w:pStyle w:val="TEIparagraphconsecutive"/>
      </w:pPr>
      <w:r>
        <w:t>Cela tombe bien, on l’a sous la main cette « autre Iphigénie » : la captive jalouse, venue jusqu’au lieu du supplice dénoncer la manœuvre d’Agamemnon pour sauver sa fille. Notons que Calchas est moins ici un devin</w:t>
      </w:r>
      <w:r>
        <w:rPr>
          <w:rStyle w:val="Appelnotedebasdep"/>
        </w:rPr>
        <w:footnoteReference w:id="223"/>
      </w:r>
      <w:r>
        <w:t xml:space="preserve"> interprétant l’oracle qu’un prophète, qui fait </w:t>
      </w:r>
      <w:r>
        <w:rPr>
          <w:i/>
        </w:rPr>
        <w:t xml:space="preserve">parler </w:t>
      </w:r>
      <w:r>
        <w:t xml:space="preserve">le dieu en </w:t>
      </w:r>
      <w:r>
        <w:t xml:space="preserve">discours direct. Racine a beau, comme le note Alonge, se prémunir d’une « précaution » au v. 1745 en introduisant la parole de Calchas : « Terrible, et plein du dieu qui l’agitait </w:t>
      </w:r>
      <w:r>
        <w:rPr>
          <w:i/>
        </w:rPr>
        <w:t>sans doute</w:t>
      </w:r>
      <w:r>
        <w:rPr>
          <w:rStyle w:val="Appelnotedebasdep"/>
        </w:rPr>
        <w:footnoteReference w:id="224"/>
      </w:r>
      <w:r>
        <w:rPr>
          <w:i/>
        </w:rPr>
        <w:t xml:space="preserve"> »</w:t>
      </w:r>
      <w:r>
        <w:t xml:space="preserve"> ; c’est bien un dieu qui intervient directement pour dénouer l’intrigue, et rien ne le laissait prévoir.</w:t>
      </w:r>
    </w:p>
    <w:p>
      <w:pPr>
        <w:ind w:firstLine="283"/>
      </w:pPr>
      <w:r>
        <w:t>S’agissait-il simplement pour Racine, comme le suggère Georges Forestier, de « faire réplique aux effets purement visuels de l’opéra</w:t>
      </w:r>
      <w:r>
        <w:rPr>
          <w:rStyle w:val="Appelnotedebasdep"/>
        </w:rPr>
        <w:footnoteReference w:id="225"/>
      </w:r>
      <w:r>
        <w:t xml:space="preserve"> » dans un finale narratif énergique ? </w:t>
      </w:r>
    </w:p>
    <w:p>
      <w:pPr>
        <w:ind w:firstLine="283"/>
      </w:pPr>
      <w:r>
        <w:t xml:space="preserve">On se rappelle que son </w:t>
      </w:r>
      <w:r>
        <w:rPr>
          <w:i/>
        </w:rPr>
        <w:t>Iphigénie</w:t>
      </w:r>
      <w:r>
        <w:t xml:space="preserve"> suivait de peu l’</w:t>
      </w:r>
      <w:r>
        <w:rPr>
          <w:i/>
        </w:rPr>
        <w:t>Alceste</w:t>
      </w:r>
      <w:r>
        <w:t xml:space="preserve"> d’après Euripide mise en opéra une première fois à la Paris en janvier 1674 par Quinault et Lully, puis reprise quelques semaines avant la tragédie de Racine aux fêtes de Versailles l’été suivant, qui célébraient la victoire de Louis XIV en Franche-Comté.</w:t>
      </w:r>
    </w:p>
    <w:p>
      <w:pPr>
        <w:ind w:firstLine="283"/>
      </w:pPr>
      <w:r>
        <w:t>Perrault avait encensé Quinault et Lully et éreinté Euripide. Nombreux sont les commentateurs</w:t>
      </w:r>
      <w:r>
        <w:rPr>
          <w:rStyle w:val="Appelnotedebasdep"/>
        </w:rPr>
        <w:footnoteReference w:id="226"/>
      </w:r>
      <w:r>
        <w:t xml:space="preserve"> à penser que c’est par réaction que Racine a repris son sujet à Euripide, tout en adoptant une esthétique radicalement autre. L’opéra tel qu’il fut joué au théâtre du Palais-Royal à Paris en janvier mobilisait une imposante machinerie. Le choix de faire raconter le dénouement par un personnage prenait le contre-pied du </w:t>
      </w:r>
      <w:r>
        <w:rPr>
          <w:i/>
        </w:rPr>
        <w:t>deus ex machina</w:t>
      </w:r>
      <w:r>
        <w:t xml:space="preserve"> de ses rivaux.</w:t>
      </w:r>
    </w:p>
    <w:p>
      <w:pPr>
        <w:ind w:firstLine="283"/>
      </w:pPr>
      <w:r>
        <w:t>Attention toutefois au biais rétrospectif que peut susciter la lecture de la préface de Racine, postérieure de quelques mois, et dans laquelle, comme dit Forestier, il « répond vertement » à Perrault en faisant l’éloge d’un Euripide injustement attaqué. Là encore, Tristan Alonge l’a bien montré, le goût de Racine pour Euripide, l’influence qu’il en tire ne datent pas de là. On les constate dès ses années d’étude et ses premières tragédies, il les confirme à longueur de préfaces :</w:t>
      </w:r>
    </w:p>
    <w:p>
      <w:pPr>
        <w:pStyle w:val="TEIquote"/>
        <w:spacing w:line="240" w:lineRule="auto"/>
        <w:ind w:left="397"/>
        <w:jc w:val="both"/>
      </w:pPr>
      <w:r>
        <w:rPr>
          <w:sz w:val="22"/>
        </w:rPr>
        <w:t>Rarement un auteur a affiché une proximité et une filiation aussi forte avec un devancier</w:t>
      </w:r>
      <w:r>
        <w:rPr>
          <w:rStyle w:val="Appelnotedebasdep"/>
        </w:rPr>
        <w:footnoteReference w:id="227"/>
      </w:r>
      <w:r>
        <w:rPr>
          <w:sz w:val="22"/>
        </w:rPr>
        <w:t>.</w:t>
      </w:r>
    </w:p>
    <w:p>
      <w:pPr>
        <w:pStyle w:val="TEIparagraphconsecutive"/>
      </w:pPr>
      <w:r>
        <w:t>Il serait donc réducteur de ne faire du choix du sujet de sa pièce, et de sa technique verbale toute particulière de dénouement, que le résultat de la vanité d’un poète de cour désireux de montrer sa supériorité sur ses rivaux. Un tel lieu commun, même s’il a quelque pertinence, n’explique pas précisément la dramaturgie, et ne suffit pas à faire comprendre la spécificité d’un procédé qu’on pourrait qualifier de faux-semblant.</w:t>
      </w:r>
    </w:p>
    <w:p>
      <w:pPr>
        <w:ind w:firstLine="283"/>
      </w:pPr>
      <w:r>
        <w:t xml:space="preserve">La recherche identitaire d’Ériphile </w:t>
      </w:r>
      <w:r>
        <w:rPr>
          <w:i/>
        </w:rPr>
        <w:t>semble</w:t>
      </w:r>
      <w:r>
        <w:t xml:space="preserve"> en effet faire partie de l’intrigue. La jeune femme est venue en Aulide interroger Calchas sur sa filiation. Le fait que celle-ci soit dévoilée </w:t>
      </w:r>
      <w:r>
        <w:rPr>
          <w:i/>
        </w:rPr>
        <w:t xml:space="preserve">in fine </w:t>
      </w:r>
      <w:r>
        <w:t>paraît donc « tiré du fond de la pièce », comme celle d’Œdipe dans la pièce de Sophocle.</w:t>
      </w:r>
    </w:p>
    <w:p>
      <w:pPr>
        <w:ind w:firstLine="283"/>
      </w:pPr>
      <w:r>
        <w:t>Le processus est cependant tout différent.</w:t>
      </w:r>
    </w:p>
    <w:p>
      <w:pPr>
        <w:ind w:firstLine="283"/>
      </w:pPr>
      <w:r>
        <w:t xml:space="preserve">Dans </w:t>
      </w:r>
      <w:r>
        <w:rPr>
          <w:i/>
        </w:rPr>
        <w:t>Œdipe roi</w:t>
      </w:r>
      <w:r>
        <w:t xml:space="preserve">, l’intrigue consiste à suivre pas à pas l’enquête que mène le héros éponyme pour découvrir son identité grâce à différents témoins, à partir d’une déclaration initiale de Tirésias qui a déjà à peu </w:t>
      </w:r>
      <w:r>
        <w:t>près tout deviné. Ici c’est l’inverse. La révélation soudaine de la vérité ne vient à Calchas qu’au dernier moment</w:t>
      </w:r>
      <w:r>
        <w:rPr>
          <w:rStyle w:val="Appelnotedebasdep"/>
        </w:rPr>
        <w:footnoteReference w:id="228"/>
      </w:r>
      <w:r>
        <w:t xml:space="preserve"> et l’on ne suit aucune enquête sur l’identité d’Ériphile. Celle-ci dit elle-même à sa suivante que le secret de sa naissance ne lui importe plus dès lors qu’Achille et Iphigénie seraient mariés : elle se tuerait sans même chercher à le connaître. La jalousie est bien le seul moteur de son action. Le </w:t>
      </w:r>
      <w:r>
        <w:rPr>
          <w:i/>
        </w:rPr>
        <w:t xml:space="preserve">deus ex verbis </w:t>
      </w:r>
      <w:r>
        <w:t>n’est là que</w:t>
      </w:r>
      <w:r>
        <w:rPr>
          <w:i/>
        </w:rPr>
        <w:t xml:space="preserve"> </w:t>
      </w:r>
      <w:r>
        <w:t>pour résoudre une intrigue bloquée.</w:t>
      </w:r>
    </w:p>
    <w:p>
      <w:pPr>
        <w:ind w:firstLine="283"/>
      </w:pPr>
      <w:r>
        <w:t>Mais quelle intrigue ? Apparemment celle que j’ai appelée l’action n</w:t>
      </w:r>
      <w:r>
        <w:rPr>
          <w:vertAlign w:val="superscript"/>
        </w:rPr>
        <w:t>o</w:t>
      </w:r>
      <w:r>
        <w:t>1 : la rivalité amoureuse des deux jeunes filles pour Achille. On ne peut dire pourtant que Racine a fait beaucoup d’effort pour la rendre crédible. Le soupçon qu’Achille puisse aimer Ériphile n’est qu’un mensonge du père afin de pousser sa fille à s’enfuir. Cela donne matière à une scène entre les deux rivales (II,5), mais lorsqu’Iphigénie revient à l’acte suivant (III,4) sa jalousie s’envole subitement aux premiers mots d’Achille : l’intrigue potentielle s’éteint.</w:t>
      </w:r>
    </w:p>
    <w:p>
      <w:pPr>
        <w:ind w:firstLine="283"/>
      </w:pPr>
      <w:r>
        <w:t>Certes, la jalousie d’Ériphile à l’égard du couple Achille/Iphigénie la pousse à dénoncer aux Grecs le complot d’Agamemnon, mais le nouveau revirement d’Agamemnon, qui ne se joint pas à Achille pour sauver sa fille, n’est pas dramatisé. On ne sait si elle en est la cause, ou s’il a changé d’avis en voyant le Péléide et ses myrmidons prendre les armes pour la défendre.</w:t>
      </w:r>
    </w:p>
    <w:p>
      <w:pPr>
        <w:ind w:firstLine="283"/>
      </w:pPr>
      <w:r>
        <w:t xml:space="preserve">L’intrigue que dénoue le </w:t>
      </w:r>
      <w:r>
        <w:rPr>
          <w:i/>
        </w:rPr>
        <w:t>deus ex verbis</w:t>
      </w:r>
      <w:r>
        <w:t xml:space="preserve"> n’est donc pas l’action simple autour d’Ériphile, l’action  n</w:t>
      </w:r>
      <w:r>
        <w:rPr>
          <w:vertAlign w:val="superscript"/>
        </w:rPr>
        <w:t>o</w:t>
      </w:r>
      <w:r>
        <w:t>1, mais l’action n</w:t>
      </w:r>
      <w:r>
        <w:rPr>
          <w:vertAlign w:val="superscript"/>
        </w:rPr>
        <w:t>o</w:t>
      </w:r>
      <w:r>
        <w:t>2, l’action complexe qui voit  passer ses trois protagonistes, non pas du bonheur au malheur, comme dans une tragédie, mais du malheur au bonheur, ce qui relèverait plutôt de la tragi-comédie.</w:t>
      </w:r>
    </w:p>
    <w:p>
      <w:pPr>
        <w:ind w:firstLine="283"/>
      </w:pPr>
      <w:r>
        <w:t>J’en viens au triangle amoureux central de la pièce.</w:t>
      </w:r>
    </w:p>
    <w:p>
      <w:pPr>
        <w:pStyle w:val="Titre2"/>
      </w:pPr>
      <w:r>
        <w:rPr>
          <w:b/>
          <w:smallCaps/>
          <w:sz w:val="28"/>
        </w:rPr>
        <w:t>Un triangle d’amour en cache un autre</w:t>
      </w:r>
    </w:p>
    <w:p>
      <w:pPr>
        <w:pStyle w:val="TEIquote"/>
        <w:spacing w:line="240" w:lineRule="auto"/>
        <w:ind w:left="397"/>
        <w:jc w:val="both"/>
      </w:pPr>
      <w:r>
        <w:rPr>
          <w:sz w:val="22"/>
        </w:rPr>
        <w:t xml:space="preserve">« Que vais-je faire ? » Ainsi commence la toute dernière tirade d’Agamemnon (que j’appelle « anagnorétique » parce qu’il y découvre toute sa haine envers Achille). C’est juste avant qu’il ne disparaisse de la scène à la fin de l’acte IV pour ne plus reparaître. Dans ce long soliloque devant Eurybate et ses gardes, qui prolonge le monologue de la scène précédente, il se ravise une nouvelle fois d’avoir délibéré la mort de sa fille. </w:t>
      </w:r>
    </w:p>
    <w:p>
      <w:pPr>
        <w:pStyle w:val="TEIparagraphconsecutive"/>
      </w:pPr>
      <w:r>
        <w:t xml:space="preserve">Il commence par énumérer quatre raisons pour lesquelles il pourrait l’épargner : le fait qu’elle soit sa fille (« quel est cet ennemi que tu vas leur livrer ? ») ; l’opposition résolue d’une « mère intrépide » (« qui </w:t>
      </w:r>
      <w:r>
        <w:t>défendra son sang contre un père homicide ») ; la résistance possible de ses soldats, « moins barbares que  [lui] », enfin, et surtout, la pression d’Achille, mis en valeur par un procédé de reprise à l’hémistiche familier à Racine</w:t>
      </w:r>
      <w:r>
        <w:rPr>
          <w:rStyle w:val="Appelnotedebasdep"/>
        </w:rPr>
        <w:footnoteReference w:id="229"/>
      </w:r>
      <w:r>
        <w:t xml:space="preserve"> :</w:t>
      </w:r>
    </w:p>
    <w:p>
      <w:pPr>
        <w:pStyle w:val="TEIquote"/>
        <w:spacing w:line="240" w:lineRule="auto"/>
        <w:ind w:left="397"/>
        <w:jc w:val="both"/>
      </w:pPr>
      <w:r>
        <w:rPr>
          <w:sz w:val="22"/>
        </w:rPr>
        <w:t>Achille nous menace, Achille nous méprise.</w:t>
      </w:r>
    </w:p>
    <w:p>
      <w:pPr>
        <w:pStyle w:val="TEIparagraphconsecutive"/>
      </w:pPr>
      <w:r>
        <w:t>Achille aussitôt présenté comme un rival :</w:t>
      </w:r>
    </w:p>
    <w:p>
      <w:pPr>
        <w:pStyle w:val="TEIquote"/>
        <w:spacing w:line="240" w:lineRule="auto"/>
        <w:ind w:left="397"/>
        <w:jc w:val="both"/>
      </w:pPr>
      <w:r>
        <w:rPr>
          <w:sz w:val="22"/>
        </w:rPr>
        <w:t>Mais ma fille en est-elle à mes lois moins soumises ?</w:t>
      </w:r>
    </w:p>
    <w:p>
      <w:pPr>
        <w:pStyle w:val="TEIquote"/>
        <w:spacing w:line="240" w:lineRule="auto"/>
        <w:ind w:left="397"/>
        <w:jc w:val="both"/>
      </w:pPr>
      <w:r>
        <w:rPr>
          <w:sz w:val="22"/>
        </w:rPr>
        <w:t xml:space="preserve">« Mes lois », ce sont apparemment les droits qu’un père a sur sa fille. Mais ne parlons pas trop vite de comportement patriarcal. Bien sûr, dans l’entrevue qui précède avec Achille, celui-ci aussi évoquait ses « droits » de futur époux, « fondés </w:t>
      </w:r>
      <w:r>
        <w:rPr>
          <w:sz w:val="22"/>
        </w:rPr>
        <w:t>sur [les] serments</w:t>
      </w:r>
      <w:r>
        <w:rPr>
          <w:rStyle w:val="Appelnotedebasdep"/>
        </w:rPr>
        <w:footnoteReference w:id="230"/>
      </w:r>
      <w:r>
        <w:rPr>
          <w:sz w:val="22"/>
        </w:rPr>
        <w:t xml:space="preserve"> » du père de lui donner sa fille. Mais quand on y réfléchit, est-ce bien en termes de droits d’un père ou d’un époux sur une femme que le problème est posé ? N’a-t-on pas plutôt l’impression d’assister à une querelle entre rivaux amoureux ?</w:t>
      </w:r>
    </w:p>
    <w:p>
      <w:pPr>
        <w:pStyle w:val="TEIquote"/>
        <w:spacing w:line="240" w:lineRule="auto"/>
        <w:ind w:left="397"/>
        <w:jc w:val="both"/>
      </w:pPr>
      <w:r>
        <w:rPr>
          <w:sz w:val="22"/>
        </w:rPr>
        <w:t xml:space="preserve"> [Agam.] Ne pourrai-je sans vous disposer de ma fille ?</w:t>
      </w:r>
    </w:p>
    <w:p>
      <w:pPr>
        <w:pStyle w:val="TEIquote"/>
        <w:spacing w:line="240" w:lineRule="auto"/>
        <w:ind w:left="397"/>
        <w:jc w:val="both"/>
      </w:pPr>
      <w:r>
        <w:rPr>
          <w:sz w:val="22"/>
        </w:rPr>
        <w:t>Ne suis-je plus son père ? Êtes-vous son époux ?</w:t>
      </w:r>
    </w:p>
    <w:p>
      <w:pPr>
        <w:pStyle w:val="TEIquote"/>
        <w:spacing w:line="240" w:lineRule="auto"/>
        <w:ind w:left="397"/>
        <w:jc w:val="both"/>
      </w:pPr>
      <w:r>
        <w:rPr>
          <w:sz w:val="22"/>
        </w:rPr>
        <w:t>Et ne peut-elle…</w:t>
      </w:r>
    </w:p>
    <w:p>
      <w:pPr>
        <w:pStyle w:val="TEIquote"/>
        <w:spacing w:line="240" w:lineRule="auto"/>
        <w:ind w:left="397"/>
        <w:jc w:val="both"/>
      </w:pPr>
      <w:r>
        <w:rPr>
          <w:sz w:val="22"/>
        </w:rPr>
        <w:t xml:space="preserve"> </w:t>
      </w:r>
      <w:r>
        <w:rPr>
          <w:sz w:val="22"/>
        </w:rPr>
        <w:t>[Ach.]                       Non elle n’est plus à vous</w:t>
      </w:r>
      <w:r>
        <w:rPr>
          <w:rStyle w:val="Appelnotedebasdep"/>
        </w:rPr>
        <w:footnoteReference w:id="231"/>
      </w:r>
      <w:r>
        <w:rPr>
          <w:sz w:val="22"/>
        </w:rPr>
        <w:t>.</w:t>
      </w:r>
    </w:p>
    <w:p>
      <w:pPr>
        <w:pStyle w:val="TEIparagraphconsecutive"/>
      </w:pPr>
      <w:r>
        <w:t>La césure dramatique une syllabe avant l’hémistiche est brutale. Elle oblige les acteurs à s’accorder pour écourter l’alexandrin. Elle marque, bien sûr, la tension entre les deux personnages, mais elle établit une continuité : ils sont habités par la même passion de s’approprier Iphigénie. Achille le confirme à celle-ci à l’acte suivant :</w:t>
      </w:r>
    </w:p>
    <w:p>
      <w:pPr>
        <w:pStyle w:val="TEIquote"/>
        <w:spacing w:line="240" w:lineRule="auto"/>
        <w:ind w:left="397"/>
        <w:jc w:val="both"/>
      </w:pPr>
      <w:r>
        <w:rPr>
          <w:sz w:val="22"/>
        </w:rPr>
        <w:t>Vous suivrez un époux avoué par lui-même</w:t>
      </w:r>
    </w:p>
    <w:p>
      <w:pPr>
        <w:pStyle w:val="TEIquote"/>
        <w:spacing w:line="240" w:lineRule="auto"/>
        <w:ind w:left="397"/>
        <w:jc w:val="both"/>
      </w:pPr>
      <w:r>
        <w:rPr>
          <w:sz w:val="22"/>
        </w:rPr>
        <w:t xml:space="preserve">C’est un titre qu’en vain il prétend me </w:t>
      </w:r>
      <w:r>
        <w:rPr>
          <w:i/>
          <w:sz w:val="22"/>
        </w:rPr>
        <w:t>voler</w:t>
      </w:r>
      <w:r>
        <w:rPr>
          <w:rStyle w:val="Appelnotedebasdep"/>
        </w:rPr>
        <w:footnoteReference w:id="232"/>
      </w:r>
      <w:r>
        <w:rPr>
          <w:sz w:val="22"/>
        </w:rPr>
        <w:t>.</w:t>
      </w:r>
    </w:p>
    <w:p>
      <w:pPr>
        <w:pStyle w:val="TEIparagraphconsecutive"/>
      </w:pPr>
      <w:r>
        <w:t>Tristan Alonge fait remarquer l’utilisation symptomatique du verbe « voler »</w:t>
      </w:r>
      <w:r>
        <w:rPr>
          <w:rStyle w:val="Appelnotedebasdep"/>
        </w:rPr>
        <w:footnoteReference w:id="233"/>
      </w:r>
      <w:r>
        <w:t>. Quand on vole un titre à quelqu’un, c’est qu’on se l’approprie.   Achille reproche au père de se vouloir époux, ce qui rattache leur conflit à la plus pure tradition homérique, faisant de la rivalité amoureuse des deux héros grecs pour une même femme le point de départ de la discorde.</w:t>
      </w:r>
    </w:p>
    <w:p>
      <w:pPr>
        <w:ind w:firstLine="283"/>
      </w:pPr>
      <w:r>
        <w:t>On dira : ce n’est là que le point de vue d’Achille. Non, c’est aussi le témoignage du père, comme de la fille. Il se pourrait donc que le véritable triangle des passions dans la tragédie ne soit pas formé par Achille et ses deux femmes, mais par Iphigénie et ses deux hommes. Le roi, le héros et la fille forment un trio amoureux, pour ne pas dire incestuel.</w:t>
      </w:r>
    </w:p>
    <w:p>
      <w:pPr>
        <w:ind w:firstLine="283"/>
      </w:pPr>
      <w:r>
        <w:t xml:space="preserve">Là encore, on pourrait glisser dessus si Racine ne mettait pas au centre de ses trois dernières tragédies une configuration du même type : père et fils se disputant la même femme dans </w:t>
      </w:r>
      <w:r>
        <w:rPr>
          <w:i/>
        </w:rPr>
        <w:t>Mithridate</w:t>
      </w:r>
      <w:r>
        <w:t xml:space="preserve"> ; mère disputant son beau-fils à sa jeune amante dans </w:t>
      </w:r>
      <w:r>
        <w:rPr>
          <w:i/>
        </w:rPr>
        <w:t>Phèdre</w:t>
      </w:r>
      <w:r>
        <w:t xml:space="preserve"> ; père aux sentiments troubles dans celle qui nous occupe. L’amour d’un autre homme pour sa fille met Agamemnon dans des sentiments de rage tels qu’ils suffisent à lui faire préférer pendant un moment, jusqu’à ce qu’il trouve une autre solution pour punir Achille, celle-ci morte par son ordre, que vive dans les bras de son rival. Il le dit dans le monologue précédant notre tirade en s’adressant à Achille :</w:t>
      </w:r>
    </w:p>
    <w:p>
      <w:pPr>
        <w:pStyle w:val="TEIquote"/>
        <w:spacing w:line="240" w:lineRule="auto"/>
        <w:ind w:left="397"/>
        <w:jc w:val="both"/>
      </w:pPr>
      <w:r>
        <w:rPr>
          <w:sz w:val="22"/>
        </w:rPr>
        <w:t>Ton insolent amour qui croit m’épouvanter</w:t>
      </w:r>
    </w:p>
    <w:p>
      <w:pPr>
        <w:pStyle w:val="TEIquote"/>
        <w:spacing w:line="240" w:lineRule="auto"/>
        <w:ind w:left="397"/>
        <w:jc w:val="both"/>
      </w:pPr>
      <w:r>
        <w:rPr>
          <w:sz w:val="22"/>
        </w:rPr>
        <w:t>Vient hâter le coup que tu veux arrêter</w:t>
      </w:r>
      <w:r>
        <w:rPr>
          <w:rStyle w:val="Appelnotedebasdep"/>
        </w:rPr>
        <w:footnoteReference w:id="234"/>
      </w:r>
      <w:r>
        <w:rPr>
          <w:sz w:val="22"/>
        </w:rPr>
        <w:t>.</w:t>
      </w:r>
    </w:p>
    <w:p>
      <w:pPr>
        <w:pStyle w:val="TEIparagraphconsecutive"/>
      </w:pPr>
      <w:r>
        <w:t xml:space="preserve">Si la qualification incestuelle relève de la psychologie moderne et paraît souffrir d’un biais rétrospectif, lisons les critiques de l’époque, que la tendresse mutuelle excessive de la fille et du père n’a pas manqué de choquer. Ainsi Cléarque, dans les </w:t>
      </w:r>
      <w:r>
        <w:rPr>
          <w:i/>
        </w:rPr>
        <w:t xml:space="preserve">Entretiens sur les tragédies de ce temps </w:t>
      </w:r>
      <w:r>
        <w:t>de Pierre de Villiers</w:t>
      </w:r>
      <w:r>
        <w:rPr>
          <w:rStyle w:val="Appelnotedebasdep"/>
        </w:rPr>
        <w:footnoteReference w:id="235"/>
      </w:r>
      <w:r>
        <w:t>, fait état de réactions négatives du public :</w:t>
      </w:r>
    </w:p>
    <w:p>
      <w:pPr>
        <w:pStyle w:val="TEIquote"/>
        <w:spacing w:line="240" w:lineRule="auto"/>
        <w:ind w:left="397"/>
        <w:jc w:val="both"/>
      </w:pPr>
      <w:r>
        <w:rPr>
          <w:sz w:val="22"/>
        </w:rPr>
        <w:t>Les empressements que témoigne Iphigénie pour être caressée de son Père, ne sont pas les plus beaux endroits de la Pièce ; et j’ai vu bien des gens qui n’approuvaient pas qu’une fille de l’âge d’Iphigénie</w:t>
      </w:r>
      <w:r>
        <w:rPr>
          <w:sz w:val="22"/>
        </w:rPr>
        <w:t xml:space="preserve"> courût après les</w:t>
      </w:r>
      <w:r>
        <w:rPr>
          <w:sz w:val="22"/>
        </w:rPr>
        <w:t xml:space="preserve"> caresses de son Père.</w:t>
      </w:r>
    </w:p>
    <w:p>
      <w:pPr>
        <w:pStyle w:val="TEIparagraphconsecutive"/>
      </w:pPr>
      <w:r>
        <w:t xml:space="preserve">Ce que </w:t>
      </w:r>
      <w:r>
        <w:t>Timante confirme à sa manière : « L’empressement d’une amante n’a jamais rien produit de si beau ! » Villiers veut sans doute défendre la moralité de Racine en lui donnant cette réplique, mais elle est très ambivalente. Elle peut certes signifier que la force de l’amour filial d’Iphigénie est telle qu’elle se compare à celle d’une passion amoureuse ; elle peut aussi vouloir dire qu’on n’a jamais vu une amante aussi empressée que ne l’est Iphigénie pour son père.</w:t>
      </w:r>
    </w:p>
    <w:p>
      <w:pPr>
        <w:ind w:firstLine="283"/>
      </w:pPr>
      <w:r>
        <w:t xml:space="preserve">Contrairement à l’héroïne euripidienne qui lui résistait dans une longue tirade pathétique invoquant l’éloquence d’Orphée, prolongée sur une centaine de vers, sa protestation tient dans un unique </w:t>
      </w:r>
      <w:r>
        <w:t>alexandrin chez Racine, de plus lui aussi à double sens, adressé à Achille : « Et voilà donc l’hymen où j’étais destinée</w:t>
      </w:r>
      <w:r>
        <w:rPr>
          <w:rStyle w:val="Appelnotedebasdep"/>
        </w:rPr>
        <w:footnoteReference w:id="236"/>
      </w:r>
      <w:r>
        <w:t xml:space="preserve">. » L’ironie permet de dire à la fois que le mariage projeté n’était qu’une ruse pour l’attirer dans le piège, mais aussi qu’Iphigénie voit le sacrifice comme une sorte d’hymen mortifère avec son père. </w:t>
      </w:r>
    </w:p>
    <w:p>
      <w:pPr>
        <w:ind w:firstLine="283"/>
      </w:pPr>
      <w:r>
        <w:t>Car ne nous y trompons pas : même si dans l’intrigue, Iphigénie déclare à plusieurs reprises son amour pour Achille et finit par renoncer à la vie pour sauver, dit-elle, l’amour qu’elle a pour lui, ce sont des mots galants que Racine lui met constamment dans la bouche lorsqu’elle évoque son affection pour son père. Dès son deuxième vers sur scène elle parle d’« embrassements</w:t>
      </w:r>
      <w:r>
        <w:rPr>
          <w:rStyle w:val="Appelnotedebasdep"/>
        </w:rPr>
        <w:footnoteReference w:id="237"/>
      </w:r>
      <w:r>
        <w:t xml:space="preserve"> » et poursuit :</w:t>
      </w:r>
    </w:p>
    <w:p>
      <w:pPr>
        <w:pStyle w:val="TEIquote"/>
        <w:spacing w:line="240" w:lineRule="auto"/>
        <w:ind w:left="397"/>
        <w:jc w:val="both"/>
      </w:pPr>
      <w:r>
        <w:rPr>
          <w:sz w:val="22"/>
        </w:rPr>
        <w:t xml:space="preserve">                            Que cette amour m’est chère !</w:t>
      </w:r>
    </w:p>
    <w:p>
      <w:pPr>
        <w:pStyle w:val="TEIquote"/>
        <w:spacing w:line="240" w:lineRule="auto"/>
        <w:ind w:left="397"/>
        <w:jc w:val="both"/>
      </w:pPr>
      <w:r>
        <w:rPr>
          <w:sz w:val="22"/>
        </w:rPr>
        <w:t>Quel plaisir de vous voir et de vous contempler  […]</w:t>
      </w:r>
    </w:p>
    <w:p>
      <w:pPr>
        <w:pStyle w:val="TEIparagraphconsecutive"/>
      </w:pPr>
      <w:r>
        <w:t xml:space="preserve">On voit comment l’expolition renforce ici le sens ordinaire du verbe « voir ». La fille « contemple » ce qu’elle appelle plus bas « le spectacle charmant » de son père. On répète toujours à nos étudiants que « charme » au </w:t>
      </w:r>
      <w:r>
        <w:rPr>
          <w:smallCaps/>
        </w:rPr>
        <w:t>xvii</w:t>
      </w:r>
      <w:r>
        <w:rPr>
          <w:vertAlign w:val="superscript"/>
        </w:rPr>
        <w:t xml:space="preserve">e </w:t>
      </w:r>
      <w:r>
        <w:t>est à prendre au sens fort, magique du terme, mais « charmant » est déjà bien émoussé à cette époque, et appartient au lexique galant. Pour décrire une jeune fille qui trouve son père « charmant », on évoquerait en psychanalyse le complexe d’Électre, pendant féminin du complexe d’Œdipe. Racine semble cultiver l’ambiguïté dans les mots qu’il choisit et les vers qu’il découpe. On dirait qu’il ne fait parler son héroïne qu’en lapsus !</w:t>
      </w:r>
    </w:p>
    <w:p>
      <w:pPr>
        <w:ind w:firstLine="283"/>
      </w:pPr>
      <w:r>
        <w:t>Ainsi : « N’osez-vous sans rougir être père un moment</w:t>
      </w:r>
      <w:r>
        <w:rPr>
          <w:rStyle w:val="Appelnotedebasdep"/>
        </w:rPr>
        <w:footnoteReference w:id="238"/>
      </w:r>
      <w:r>
        <w:t xml:space="preserve"> ? » est assez étrange : en quoi un père devrait-il « rougir » de son amour paternel ? Et si l’on s’amuse à sortir certains vers de leur contexte familial, on a bien l’impression d’assister à un échange entre deux amants :</w:t>
      </w:r>
    </w:p>
    <w:p>
      <w:pPr>
        <w:pStyle w:val="TEIquote"/>
        <w:spacing w:line="240" w:lineRule="auto"/>
        <w:ind w:left="397"/>
        <w:jc w:val="both"/>
      </w:pPr>
      <w:r>
        <w:rPr>
          <w:sz w:val="22"/>
        </w:rPr>
        <w:t>C'est moi qui si longtemps le plaisir de vos yeux,</w:t>
      </w:r>
    </w:p>
    <w:p>
      <w:pPr>
        <w:pStyle w:val="TEIquote"/>
        <w:spacing w:line="240" w:lineRule="auto"/>
        <w:ind w:left="397"/>
        <w:jc w:val="both"/>
      </w:pPr>
      <w:r>
        <w:rPr>
          <w:sz w:val="22"/>
        </w:rPr>
        <w:t>Vous ai fait de ce nom remercier les Dieux,</w:t>
      </w:r>
    </w:p>
    <w:p>
      <w:pPr>
        <w:pStyle w:val="TEIquote"/>
        <w:spacing w:line="240" w:lineRule="auto"/>
        <w:ind w:left="397"/>
        <w:jc w:val="both"/>
      </w:pPr>
      <w:r>
        <w:rPr>
          <w:sz w:val="22"/>
        </w:rPr>
        <w:t>Et pour qui tant de fois prodiguant vos caresses,</w:t>
      </w:r>
    </w:p>
    <w:p>
      <w:pPr>
        <w:pStyle w:val="TEIquote"/>
        <w:spacing w:line="240" w:lineRule="auto"/>
        <w:ind w:left="397"/>
        <w:jc w:val="both"/>
      </w:pPr>
      <w:r>
        <w:rPr>
          <w:sz w:val="22"/>
        </w:rPr>
        <w:t>Vous n'avez point du sang dédaigné les faiblesses</w:t>
      </w:r>
      <w:r>
        <w:rPr>
          <w:rStyle w:val="Appelnotedebasdep"/>
        </w:rPr>
        <w:footnoteReference w:id="239"/>
      </w:r>
      <w:r>
        <w:rPr>
          <w:sz w:val="22"/>
        </w:rPr>
        <w:t>.</w:t>
      </w:r>
    </w:p>
    <w:p>
      <w:pPr>
        <w:pStyle w:val="TEIparagraphconsecutive"/>
      </w:pPr>
      <w:r>
        <w:t xml:space="preserve">La syntaxe elle-même s’en voit transgressée. Il faudrait « </w:t>
      </w:r>
      <w:r>
        <w:rPr>
          <w:i/>
        </w:rPr>
        <w:t>dont</w:t>
      </w:r>
      <w:r>
        <w:t xml:space="preserve"> […] vous n’avez point  du sang dédaigné les faiblesses   » et non « </w:t>
      </w:r>
      <w:r>
        <w:rPr>
          <w:i/>
        </w:rPr>
        <w:t>pour qui</w:t>
      </w:r>
      <w:r>
        <w:t xml:space="preserve"> ». On ne sait plus trop ce qu’Iphigénie veut dire.</w:t>
      </w:r>
    </w:p>
    <w:p>
      <w:pPr>
        <w:ind w:firstLine="283"/>
      </w:pPr>
      <w:r>
        <w:t>De même quand elle évoque devant Achille « Un père que j’aime, un père que j’adore</w:t>
      </w:r>
      <w:r>
        <w:rPr>
          <w:rStyle w:val="Appelnotedebasdep"/>
        </w:rPr>
        <w:footnoteReference w:id="240"/>
      </w:r>
      <w:r>
        <w:t xml:space="preserve"> », la reprise graduée à l’hémistiche dont Racine, on l’a vu, est familier, n’exprime pas seulement l’intensité, elle fait interroger sur le sens d’un verbe « aimer » qui la pousse à donner sa vie sans jamais protester, sinon par cette « cruauté de tendresse</w:t>
      </w:r>
      <w:r>
        <w:rPr>
          <w:rStyle w:val="Appelnotedebasdep"/>
        </w:rPr>
        <w:footnoteReference w:id="241"/>
      </w:r>
      <w:r>
        <w:t xml:space="preserve"> » que Péguy décrit finement comme un sadomachisme amoureux.</w:t>
      </w:r>
    </w:p>
    <w:p>
      <w:pPr>
        <w:ind w:firstLine="283"/>
      </w:pPr>
      <w:r>
        <w:t xml:space="preserve">Et même si l’on refuse de donner la même signification amoureuse au  verbe « aimer » que les trois protagonistes ne cessent d’employer les uns pour les autres, parlons d’une même passion qui les unit. </w:t>
      </w:r>
    </w:p>
    <w:p>
      <w:pPr>
        <w:ind w:firstLine="283"/>
      </w:pPr>
      <w:r>
        <w:t>Passion qui rend Iphigénie active par sa passivité obstinée.</w:t>
      </w:r>
    </w:p>
    <w:p>
      <w:pPr>
        <w:ind w:firstLine="283"/>
      </w:pPr>
      <w:r>
        <w:t xml:space="preserve">Passion qui fait oublier à Achille l’intérêt du camp grec comme chez son modèle homérique. </w:t>
      </w:r>
    </w:p>
    <w:p>
      <w:pPr>
        <w:ind w:firstLine="283"/>
      </w:pPr>
      <w:r>
        <w:t>Passion enfin qui, à l’issue de sa longue délibération déclenchant la catastrophe tragique, pousse temporairement Agamemnon à la clémence, mais attention ! Ce n’est pas par pitié, ni par tendresse paternelle, ni par crainte des dieux ou des Grecs qu’il plie, mais par haine pour son rival : c’est bien l’argument qui emporte la décision à la toute fin de sa tirade anagnorétique, mis en relief par une épanorthose magnifique :</w:t>
      </w:r>
    </w:p>
    <w:p>
      <w:pPr>
        <w:pStyle w:val="TEIquote"/>
        <w:spacing w:line="240" w:lineRule="auto"/>
        <w:ind w:left="397"/>
        <w:jc w:val="both"/>
      </w:pPr>
      <w:r>
        <w:rPr>
          <w:sz w:val="22"/>
        </w:rPr>
        <w:t>Qu’elle vive. Mais quoi ? Peu jaloux de ma gloire</w:t>
      </w:r>
    </w:p>
    <w:p>
      <w:pPr>
        <w:pStyle w:val="TEIquote"/>
        <w:spacing w:line="240" w:lineRule="auto"/>
        <w:ind w:left="397"/>
        <w:jc w:val="both"/>
      </w:pPr>
      <w:r>
        <w:rPr>
          <w:sz w:val="22"/>
        </w:rPr>
        <w:t>Dois-je au superbe Achille accorder la victoire ?</w:t>
      </w:r>
    </w:p>
    <w:p>
      <w:pPr>
        <w:pStyle w:val="TEIquote"/>
        <w:spacing w:line="240" w:lineRule="auto"/>
        <w:ind w:left="397"/>
        <w:jc w:val="both"/>
      </w:pPr>
      <w:r>
        <w:rPr>
          <w:sz w:val="22"/>
        </w:rPr>
        <w:t xml:space="preserve"> </w:t>
      </w:r>
      <w:r>
        <w:rPr>
          <w:sz w:val="22"/>
        </w:rPr>
        <w:t>[…] Ne puis-je pas d’Achille humilier l’audace ?</w:t>
      </w:r>
    </w:p>
    <w:p>
      <w:pPr>
        <w:pStyle w:val="TEIquote"/>
        <w:spacing w:line="240" w:lineRule="auto"/>
        <w:ind w:left="397"/>
        <w:jc w:val="both"/>
      </w:pPr>
      <w:r>
        <w:rPr>
          <w:i/>
          <w:sz w:val="22"/>
        </w:rPr>
        <w:t>Que ma fille à ses yeux soit un sujet d’ennui.</w:t>
      </w:r>
    </w:p>
    <w:p>
      <w:pPr>
        <w:pStyle w:val="TEIquote"/>
        <w:spacing w:line="240" w:lineRule="auto"/>
        <w:ind w:left="397"/>
        <w:jc w:val="both"/>
      </w:pPr>
      <w:r>
        <w:rPr>
          <w:i/>
          <w:sz w:val="22"/>
        </w:rPr>
        <w:t>Il l’aime. Elle vivra pour un autre que lui</w:t>
      </w:r>
      <w:r>
        <w:rPr>
          <w:rStyle w:val="Appelnotedebasdep"/>
        </w:rPr>
        <w:footnoteReference w:id="242"/>
      </w:r>
      <w:r>
        <w:rPr>
          <w:sz w:val="22"/>
        </w:rPr>
        <w:t xml:space="preserve">. </w:t>
      </w:r>
    </w:p>
    <w:p>
      <w:pPr>
        <w:pStyle w:val="TEIparagraphconsecutive"/>
      </w:pPr>
      <w:r>
        <w:t>La métalepse</w:t>
      </w:r>
      <w:r>
        <w:rPr>
          <w:rStyle w:val="Appelnotedebasdep"/>
        </w:rPr>
        <w:footnoteReference w:id="243"/>
      </w:r>
      <w:r>
        <w:t xml:space="preserve"> du dernier vers, le jeu sur la causalité, sont extraordinaires. On lit d’abord « c’est parce qu’il l’aime qu’elle vivra », mais non, c’est le contraire. « C’est parce que JE l’aime, moi son père, qu’elle vivra, mais Lui qui l’aime ne l’aura pas ! » Ainsi se résout son dilemme. Il croit à la fois sauver sa fille et punir Achille. Ce qu’il ne voit pas, c’est qu’en lui retirant Achille, il perd sa fille ! Là est le revirement extraordinaire que permet le système ternaire des passions mis en place par Racine. Iphigénie devrait se réjouir de garder la vie sans désobéir à son père ; elle la sacrifie pour ne pas perdre son amant. « Il me défend de lui parler jamais ! », s’indigne-t-elle :</w:t>
      </w:r>
    </w:p>
    <w:p>
      <w:pPr>
        <w:pStyle w:val="TEIquote"/>
        <w:spacing w:line="240" w:lineRule="auto"/>
        <w:ind w:left="397"/>
        <w:jc w:val="both"/>
      </w:pPr>
      <w:r>
        <w:rPr>
          <w:sz w:val="22"/>
        </w:rPr>
        <w:t xml:space="preserve">                                   </w:t>
      </w:r>
      <w:r>
        <w:rPr>
          <w:sz w:val="22"/>
        </w:rPr>
        <w:t>Ah sentence ! ah rigueur inouïe !</w:t>
      </w:r>
    </w:p>
    <w:p>
      <w:pPr>
        <w:pStyle w:val="TEIquote"/>
        <w:spacing w:line="240" w:lineRule="auto"/>
        <w:ind w:left="397"/>
        <w:jc w:val="both"/>
      </w:pPr>
      <w:r>
        <w:rPr>
          <w:sz w:val="22"/>
        </w:rPr>
        <w:t>Dieu plus doux vous n’avez demandé que ma vie !</w:t>
      </w:r>
    </w:p>
    <w:p>
      <w:pPr>
        <w:pStyle w:val="TEIquote"/>
        <w:spacing w:line="240" w:lineRule="auto"/>
        <w:ind w:left="397"/>
        <w:jc w:val="both"/>
      </w:pPr>
      <w:r>
        <w:rPr>
          <w:sz w:val="22"/>
        </w:rPr>
        <w:t>Mourons, obéissons</w:t>
      </w:r>
      <w:r>
        <w:rPr>
          <w:rStyle w:val="Appelnotedebasdep"/>
        </w:rPr>
        <w:footnoteReference w:id="244"/>
      </w:r>
      <w:r>
        <w:rPr>
          <w:sz w:val="22"/>
        </w:rPr>
        <w:t>.</w:t>
      </w:r>
    </w:p>
    <w:p>
      <w:pPr>
        <w:pStyle w:val="TEIparagraphconsecutive"/>
      </w:pPr>
      <w:r>
        <w:t>Mesurons bien le degré de contradiction où nous sommes. Ce terme d’« obéissons » signifie ici exactement son contraire ! Obéir à ce moment précis, c’est désobéir, à la fois à ce père velléitaire et à son amant obstiné qui lui ordonnent de ne pas mourir ! On ne parle plus ici le français, on parle le tragico-racinien. Dans cette langue, dire oui, c’est dire non, aimer c’est haïr, haïr c’est aimer...</w:t>
      </w:r>
    </w:p>
    <w:p>
      <w:pPr>
        <w:ind w:firstLine="283"/>
      </w:pPr>
      <w:r>
        <w:t>On en viendrait à regretter de ne pas voir Agamemnon revenir sur scène à la fin de l’acte V pour une dernière anagnorèse : si sa fille est sauvée, cette fille qu’il n’a pas même su défendre par peur des Grecs lorsqu’elle était sous le couteau de Calchas, c’est tout sauf grâce à lui ! Voilà donc un héros tragique à qui Racine ne concède pas la chance, comme il le fera à Thésée, de reconnaître sa barbarie. Il ne reparaît pas à l’acte V, sinon par l’évocation successive de sa présence par Arcas puis par Ulysse dans la scène fantôme finale. Il vaut la peine d’y revenir.</w:t>
      </w:r>
    </w:p>
    <w:p>
      <w:pPr>
        <w:ind w:firstLine="283"/>
      </w:pPr>
      <w:r>
        <w:t>Il y a d’abord l’étrange arrêt sur image du premier à la scène 4, montrant  son roi dans une attitude féminine, le visage voilé, immobile devant Achille qui fait rempart de ses myrmidons pour défendre Iphigénie.</w:t>
      </w:r>
    </w:p>
    <w:p>
      <w:pPr>
        <w:pStyle w:val="TEIquote"/>
        <w:spacing w:line="240" w:lineRule="auto"/>
        <w:ind w:left="397"/>
        <w:jc w:val="both"/>
      </w:pPr>
      <w:r>
        <w:rPr>
          <w:sz w:val="22"/>
        </w:rPr>
        <w:t>Achille fait ranger autour de votre fille</w:t>
      </w:r>
    </w:p>
    <w:p>
      <w:pPr>
        <w:pStyle w:val="TEIquote"/>
        <w:spacing w:line="240" w:lineRule="auto"/>
        <w:ind w:left="397"/>
        <w:jc w:val="both"/>
      </w:pPr>
      <w:r>
        <w:rPr>
          <w:sz w:val="22"/>
        </w:rPr>
        <w:t>Tous ses amis, pour lui prêts à se dévouer.</w:t>
      </w:r>
    </w:p>
    <w:p>
      <w:pPr>
        <w:pStyle w:val="TEIquote"/>
        <w:spacing w:line="240" w:lineRule="auto"/>
        <w:ind w:left="397"/>
        <w:jc w:val="both"/>
      </w:pPr>
      <w:r>
        <w:rPr>
          <w:sz w:val="22"/>
        </w:rPr>
        <w:t>Le triste Agamemnon, qui n'ose l'avouer,</w:t>
      </w:r>
    </w:p>
    <w:p>
      <w:pPr>
        <w:pStyle w:val="TEIquote"/>
        <w:spacing w:line="240" w:lineRule="auto"/>
        <w:ind w:left="397"/>
        <w:jc w:val="both"/>
      </w:pPr>
      <w:r>
        <w:rPr>
          <w:sz w:val="22"/>
        </w:rPr>
        <w:t>Pour détourner ses yeux des meurtres qu'il présage,</w:t>
      </w:r>
    </w:p>
    <w:p>
      <w:pPr>
        <w:pStyle w:val="TEIquote"/>
        <w:spacing w:line="240" w:lineRule="auto"/>
        <w:ind w:left="397"/>
        <w:jc w:val="both"/>
      </w:pPr>
      <w:r>
        <w:rPr>
          <w:sz w:val="22"/>
        </w:rPr>
        <w:t>Ou pour cacher ses pleurs, s'est voilé le visage</w:t>
      </w:r>
      <w:r>
        <w:rPr>
          <w:rStyle w:val="Appelnotedebasdep"/>
        </w:rPr>
        <w:footnoteReference w:id="245"/>
      </w:r>
      <w:r>
        <w:rPr>
          <w:sz w:val="22"/>
        </w:rPr>
        <w:t>.</w:t>
      </w:r>
    </w:p>
    <w:p>
      <w:pPr>
        <w:pStyle w:val="TEIparagraphconsecutive"/>
      </w:pPr>
      <w:r>
        <w:t xml:space="preserve">Le verbe « Avouer » ici, selon les sens qu’il avait au </w:t>
      </w:r>
      <w:r>
        <w:rPr>
          <w:smallCaps/>
        </w:rPr>
        <w:t>xvii</w:t>
      </w:r>
      <w:r>
        <w:rPr>
          <w:vertAlign w:val="superscript"/>
        </w:rPr>
        <w:t>e</w:t>
      </w:r>
      <w:r>
        <w:t xml:space="preserve"> siècle et selon l’antécédent qu’on donne au pronom élidé « l’ », peut aussi bien signifier « soutenir Achille » que « protéger Iphigénie ». Dans les deux cas il souligne l’incapacité d’Agamemnon de s’en tenir à sa dernière décision. Clytemnestre trouve le bon terme au début du dialogue final pour décrire l’état dévirilisé  dans lequel il se trouve : Ulysse a dû « affermir  [son] époux</w:t>
      </w:r>
      <w:r>
        <w:rPr>
          <w:rStyle w:val="Appelnotedebasdep"/>
        </w:rPr>
        <w:footnoteReference w:id="246"/>
      </w:r>
      <w:r>
        <w:t xml:space="preserve"> ».</w:t>
      </w:r>
    </w:p>
    <w:p>
      <w:pPr>
        <w:ind w:firstLine="283"/>
      </w:pPr>
      <w:r>
        <w:t>Ulysse quant à lui efface complètement le père d’Iphigénie du tableau. Il finit par le mentionner une fois l’action accomplie, invitant la mère à recevoir sa fille sauve des mains d’Agamemnon et d’Achille « désormais tous deux d’intelligence »  et « prêts à confirmer leur auguste alliance</w:t>
      </w:r>
      <w:r>
        <w:rPr>
          <w:rStyle w:val="Appelnotedebasdep"/>
        </w:rPr>
        <w:footnoteReference w:id="247"/>
      </w:r>
      <w:r>
        <w:t xml:space="preserve"> ».</w:t>
      </w:r>
    </w:p>
    <w:p>
      <w:pPr>
        <w:ind w:firstLine="283"/>
      </w:pPr>
      <w:r>
        <w:t xml:space="preserve"> Notons enfin que c’est tout naturellement en remerciant Achille, et non son époux, que Clytemnestre prononce les derniers mots de la pièce. Ce dernier n’a en effet contribué en rien au dénouement sinon indirectement, par sa jalousie envers Achille qui a poussé sa fille à faire exactement le contraire de ce qu’il voulait.</w:t>
      </w:r>
    </w:p>
    <w:p>
      <w:pPr>
        <w:ind w:firstLine="283"/>
      </w:pPr>
      <w:r>
        <w:t xml:space="preserve">On voit donc le parti que tire Racine de sa technique </w:t>
      </w:r>
      <w:r>
        <w:t xml:space="preserve">du </w:t>
      </w:r>
      <w:r>
        <w:rPr>
          <w:i/>
        </w:rPr>
        <w:t>deus ex verbis</w:t>
      </w:r>
      <w:r>
        <w:t>. S’il nous avait montré la scène comme l’a fait Rotrou, il eût été obligé de faire reparaître Agamemnon. Ce choix formel, associé à l’invention mythologique du personnage d’Ériphile, permet de suggérer sans la montrer la passivité des protagonistes du trio incestuel en proie à une même passion qui les empêche d’agir :</w:t>
      </w:r>
    </w:p>
    <w:p>
      <w:pPr>
        <w:ind w:firstLine="283"/>
      </w:pPr>
      <w:r>
        <w:t>Agamemnon n’arrive pas à « faire suspendre une pompe funeste</w:t>
      </w:r>
      <w:r>
        <w:rPr>
          <w:rStyle w:val="Appelnotedebasdep"/>
        </w:rPr>
        <w:footnoteReference w:id="248"/>
      </w:r>
      <w:r>
        <w:t xml:space="preserve"> ».</w:t>
      </w:r>
    </w:p>
    <w:p>
      <w:pPr>
        <w:ind w:firstLine="283"/>
      </w:pPr>
      <w:r>
        <w:t>Iphigénie ne cesse de vouloir mourir mais n’y parvient pas.</w:t>
      </w:r>
    </w:p>
    <w:p>
      <w:pPr>
        <w:ind w:firstLine="283"/>
      </w:pPr>
      <w:r>
        <w:t>Achille même, est retenu brutalement par Calchas, au moment de se battre pour sa belle : « Vous Achille, a-t-il dit, et vous Grecs qu’on m’écoute</w:t>
      </w:r>
      <w:r>
        <w:rPr>
          <w:rStyle w:val="Appelnotedebasdep"/>
        </w:rPr>
        <w:footnoteReference w:id="249"/>
      </w:r>
      <w:r>
        <w:t xml:space="preserve"> ».</w:t>
      </w:r>
    </w:p>
    <w:p>
      <w:pPr>
        <w:ind w:firstLine="283"/>
      </w:pPr>
      <w:r>
        <w:t>Oserai-je parler de ménage à trois pour ce dénouement de comédie moliéresque ? La pièce de Racine finit en uchronie. Si les choses s’étaient vraiment passées ainsi, toute la face de la terre aurait changé. La guerre de Troie aurait peut-être eu lieu, mais tout autrement qu’Homère ne l’a racontée.</w:t>
      </w:r>
    </w:p>
    <w:p>
      <w:pPr>
        <w:ind w:firstLine="283"/>
      </w:pPr>
      <w:r>
        <w:t xml:space="preserve">On en oublierait presque que le prix de ce </w:t>
      </w:r>
      <w:r>
        <w:rPr>
          <w:i/>
        </w:rPr>
        <w:t>happy end</w:t>
      </w:r>
      <w:r>
        <w:t xml:space="preserve"> familial est la mort sanglante sur le bûcher d’une belle captive, qui semble ne scandaliser personne, « parmi nous », disait Racine, c'est-à-dire tout de même dans une société chrétienne qui a aboli les sacrifices humains - et alors même qu’un tel dénouement scandalise l’auteur grec, tout païen qu’il fût, puisqu’il refuse cette barbarie humaine et remplace la victime par un animal !</w:t>
      </w:r>
    </w:p>
    <w:p>
      <w:pPr>
        <w:ind w:firstLine="283"/>
      </w:pPr>
      <w:r>
        <w:t xml:space="preserve">Mon hypothèse est que les Grecs du temps d’Euripide, comme les Hébreux devant le sacrifice d’Abraham, croyaient tout de même suffisamment à leurs dieux - même si ceux-ci étaient, comme dira Tertullien, des « dieux des poètes » - pour comprendre par ce type de récits qu’ils n’étaient pas des monstres assoiffés de sang humain. Ce que nous appelons la mythologie, et que Varron au </w:t>
      </w:r>
      <w:r>
        <w:rPr>
          <w:smallCaps/>
        </w:rPr>
        <w:t>i</w:t>
      </w:r>
      <w:r>
        <w:rPr>
          <w:vertAlign w:val="superscript"/>
        </w:rPr>
        <w:t>e</w:t>
      </w:r>
      <w:r>
        <w:t xml:space="preserve"> siècle avant J.-C. appelait la </w:t>
      </w:r>
      <w:r>
        <w:rPr>
          <w:i/>
        </w:rPr>
        <w:t>theologia mythica,</w:t>
      </w:r>
      <w:r>
        <w:t xml:space="preserve"> était plus pour eux que le simple langage poétique qu’il est pour Racine, et pour la plupart des auteurs littéraires de l’Occident chrétien..</w:t>
      </w:r>
    </w:p>
    <w:p>
      <w:pPr>
        <w:pStyle w:val="Titre2"/>
      </w:pPr>
      <w:r>
        <w:rPr>
          <w:b/>
          <w:smallCaps/>
          <w:sz w:val="28"/>
        </w:rPr>
        <w:t xml:space="preserve">Le désenchantement mythologique racinien </w:t>
      </w:r>
    </w:p>
    <w:p>
      <w:pPr>
        <w:ind w:firstLine="283"/>
      </w:pPr>
      <w:r>
        <w:t xml:space="preserve">Pour faire dire à un mot autre chose qu’il ne dit, il faut évacuer son référent et le remplacer par un nouveau signifié. C’est là l’usage que fait Racine de la mythologie, pour qui elle représente d’abord et avant tout un langage, codifié par la </w:t>
      </w:r>
      <w:r>
        <w:rPr>
          <w:i/>
        </w:rPr>
        <w:t xml:space="preserve">Poétique </w:t>
      </w:r>
      <w:r>
        <w:t xml:space="preserve">d’Aristote, qu’il connaît sur le bout des doigts même s’il est encore capable, on va le voir, de faire une faute de grammaire qui explique le choix formel final du </w:t>
      </w:r>
      <w:r>
        <w:rPr>
          <w:i/>
        </w:rPr>
        <w:t>deus ex verbis</w:t>
      </w:r>
      <w:r>
        <w:t>.</w:t>
      </w:r>
    </w:p>
    <w:p>
      <w:pPr>
        <w:ind w:firstLine="283"/>
      </w:pPr>
      <w:r>
        <w:t xml:space="preserve">Commençons par le constater : dire ce dont il est vraiment question dans les relations amoureuses, voilà chose très difficile. On a sans doute peur des effets parfois ravageurs de la sincérité, mais surtout, on ne sait pas vraiment ce que c’est qu’être sincère, parce qu’on ne connaît pas les motifs profonds qui nous poussent vers l’autre avec une telle force -  et nous en repoussent avec parfois la même force. C’est la raison pour laquelle on y utilise un langage indirect, paraissant souvent superficiel et codé. La </w:t>
      </w:r>
      <w:r>
        <w:rPr>
          <w:i/>
        </w:rPr>
        <w:t>militia amoris</w:t>
      </w:r>
      <w:r>
        <w:t xml:space="preserve"> ovidienne nous en donne un bon exemple dans la tradition galante.  </w:t>
      </w:r>
    </w:p>
    <w:p>
      <w:pPr>
        <w:ind w:firstLine="283"/>
      </w:pPr>
      <w:r>
        <w:t>On connaît aussi le vers célèbre de l’</w:t>
      </w:r>
      <w:r>
        <w:rPr>
          <w:i/>
        </w:rPr>
        <w:t>Énéide</w:t>
      </w:r>
      <w:r>
        <w:t xml:space="preserve"> repris par Freud et Lacan : </w:t>
      </w:r>
      <w:r>
        <w:rPr>
          <w:i/>
        </w:rPr>
        <w:t>Flectere si nequeo  Superos, Acheronta movebo</w:t>
      </w:r>
      <w:r>
        <w:t>. Freud avait cherché en vain à décrire nos motivations profondes dans le langage positiviste de son temps. Il a dû se rabattre sur la langue des mythes, qu’il proposait comme langage de l’inconscient - lequel dans sa « béance », disait Lacan</w:t>
      </w:r>
      <w:r>
        <w:rPr>
          <w:rStyle w:val="Appelnotedebasdep"/>
        </w:rPr>
        <w:footnoteReference w:id="250"/>
      </w:r>
      <w:r>
        <w:t>, ne se prête pas à l’ontologie. Pour le psychanalyste, l’inconscient ne peut parler qu’un langage « désontologisé ». Le signifiant Œdipe est ainsi déréférencé pour être investi d’un nouveau signifié, évoquant une réalité profonde et complexe qu’on n’arrive pas à saisir autrement. Autrement dit : on associe à un signifiant mythologique un signifié anthropologique.</w:t>
      </w:r>
    </w:p>
    <w:p>
      <w:pPr>
        <w:ind w:firstLine="283"/>
      </w:pPr>
      <w:r>
        <w:t>C’est bien ce défaut du langage ordinaire qu’avait ressenti, à sa façon, Mlle de Scudéry à l’époque de Racine, lorsque son héroïne Clélie cartographiait les territoires de l’amour. Si l’on descend un peu trop vite le fleuve Inclination et qu’on se laisse emporter au-delà de la ville de Tendre, on débouche dans une « Mer dangereuse » menant à des « Terres inconnues ». On n’y parle plus la langue galante de Clélie, tout juste bonne, observe celle-ci, à « faire une agréable morale d’amitié par un simple jeu de l’esprit ». Pour visiter ces terres inconnues de la passion amoureuse, il faut une autre langue, et pour cela un guide capable de la parler. C’est alors que le nom d’Hercule apparaît sous sa plume.</w:t>
      </w:r>
    </w:p>
    <w:p>
      <w:pPr>
        <w:pStyle w:val="TEIquote"/>
        <w:spacing w:line="240" w:lineRule="auto"/>
        <w:ind w:left="397"/>
        <w:jc w:val="both"/>
      </w:pPr>
      <w:r>
        <w:rPr>
          <w:sz w:val="22"/>
        </w:rPr>
        <w:t xml:space="preserve">Aussi cette sage fille voulant faire connaître sur cette carte qu'elle n'avait jamais eu d'amour et qu'elle n'aurait jamais dans le cœur que de la tendresse, fait que la </w:t>
      </w:r>
      <w:r>
        <w:rPr>
          <w:sz w:val="22"/>
        </w:rPr>
        <w:t xml:space="preserve">rivière d'Inclination se jette dans une mer qu'on appelle la Mer dangereuse, parce qu'il est assez dangereux à une femme d'aller un peu au delà des dernières bornes de l'amitié; et elle fait ensuite qu'au delà de cette Mer, c'est ce que nous appelons </w:t>
      </w:r>
      <w:r>
        <w:rPr>
          <w:i/>
          <w:sz w:val="22"/>
        </w:rPr>
        <w:t>Terres inconnues</w:t>
      </w:r>
      <w:r>
        <w:rPr>
          <w:sz w:val="22"/>
        </w:rPr>
        <w:t xml:space="preserve">, parce qu'en effet nous ne savons point ce qu'il y a et que nous ne croyons que personne ait été plus loin </w:t>
      </w:r>
      <w:r>
        <w:rPr>
          <w:i/>
          <w:sz w:val="22"/>
        </w:rPr>
        <w:t>qu'Hercule</w:t>
      </w:r>
      <w:r>
        <w:rPr>
          <w:rStyle w:val="Appelnotedebasdep"/>
        </w:rPr>
        <w:footnoteReference w:id="251"/>
      </w:r>
      <w:r>
        <w:rPr>
          <w:sz w:val="22"/>
        </w:rPr>
        <w:t>.</w:t>
      </w:r>
    </w:p>
    <w:p>
      <w:pPr>
        <w:pStyle w:val="TEIparagraphconsecutive"/>
      </w:pPr>
      <w:r>
        <w:t xml:space="preserve">Non seulement Hercule possède une éloquence légendaire, mais il est capable, comme Énée, de </w:t>
      </w:r>
      <w:r>
        <w:rPr>
          <w:i/>
        </w:rPr>
        <w:t xml:space="preserve">remuer l’Achéron </w:t>
      </w:r>
      <w:r>
        <w:t>pour y négocier la sortie d’Alceste.</w:t>
      </w:r>
    </w:p>
    <w:p>
      <w:pPr>
        <w:ind w:firstLine="283"/>
      </w:pPr>
      <w:r>
        <w:t xml:space="preserve">Ce qui frappe chez Racine, alors qu’il est un tragédien accompli dont le succès a été consacré par des sujets historiques, de </w:t>
      </w:r>
      <w:r>
        <w:rPr>
          <w:i/>
        </w:rPr>
        <w:t>Bérénice</w:t>
      </w:r>
      <w:r>
        <w:t xml:space="preserve"> à </w:t>
      </w:r>
      <w:r>
        <w:rPr>
          <w:i/>
        </w:rPr>
        <w:t>Mithridate</w:t>
      </w:r>
      <w:r>
        <w:t>, c’est le retour à l’inspiration mythologique de ses deux dernières tragédies. Il recrute les monstres sacrés de l’Antiquité pour leur prêter les passions apparemment les plus monstrueuses ; jalousie d’un père vis-à-vis de l’homme qui veut lui prendre sa fille ; jalousie d’une belle-mère qui voit son beau-fils lui préférer une jeune fille de son âge.</w:t>
      </w:r>
    </w:p>
    <w:p>
      <w:pPr>
        <w:ind w:firstLine="283"/>
      </w:pPr>
      <w:r>
        <w:t>On part dans les deux cas d’une situation saturée de mythologie, où les passions des personnages semblent dictées par une malédiction surnaturelle, mais tout le processus tragique aboutit à l’évidence de leur caractère naturel.</w:t>
      </w:r>
    </w:p>
    <w:p>
      <w:pPr>
        <w:ind w:firstLine="283"/>
      </w:pPr>
      <w:r>
        <w:t>« Moi, jalouse ? », s’étonne Phèdre au moment où elle découvre que son amour pour Hippolyte s’inverse en haine.</w:t>
      </w:r>
    </w:p>
    <w:p>
      <w:pPr>
        <w:ind w:firstLine="283"/>
      </w:pPr>
      <w:r>
        <w:t>« Ah, quels dieux me seraient plus cruels que moi-même</w:t>
      </w:r>
      <w:r>
        <w:rPr>
          <w:rStyle w:val="Appelnotedebasdep"/>
        </w:rPr>
        <w:footnoteReference w:id="252"/>
      </w:r>
      <w:r>
        <w:rPr>
          <w:vertAlign w:val="superscript"/>
        </w:rPr>
        <w:t xml:space="preserve"> !</w:t>
      </w:r>
      <w:r>
        <w:t xml:space="preserve"> », reconnaît lucidement Agamemnon lorsqu’il découvre qu’il pourrait faire mourir sa fille par envie pour Achille.</w:t>
      </w:r>
    </w:p>
    <w:p>
      <w:pPr>
        <w:ind w:firstLine="283"/>
      </w:pPr>
      <w:r>
        <w:t>Racine se sert de la syntaxe tragique d’Aristote, et tout particulièrement de l’anagnorèse</w:t>
      </w:r>
      <w:r>
        <w:rPr>
          <w:rStyle w:val="Appelnotedebasdep"/>
        </w:rPr>
        <w:footnoteReference w:id="253"/>
      </w:r>
      <w:r>
        <w:t>, pour faire découvrir au personnage que la monstruosité de sa passion n’a rien de mythologique, elle est humaine, simplement, tristement humaine. Pas de « Vénus à sa proie attachée », pas de malédiction du « vrai fils d’Atrée », dont le Soleil n’osa « du père éclairer le festin</w:t>
      </w:r>
      <w:r>
        <w:rPr>
          <w:rStyle w:val="Appelnotedebasdep"/>
        </w:rPr>
        <w:footnoteReference w:id="254"/>
      </w:r>
      <w:r>
        <w:t xml:space="preserve"> » : la jalousie, la simple jalousie. L’inspiration mythologique débouche sur un processus d’« expiration mythologique », consistant dans les deux cas à partir d’une situation saturée de mythologie, où les passions semblent agies par des forces surnaturelles, pour aboutir à l’évidence de leur destin naturel. Pour chacun des protagonistes, la cruauté des dieux, l’acharnement du sort, la guerre de Troie elle-même, finissent par apparaître pour ce qu’ils sont : des alibis, des prête-noms donnés à </w:t>
      </w:r>
      <w:r>
        <w:t>des puissances intérieures humaines, trop humaines, qui les détruisent. La mythologie n’a alors plus qu’une place : le hors scène. Elle est congédiée du plateau, comme on le voit dans le finale d’</w:t>
      </w:r>
      <w:r>
        <w:rPr>
          <w:i/>
        </w:rPr>
        <w:t xml:space="preserve">Iphigénie, </w:t>
      </w:r>
      <w:r>
        <w:t xml:space="preserve">comme on le voit à la fin de </w:t>
      </w:r>
      <w:r>
        <w:rPr>
          <w:i/>
        </w:rPr>
        <w:t>Phèdre</w:t>
      </w:r>
      <w:r>
        <w:t xml:space="preserve">. Vinaver le dit à très juste titre dans les </w:t>
      </w:r>
      <w:r>
        <w:rPr>
          <w:i/>
        </w:rPr>
        <w:t>Principes de la tragédie</w:t>
      </w:r>
      <w:r>
        <w:t xml:space="preserve"> :</w:t>
      </w:r>
    </w:p>
    <w:p>
      <w:pPr>
        <w:pStyle w:val="TEIquote"/>
        <w:spacing w:line="240" w:lineRule="auto"/>
        <w:ind w:left="397"/>
        <w:jc w:val="both"/>
      </w:pPr>
      <w:r>
        <w:rPr>
          <w:sz w:val="22"/>
        </w:rPr>
        <w:t>Et c’est alors, sur une scène dépouillée de tout moyen de représentation matérielle, que naîtra le sens du tragique</w:t>
      </w:r>
      <w:r>
        <w:rPr>
          <w:rStyle w:val="Appelnotedebasdep"/>
        </w:rPr>
        <w:footnoteReference w:id="255"/>
      </w:r>
      <w:r>
        <w:rPr>
          <w:sz w:val="22"/>
        </w:rPr>
        <w:t>.</w:t>
      </w:r>
    </w:p>
    <w:p>
      <w:pPr>
        <w:pStyle w:val="TEIparagraphconsecutive"/>
      </w:pPr>
      <w:r>
        <w:t xml:space="preserve">Ainsi en va-t-il des passions humaines : elles enchantent, elles charment (au sens </w:t>
      </w:r>
      <w:r>
        <w:rPr>
          <w:smallCaps/>
        </w:rPr>
        <w:t>xvii</w:t>
      </w:r>
      <w:r>
        <w:rPr>
          <w:vertAlign w:val="superscript"/>
        </w:rPr>
        <w:t>e</w:t>
      </w:r>
      <w:r>
        <w:t xml:space="preserve"> cette fois !), mais ses dieux ne sont que des alibis aux haines, aux destructions qu’elles provoquent. La précision de Racine, sa rigueur dans l’usage du langage poétique aristotélicien les font apparaître dans leur pureté anthropologique.</w:t>
      </w:r>
    </w:p>
    <w:p>
      <w:pPr>
        <w:ind w:firstLine="283"/>
      </w:pPr>
      <w:r>
        <w:t>Chez Euripide, Iphigénie souffrait d’un caractère inégal qui ne permettait pas de comprendre ce qui la faisait agir ou pâtir. Racine a suivi Aristote et rectifie la syntaxe dramatique : il nous propose une Iphigénie d’un bloc, à la fois totalement innocente, comme le constate à juste titre Tristan Alonge, au point qu’elle perdrait selon lui le statut de personnage tragique, mais capable d’agir, de faire souffrir ceux qu’elle aime avec cette « tendresse de cruauté » qu’évoquait Péguy, qui observe magnifiquement que « tout est adversaire, tout est ennemi aux personnages de Racine, ils sont tous ennemis les uns des autres</w:t>
      </w:r>
      <w:r>
        <w:rPr>
          <w:rStyle w:val="Appelnotedebasdep"/>
        </w:rPr>
        <w:footnoteReference w:id="256"/>
      </w:r>
      <w:r>
        <w:t xml:space="preserve"> »... surtout quand ils s’aiment.</w:t>
      </w:r>
    </w:p>
    <w:p>
      <w:pPr>
        <w:ind w:firstLine="283"/>
      </w:pPr>
      <w:r>
        <w:t>Rendre Achille amoureux, c’est lui restituer un caractère authentiquement mythologique puisque c’est ainsi que le présente Homère, et jusque dans sa contradiction constitutive que sait très bien lui faire remarquer Agamemnon :</w:t>
      </w:r>
    </w:p>
    <w:p>
      <w:pPr>
        <w:pStyle w:val="TEIquote"/>
        <w:spacing w:line="240" w:lineRule="auto"/>
        <w:ind w:left="397"/>
        <w:jc w:val="both"/>
      </w:pPr>
      <w:r>
        <w:rPr>
          <w:sz w:val="22"/>
        </w:rPr>
        <w:t>Mon cœur pour la sauver vous ouvrait une voie.</w:t>
      </w:r>
    </w:p>
    <w:p>
      <w:pPr>
        <w:pStyle w:val="TEIquote"/>
        <w:spacing w:line="240" w:lineRule="auto"/>
        <w:ind w:left="397"/>
        <w:jc w:val="both"/>
      </w:pPr>
      <w:r>
        <w:rPr>
          <w:sz w:val="22"/>
        </w:rPr>
        <w:t>Mais vous ne demandez, vous ne cherchez que Troie.</w:t>
      </w:r>
    </w:p>
    <w:p>
      <w:pPr>
        <w:pStyle w:val="TEIquote"/>
        <w:spacing w:line="240" w:lineRule="auto"/>
        <w:ind w:left="397"/>
        <w:jc w:val="both"/>
      </w:pPr>
      <w:r>
        <w:rPr>
          <w:sz w:val="22"/>
        </w:rPr>
        <w:t>Je vous fermais le champ, où vous voulez courir.</w:t>
      </w:r>
    </w:p>
    <w:p>
      <w:pPr>
        <w:pStyle w:val="TEIquote"/>
        <w:spacing w:line="240" w:lineRule="auto"/>
        <w:ind w:left="397"/>
        <w:jc w:val="both"/>
      </w:pPr>
      <w:r>
        <w:rPr>
          <w:sz w:val="22"/>
        </w:rPr>
        <w:t>Vous le voulez, partez, sa mort va vous l'ouvrir</w:t>
      </w:r>
      <w:r>
        <w:rPr>
          <w:rStyle w:val="Appelnotedebasdep"/>
        </w:rPr>
        <w:footnoteReference w:id="257"/>
      </w:r>
      <w:r>
        <w:rPr>
          <w:sz w:val="22"/>
        </w:rPr>
        <w:t>.</w:t>
      </w:r>
    </w:p>
    <w:p>
      <w:pPr>
        <w:pStyle w:val="TEIparagraphconsecutive"/>
      </w:pPr>
      <w:r>
        <w:t xml:space="preserve">Enfin Agamemnon lui-même est le modèle obsessionnel chez le dernier Racine, après Mithridate, avant Thésée (mais on se rappelle aussi Dandin dans les </w:t>
      </w:r>
      <w:r>
        <w:rPr>
          <w:i/>
        </w:rPr>
        <w:t>Plaideurs</w:t>
      </w:r>
      <w:r>
        <w:t xml:space="preserve">), du père abusif, personnifiant les abus du patriarcat. Ce n’est pas un hasard s’il apparaît aussi dans la seule comédie de Racine car il y a bien deux manières de le traiter : par la comédie, là nul besoin de mythologie (encore que certains dont je suis trouvent à Thésée un comportement de père de comédie dans </w:t>
      </w:r>
      <w:r>
        <w:rPr>
          <w:i/>
        </w:rPr>
        <w:t>Phèdre</w:t>
      </w:r>
      <w:r>
        <w:t>) ; par la tragédie ou le drame, et il faut toute la puissance du langage mythologique pour en révéler les fondements indicibles.</w:t>
      </w:r>
    </w:p>
    <w:p>
      <w:pPr>
        <w:ind w:firstLine="283"/>
      </w:pPr>
      <w:r>
        <w:t>On comprend alors l’importance qu’accorde Racine à l’anagnorèse aristotélicienne, donc à tout le processus qui y conduit mécaniquement lorsqu’on suit les prescriptions d’Aristote. C’est le moyen même de l’</w:t>
      </w:r>
      <w:r>
        <w:rPr>
          <w:i/>
        </w:rPr>
        <w:t xml:space="preserve">expiration mythologique </w:t>
      </w:r>
      <w:r>
        <w:t>à l’issue d’un parcours de désenchantement. Plus lucide que n’importe quel d’entre nous, le personnage racinien</w:t>
      </w:r>
      <w:r>
        <w:rPr>
          <w:i/>
        </w:rPr>
        <w:t xml:space="preserve"> reconnaît</w:t>
      </w:r>
      <w:r>
        <w:t xml:space="preserve"> l’horreur de l’acte qu’il a commis (c’est Phèdre) ou se prépare à commettre (c’est Agamemnon) sous l’effet de sa passion. Il en reconnaît surtout l’origine naturelle. Pour en arriver là il importe que la syntaxe aristotélicienne soit scrupuleusement respectée.</w:t>
      </w:r>
    </w:p>
    <w:p>
      <w:pPr>
        <w:ind w:firstLine="283"/>
      </w:pPr>
      <w:r>
        <w:t>Eugen Vinaver a attiré notre attention sur le léger gauchissement psychologique que Racine opérait en traduisant Aristote sur l’</w:t>
      </w:r>
      <w:r>
        <w:rPr>
          <w:i/>
        </w:rPr>
        <w:t>anagnôrisis</w:t>
      </w:r>
      <w:r>
        <w:rPr>
          <w:rStyle w:val="Appelnotedebasdep"/>
        </w:rPr>
        <w:footnoteReference w:id="258"/>
      </w:r>
      <w:r>
        <w:t xml:space="preserve">. Il en fait un séisme intérieur qu’un long monologue ou qu’un soliloque devant témoins (on pourrait parler d’« autologue ») révèle au public, et alors que la mode des interminables monologues oratoires du </w:t>
      </w:r>
      <w:r>
        <w:rPr>
          <w:smallCaps/>
        </w:rPr>
        <w:t>xvi</w:t>
      </w:r>
      <w:r>
        <w:rPr>
          <w:vertAlign w:val="superscript"/>
        </w:rPr>
        <w:t>e</w:t>
      </w:r>
      <w:r>
        <w:t xml:space="preserve"> et du début du </w:t>
      </w:r>
      <w:r>
        <w:rPr>
          <w:smallCaps/>
        </w:rPr>
        <w:t>xvii</w:t>
      </w:r>
      <w:r>
        <w:rPr>
          <w:vertAlign w:val="superscript"/>
        </w:rPr>
        <w:t xml:space="preserve">e </w:t>
      </w:r>
      <w:r>
        <w:t>avait fait long feu depuis longtemps à son époque</w:t>
      </w:r>
      <w:r>
        <w:rPr>
          <w:rStyle w:val="Appelnotedebasdep"/>
        </w:rPr>
        <w:footnoteReference w:id="259"/>
      </w:r>
      <w:r>
        <w:t>. En 1660, Corneille écrit dans l’</w:t>
      </w:r>
      <w:r>
        <w:rPr>
          <w:i/>
        </w:rPr>
        <w:t>Examen de Cinna</w:t>
      </w:r>
      <w:r>
        <w:t xml:space="preserve"> : « C’est ici la dernière pièce où je me suis pardonné de longs monologues</w:t>
      </w:r>
      <w:r>
        <w:rPr>
          <w:rStyle w:val="Appelnotedebasdep"/>
        </w:rPr>
        <w:footnoteReference w:id="260"/>
      </w:r>
      <w:r>
        <w:t xml:space="preserve">. » Que Racine, si soucieux de la mode, prenne le risque d’aller résolument contre, c’est que le besoin lui en est impérieux. </w:t>
      </w:r>
    </w:p>
    <w:p>
      <w:pPr>
        <w:ind w:firstLine="283"/>
      </w:pPr>
      <w:r>
        <w:t xml:space="preserve">On comprend alors que cela produit chez lui une fin de tragédie qu’on pourrait dire désappareillée : la partie psychologique et proprement racinienne est opérée par cette longue tirade anagnorétique ; elle est suivie d’une partie mythologique et aristotélicienne qui suit comme elle peut, car il faut bien une fin à l’histoire, opérée </w:t>
      </w:r>
      <w:r>
        <w:rPr>
          <w:i/>
        </w:rPr>
        <w:t xml:space="preserve">ex verbis </w:t>
      </w:r>
      <w:r>
        <w:t>par le récit d’un personnage.</w:t>
      </w:r>
    </w:p>
    <w:p>
      <w:pPr>
        <w:ind w:firstLine="283"/>
      </w:pPr>
      <w:r>
        <w:t>La mythologie y trouve bien un statut de langage, mimant la manière dont nous mythifons des passions qui ne sont que l’effet de mécanismes humains élémentaires. Le signifiant mythologique est vidangé de son référent mythologique pour se remplir de signifié anthropologique et psychologique. La comparaison des deux dernières pièces est là-dessus édifiante : elles ne diffèrent que sur un point, on va le voir essentiel.</w:t>
      </w:r>
    </w:p>
    <w:p>
      <w:pPr>
        <w:ind w:firstLine="283"/>
      </w:pPr>
      <w:r>
        <w:t xml:space="preserve">Dans </w:t>
      </w:r>
      <w:r>
        <w:rPr>
          <w:i/>
        </w:rPr>
        <w:t xml:space="preserve">Phèdre, </w:t>
      </w:r>
      <w:r>
        <w:t>l’anagnorèse porte sur l’horreur de l’acte qu’</w:t>
      </w:r>
      <w:r>
        <w:rPr>
          <w:i/>
        </w:rPr>
        <w:t>a commis</w:t>
      </w:r>
      <w:r>
        <w:t xml:space="preserve"> Phèdre en laissant accuser et mourir Hippolyte. </w:t>
      </w:r>
    </w:p>
    <w:p>
      <w:pPr>
        <w:ind w:firstLine="283"/>
      </w:pPr>
      <w:r>
        <w:t xml:space="preserve">Dans </w:t>
      </w:r>
      <w:r>
        <w:rPr>
          <w:i/>
        </w:rPr>
        <w:t>Iphigénie</w:t>
      </w:r>
      <w:r>
        <w:t xml:space="preserve">, c’est sur l’acte </w:t>
      </w:r>
      <w:r>
        <w:rPr>
          <w:i/>
        </w:rPr>
        <w:t>à commettre</w:t>
      </w:r>
      <w:r>
        <w:t xml:space="preserve"> et qui ne sera pas commis, ce qui est évidemment beaucoup moins cruel.</w:t>
      </w:r>
    </w:p>
    <w:p>
      <w:pPr>
        <w:ind w:firstLine="283"/>
      </w:pPr>
      <w:r>
        <w:t xml:space="preserve">Dans un cas il y a crime, dans l’autre non, ce qui explique au fond l’imperfection tragique, on pourrait dire la faute de syntaxe aristotélicienne de Racine dans son </w:t>
      </w:r>
      <w:r>
        <w:rPr>
          <w:i/>
        </w:rPr>
        <w:t xml:space="preserve">Iphigénie </w:t>
      </w:r>
      <w:r>
        <w:t>relevée par</w:t>
      </w:r>
      <w:r>
        <w:rPr>
          <w:i/>
        </w:rPr>
        <w:t xml:space="preserve"> </w:t>
      </w:r>
      <w:r>
        <w:t xml:space="preserve">Tristan </w:t>
      </w:r>
      <w:r>
        <w:t xml:space="preserve">Alonge dans sa conclusion. On pourrait dire que l’auteur se prend au piège de son finale narratif, ce qu’il ne fera pas dans </w:t>
      </w:r>
      <w:r>
        <w:rPr>
          <w:i/>
        </w:rPr>
        <w:t>Phèdre.</w:t>
      </w:r>
    </w:p>
    <w:p>
      <w:pPr>
        <w:ind w:firstLine="283"/>
      </w:pPr>
      <w:r>
        <w:t>Aristote préconise en effet une « action une et formant un tout</w:t>
      </w:r>
      <w:r>
        <w:rPr>
          <w:rStyle w:val="Appelnotedebasdep"/>
        </w:rPr>
        <w:footnoteReference w:id="261"/>
      </w:r>
      <w:r>
        <w:t xml:space="preserve"> ». Racine nous présente deux histoires dans </w:t>
      </w:r>
      <w:r>
        <w:rPr>
          <w:i/>
        </w:rPr>
        <w:t>Iphigénie</w:t>
      </w:r>
      <w:r>
        <w:t>, avec deux fins simultanées : la mort tragique d’une des victimes du triangle amoureux n</w:t>
      </w:r>
      <w:r>
        <w:rPr>
          <w:vertAlign w:val="superscript"/>
        </w:rPr>
        <w:t>o</w:t>
      </w:r>
      <w:r>
        <w:t xml:space="preserve">1 - même si ce qui perd Ériphile n’est que la conséquence très indirecte de son amour et relève d’abord comme on l’a vu d’un hasard divin - ; le </w:t>
      </w:r>
      <w:r>
        <w:rPr>
          <w:i/>
        </w:rPr>
        <w:t>happy end</w:t>
      </w:r>
      <w:r>
        <w:t xml:space="preserve"> du triangle amoureux incestuel n</w:t>
      </w:r>
      <w:r>
        <w:rPr>
          <w:vertAlign w:val="superscript"/>
        </w:rPr>
        <w:t>o</w:t>
      </w:r>
      <w:r>
        <w:t xml:space="preserve">2, qui a tout, </w:t>
      </w:r>
      <w:r>
        <w:rPr>
          <w:i/>
        </w:rPr>
        <w:t>horresco referens</w:t>
      </w:r>
      <w:r>
        <w:t>, d’une fin de comédie de Molière, avec l’ami du couple invitant la mère à revoir le père et le futur gendre, « tous deux d’intelligence », « prêts à confirmer leur auguste alliance</w:t>
      </w:r>
      <w:r>
        <w:rPr>
          <w:rStyle w:val="Appelnotedebasdep"/>
        </w:rPr>
        <w:footnoteReference w:id="262"/>
      </w:r>
      <w:r>
        <w:t xml:space="preserve"> ». Une petite famille dans la liesse de la réconciliation à quelques pas d’une agonisante baignant dans son sang : le contraste de ce double dénouement n’était pas possible à montrer sur une scène, il fallait bien un </w:t>
      </w:r>
      <w:r>
        <w:rPr>
          <w:i/>
        </w:rPr>
        <w:t>deus ex verbis</w:t>
      </w:r>
      <w:r>
        <w:t xml:space="preserve"> opéré par un narrateur susceptible de canaliser le regard du spectateur et de faire apparaître successivement dans son imagination ce que le dramaturge ne pouvait montrer en coprésence sur la scène.</w:t>
      </w:r>
    </w:p>
    <w:p>
      <w:pPr>
        <w:ind w:firstLine="283"/>
      </w:pPr>
      <w:r>
        <w:rPr>
          <w:b/>
          <w:smallCaps/>
        </w:rPr>
        <w:t>Conclusion</w:t>
      </w:r>
    </w:p>
    <w:p>
      <w:pPr>
        <w:ind w:firstLine="283"/>
      </w:pPr>
      <w:r>
        <w:t xml:space="preserve">Ce qui semble intéresser Racine dans le choix de ses deux dernières tragédies grecques, ce n’est ni la distance historique, ni la distance géographique, mais la distance religieuse. Les dieux de la mythologie ne font plus sens dans un </w:t>
      </w:r>
      <w:r>
        <w:rPr>
          <w:smallCaps/>
        </w:rPr>
        <w:t>xvii</w:t>
      </w:r>
      <w:r>
        <w:rPr>
          <w:vertAlign w:val="superscript"/>
        </w:rPr>
        <w:t xml:space="preserve">e </w:t>
      </w:r>
      <w:r>
        <w:t xml:space="preserve">siècle français acquis à la religion chrétienne - pas plus que dans notre monde moderne désenchanté. </w:t>
      </w:r>
    </w:p>
    <w:p>
      <w:pPr>
        <w:ind w:firstLine="283"/>
      </w:pPr>
      <w:r>
        <w:t xml:space="preserve">C’est précisément parce qu’ils n’ont plus de sens religieux que Racine peut les investir d’une signification nouvelle, obtenue en greffant sur les intrigues anciennes les intrigues, donc les problématiques, galantes de son temps. Il ne se contente pas d’opérer cette greffe pour plaire à son public, en bon courtisan qu’il est. Les sujets qu’il choisit sont suffisamment récurrents dans son œuvre pour ne pas refléter ses interrogations profondes sur la nature de l’amour, et sur sa réversibilité en haine. C’est parce qu’elle est entée sur nos monstres intérieurs qu’une passion peut se retourner en sa contraire. La syntaxe tragique aristotélicienne, parce qu’elle privilégie les péripéties et anagnorèses à l’expression statique du </w:t>
      </w:r>
      <w:r>
        <w:rPr>
          <w:i/>
        </w:rPr>
        <w:t xml:space="preserve">pathos, </w:t>
      </w:r>
      <w:r>
        <w:t>apparaît alors comme le moyen d’exposer cette dynamique amoureuse délétère. L’</w:t>
      </w:r>
      <w:r>
        <w:rPr>
          <w:i/>
        </w:rPr>
        <w:t>inspiration mythologique</w:t>
      </w:r>
      <w:r>
        <w:t xml:space="preserve"> n’est là que pour servir à un processus sémantique d’</w:t>
      </w:r>
      <w:r>
        <w:rPr>
          <w:i/>
        </w:rPr>
        <w:t>expiration mythologique</w:t>
      </w:r>
      <w:r>
        <w:t>, faisant des personnages de la tragédie l’incarnation de nos monstres intérieurs.</w:t>
      </w:r>
    </w:p>
    <w:p>
      <w:r>
        <w:br w:type="page"/>
      </w:r>
    </w:p>
    <w:p>
      <w:pPr>
        <w:ind w:firstLine="283"/>
      </w:pPr>
      <w:r>
        <w:rPr>
          <w:b/>
        </w:rPr>
        <w:t xml:space="preserve">“Viens, reconnais la voix qui frappe ton oreille” : l’attribution problématique de la parole dans </w:t>
      </w:r>
      <w:r>
        <w:rPr>
          <w:b/>
          <w:i/>
        </w:rPr>
        <w:t>Iphigénie</w:t>
      </w:r>
    </w:p>
    <w:p>
      <w:pPr>
        <w:ind w:firstLine="283"/>
      </w:pPr>
      <w:r>
        <w:t xml:space="preserve">Racine a écrit deux poèmes dramatiques à oracle, </w:t>
      </w:r>
      <w:r>
        <w:rPr>
          <w:i/>
        </w:rPr>
        <w:t>La Thébaïde</w:t>
      </w:r>
      <w:r>
        <w:t xml:space="preserve"> et </w:t>
      </w:r>
      <w:r>
        <w:rPr>
          <w:i/>
        </w:rPr>
        <w:t>Iphigénie</w:t>
      </w:r>
      <w:r>
        <w:t>, à dix ans d’écart</w:t>
      </w:r>
      <w:r>
        <w:rPr>
          <w:rStyle w:val="Appelnotedebasdep"/>
        </w:rPr>
        <w:footnoteReference w:id="263"/>
      </w:r>
      <w:r>
        <w:t xml:space="preserve">. Dans la tragédie de 1674, le nom de la victime est donné (« Sacrifiez Iphigénie » v. 63), de sorte que la signification de l’oracle inaugural n’est </w:t>
      </w:r>
      <w:r>
        <w:t>pas mystérieuse, mais semble tout simplement cruelle aux yeux des personnages</w:t>
      </w:r>
      <w:r>
        <w:rPr>
          <w:rStyle w:val="Appelnotedebasdep"/>
        </w:rPr>
        <w:footnoteReference w:id="264"/>
      </w:r>
      <w:r>
        <w:t xml:space="preserve">, et se résume au geste suivant : il faut sacrifier Iphigénie pour faire revenir les vents favorables à l’armée d’Agamemnon. Si son sens n’est pas obscur, l’oracle pose en revanche dans la diégèse un problème de </w:t>
      </w:r>
      <w:r>
        <w:t>compréhension des enjeux</w:t>
      </w:r>
      <w:r>
        <w:t>. À deux reprises, les personnages s’interrogent sur la finalité de l’oracle. Agamemnon, s’adressant au ciel, fait l’hypothèse suivante : « Tes Oracles sans doute ont voulu m’éprouver » (v. 123</w:t>
      </w:r>
      <w:r>
        <w:t>)</w:t>
      </w:r>
      <w:r>
        <w:t>, Ériphile pense plutôt, en parlant d’Iphigénie, « que les Dieux n’ont dicté cet Oracle / Que pour croître à la fois sa gloire et mon tourment, / Et la rendre plus belle aux yeux de son Amant » (v. 1110-1112).</w:t>
      </w:r>
    </w:p>
    <w:p>
      <w:pPr>
        <w:ind w:firstLine="283"/>
      </w:pPr>
      <w:r>
        <w:t xml:space="preserve">La question de la finalité rejoint celle de l’attribution : quels dieux sont assez cruels pour prononcer un tel oracle ? La violence apparente de la formule est typique des dieux de la mythologie, et du Dieu de l’Ancien Testament, mais inconcevable pour celui qui </w:t>
      </w:r>
      <w:r>
        <w:t>a connu la bienveillance des dieux</w:t>
      </w:r>
      <w:r>
        <w:t>. Aussi Agamemnon envisage-t-il très vite de chercher un « dieu plus doux</w:t>
      </w:r>
      <w:r>
        <w:rPr>
          <w:rStyle w:val="Appelnotedebasdep"/>
        </w:rPr>
        <w:footnoteReference w:id="265"/>
      </w:r>
      <w:r>
        <w:t xml:space="preserve"> ». L’explication finale de l’oracle</w:t>
      </w:r>
      <w:r>
        <w:rPr>
          <w:rStyle w:val="Appelnotedebasdep"/>
        </w:rPr>
        <w:footnoteReference w:id="266"/>
      </w:r>
      <w:r>
        <w:t xml:space="preserve"> (il s’agit d’« une autre Iphigénie » v. 1749) enlève à l’oracle sa dimension cruelle – sauf au premier sens du terme car le sang coule bien.</w:t>
      </w:r>
    </w:p>
    <w:p>
      <w:pPr>
        <w:pStyle w:val="TEIbiblreference"/>
        <w:ind w:left="283" w:hanging="283"/>
      </w:pPr>
      <w:r>
        <w:t>Comme souvent, l’oracle est lié au « mystère d’identité</w:t>
      </w:r>
      <w:r>
        <w:rPr>
          <w:rStyle w:val="Appelnotedebasdep"/>
        </w:rPr>
        <w:footnoteReference w:id="267"/>
      </w:r>
      <w:r>
        <w:t xml:space="preserve"> ». Plus précisément, il y a erreur d’attribution. Cette erreur porte non seulement sur la victime (c’est une </w:t>
      </w:r>
      <w:r>
        <w:rPr>
          <w:i/>
        </w:rPr>
        <w:t>autre</w:t>
      </w:r>
      <w:r>
        <w:t xml:space="preserve"> Iphigénie), mais aussi sur la source de l’oracle : c’est un autre dieu qu’un dieu cruel. En effet, au terme de la tragédie, on est en droit de penser que l’oracle venait de dieu(x) doux, issus du polythéisme (ce que suggère la mention par Iphigénie de la bonté passée des dieux, v. 571, 1193-1196), ou du monothéisme néotestamentaire vers lequel conduit le singulier de l’explication de l’oracle — même si l’on pourrait y lire la figure du destin, étant donné que les Grecs avaient tendance à voir dans le destin une force supérieure aux dieux eux-mêmes.</w:t>
      </w:r>
    </w:p>
    <w:p>
      <w:pPr>
        <w:ind w:firstLine="283"/>
      </w:pPr>
      <w:r>
        <w:t>Le corollaire amène à la conclusion suivante : il ne fallait pas s’inquiéter de l’oracle car c’est la voix d’un Dieu doux qui l’a prononcé ; c’était un oracle bienveillant</w:t>
      </w:r>
      <w:r>
        <w:rPr>
          <w:rStyle w:val="Appelnotedebasdep"/>
        </w:rPr>
        <w:footnoteReference w:id="268"/>
      </w:r>
      <w:r>
        <w:t xml:space="preserve">. </w:t>
      </w:r>
      <w:r>
        <w:t xml:space="preserve">Si les hommes s’agitent tout au long des cinq actes, c’est qu’ils n’ont pas identifié précisément la source de l’oracle, ce qui laisse </w:t>
      </w:r>
      <w:r>
        <w:t xml:space="preserve">penser que la question de l’énonciation, de </w:t>
      </w:r>
      <w:r>
        <w:t>la source</w:t>
      </w:r>
      <w:r>
        <w:t xml:space="preserve"> des paroles, abordée dès la préface, est centrale, quand bien même ce type de discours n’est pas réputé pour sa sincérité</w:t>
      </w:r>
      <w:r>
        <w:rPr>
          <w:rStyle w:val="Appelnotedebasdep"/>
        </w:rPr>
        <w:footnoteReference w:id="269"/>
      </w:r>
      <w:r>
        <w:t xml:space="preserve"> :</w:t>
      </w:r>
    </w:p>
    <w:p>
      <w:pPr>
        <w:pStyle w:val="TEIquote"/>
        <w:spacing w:line="240" w:lineRule="auto"/>
        <w:ind w:left="397"/>
        <w:jc w:val="both"/>
      </w:pPr>
      <w:r>
        <w:rPr>
          <w:sz w:val="22"/>
        </w:rPr>
        <w:t xml:space="preserve">Il leur [aux Modernes] est venu dans l’esprit la plus étrange pensée du monde. Ils ont mis dans la bouche d’Admète les paroles qu’Alceste dit à Admète, et celles qu’elle se fait dire par Charon. Ainsi ils supposent qu’Admède (quoiqu’il soit en parfaite santé) </w:t>
      </w:r>
      <w:r>
        <w:rPr>
          <w:i/>
          <w:sz w:val="22"/>
        </w:rPr>
        <w:t>pense voir déjà Charon qui le vient prendre</w:t>
      </w:r>
      <w:r>
        <w:rPr>
          <w:sz w:val="22"/>
        </w:rPr>
        <w:t>. Et au lieu que dans ce passage d’Euripide, Charon impatient presse Alceste de le venir trouver ; selon ces Messieurs c’est Admète effrayé qui est l’impatient, et qui presse Alceste d’expirer de peur que Charon ne le prenne</w:t>
      </w:r>
      <w:r>
        <w:rPr>
          <w:rStyle w:val="Appelnotedebasdep"/>
        </w:rPr>
        <w:footnoteReference w:id="270"/>
      </w:r>
      <w:r>
        <w:rPr>
          <w:sz w:val="22"/>
        </w:rPr>
        <w:t>.</w:t>
      </w:r>
    </w:p>
    <w:p>
      <w:pPr>
        <w:pStyle w:val="TEIparagraphconsecutive"/>
      </w:pPr>
      <w:r>
        <w:t xml:space="preserve">Première surprise à la lecture de cette apparente digression : Racine ne nous a pas habitués aux réflexions techniques. Celle-ci est presque d’ordre philologique, car le dramaturge se rend attentif à l’absence ou à la présence du nom du locuteur d’une variante à l’autre. Deuxième surprise, la dimension polémique est déroutante au sens propre du terme dans la mesure où elle concerne une pièce qui n’a pas de lien avec </w:t>
      </w:r>
      <w:r>
        <w:rPr>
          <w:i/>
        </w:rPr>
        <w:t>Iphigénie</w:t>
      </w:r>
      <w:r>
        <w:t xml:space="preserve">. Le partisan des Anciens profite de la tribune que lui offre la préface pour défendre Euripide contre un choix d’interprétation des frères Perrault, qu’il juge invraisemblable et illogique. Cependant, cette dernière partie de la préface souligne indirectement une problématique majeure, celle de l’attribution, qui se conjugue en partie avec celle de l’identité, pour se nouer autour de l’idée de reconnaissance, sur laquelle s’ouvre la pièce. Tout se noue autour du mot de « bouche » ou plutôt de la notion de </w:t>
      </w:r>
      <w:r>
        <w:rPr>
          <w:i/>
        </w:rPr>
        <w:t>voix</w:t>
      </w:r>
      <w:r>
        <w:t>. La voix est d’abord un levier dramaturgique, qui prend une épaisseur existentielle voire théologique et une portée politique.</w:t>
      </w:r>
    </w:p>
    <w:p>
      <w:pPr>
        <w:pStyle w:val="Titre3"/>
      </w:pPr>
      <w:r>
        <w:rPr>
          <w:b/>
          <w:sz w:val="26"/>
        </w:rPr>
        <w:t xml:space="preserve">Une </w:t>
      </w:r>
      <w:r>
        <w:rPr>
          <w:b/>
          <w:sz w:val="26"/>
        </w:rPr>
        <w:t>poétique</w:t>
      </w:r>
      <w:r>
        <w:rPr>
          <w:b/>
          <w:sz w:val="26"/>
        </w:rPr>
        <w:t xml:space="preserve"> classique de la voix ? </w:t>
      </w:r>
      <w:r>
        <w:rPr>
          <w:b/>
          <w:sz w:val="26"/>
        </w:rPr>
        <w:t>Articuler entre eux énonciateurs</w:t>
      </w:r>
      <w:r>
        <w:rPr>
          <w:b/>
          <w:sz w:val="26"/>
        </w:rPr>
        <w:t xml:space="preserve"> et locuteurs</w:t>
      </w:r>
    </w:p>
    <w:p>
      <w:pPr>
        <w:ind w:firstLine="283"/>
      </w:pPr>
      <w:r>
        <w:t>Le sens de l’ouïe et la voix sont thématisés par les personnages qui ouvrent la pièce. C’est dire l’attention qu’il faut leur porter. La première question que nous pouvons nous poser est celle du rôle dramaturgique de la voix.</w:t>
      </w:r>
    </w:p>
    <w:p>
      <w:pPr>
        <w:ind w:firstLine="283"/>
      </w:pPr>
      <w:r>
        <w:t>La voix est d’abord un biais, une astuce dramaturgique trouvée pour donner de la présence à des singuliers collectifs, peuple et armée, conformément à l’esprit classique d’unité</w:t>
      </w:r>
      <w:r>
        <w:t xml:space="preserve"> et de</w:t>
      </w:r>
      <w:r>
        <w:t xml:space="preserve"> simplicité. Elle est métonymie d’une pluralité d’opinions convergentes, par exemple </w:t>
      </w:r>
      <w:r>
        <w:t xml:space="preserve">« D'un </w:t>
      </w:r>
      <w:r>
        <w:t>Peuple impatient, vous entendez la voix » (v. 1663</w:t>
      </w:r>
      <w:r>
        <w:rPr>
          <w:rStyle w:val="Appelnotedebasdep"/>
        </w:rPr>
        <w:footnoteReference w:id="271"/>
      </w:r>
      <w:r>
        <w:t xml:space="preserve">) ; </w:t>
      </w:r>
      <w:r>
        <w:t>« L’Armée à haute voix se déclare contre elle, / Et prononce à Calchas sa sentence mortelle » (v. 1769-1770). Pas de chœur dans cette pièce au sujet mythologique, mais des voix qui concentrent une pluralité. La mention de la voix sert ensuite à donner de la vraisemblance au merveilleux qui est renvoyé au hors-scène du récit, c’est-à-dire qu’est introduite de la rationalité par le biais d’une incarnation auditive</w:t>
      </w:r>
      <w:r>
        <w:rPr>
          <w:rStyle w:val="Appelnotedebasdep"/>
        </w:rPr>
        <w:footnoteReference w:id="272"/>
      </w:r>
      <w:r>
        <w:t xml:space="preserve">. Ainsi, </w:t>
      </w:r>
      <w:r>
        <w:t>par un effet de concentration, la</w:t>
      </w:r>
      <w:r>
        <w:t xml:space="preserve"> scène de théâtre respecte les principes de vraisemblance et de bienséance. L’enjeu est dramatique, il consiste à </w:t>
      </w:r>
      <w:r>
        <w:t xml:space="preserve">condenser le hors-scène et la scène </w:t>
      </w:r>
      <w:r>
        <w:t>sur quelques voix, notamment lorsqu’une voix devient le creuset de paroles différentes.</w:t>
      </w:r>
    </w:p>
    <w:p>
      <w:pPr>
        <w:ind w:firstLine="283"/>
      </w:pPr>
      <w:r>
        <w:t>La circulation entre la scène et le hors-scène démultiplie le nombre de porte-parole et d’intermédiaires. Je m</w:t>
      </w:r>
      <w:r>
        <w:t>’attarderai sur les porte-parole fonctionnels et essentiels</w:t>
      </w:r>
      <w:r>
        <w:rPr>
          <w:rStyle w:val="Appelnotedebasdep"/>
        </w:rPr>
        <w:footnoteReference w:id="273"/>
      </w:r>
      <w:r>
        <w:t xml:space="preserve">, </w:t>
      </w:r>
      <w:r>
        <w:t xml:space="preserve">rôle qui situe d’emblée et constamment la tragédie dans un cadre polyphonique. Le messager Arcas et le prêtre Calchas sont les locuteurs, qui rapportent le propos des énonciateurs suivants : Agamemnon et Achille pour </w:t>
      </w:r>
      <w:r>
        <w:t>Arcas</w:t>
      </w:r>
      <w:r>
        <w:t xml:space="preserve">, les dieux pour </w:t>
      </w:r>
      <w:r>
        <w:t>Calchas</w:t>
      </w:r>
      <w:r>
        <w:t>. Arcas apparaît dans trois scènes : au début (acte I, scène 1), au milieu (acte III scène 5) et à la fin (acte V scène 5). Il s’en va porter la parole prétendue d’Achille dans le hors-scène</w:t>
      </w:r>
      <w:r>
        <w:t>, lorsqu’il</w:t>
      </w:r>
      <w:r>
        <w:t xml:space="preserve"> remet la lettre supposée </w:t>
      </w:r>
      <w:r>
        <w:t>à Iphigénie</w:t>
      </w:r>
      <w:r>
        <w:t xml:space="preserve"> (Agamemnon lui donne l’ordre suivant : « Et que ta voix s’accorde avec ce que j’écris » v. 148),</w:t>
      </w:r>
      <w:r>
        <w:t xml:space="preserve"> et surtout celle d’</w:t>
      </w:r>
      <w:r>
        <w:t>Agamemnon dont il transmet, hors-scène encore, l</w:t>
      </w:r>
      <w:r>
        <w:t>’ordre adressé</w:t>
      </w:r>
      <w:r>
        <w:t xml:space="preserve"> à Iphigénie (v. 1511-1512)</w:t>
      </w:r>
      <w:r>
        <w:t>, ou, s</w:t>
      </w:r>
      <w:r>
        <w:t xml:space="preserve">ur scène, </w:t>
      </w:r>
      <w:r>
        <w:t xml:space="preserve">l’ordre destiné </w:t>
      </w:r>
      <w:r>
        <w:t>à Clytemnestre : « Mes ordres par Arcas vous l’avaient demandée » (v. 1157).</w:t>
      </w:r>
      <w:r>
        <w:t xml:space="preserve"> </w:t>
      </w:r>
      <w:r>
        <w:t>Or, ces épisodes d</w:t>
      </w:r>
      <w:r>
        <w:t xml:space="preserve">e transmission de message </w:t>
      </w:r>
      <w:r>
        <w:t>correspondent à des moments importants. En particulier, le message qu’Arcas donne à Iphigénie joue le rôle déclencheur du sacrifice consenti alors qu’Agamemnon voulait que sa fille prenne la fuite. Sans issue amoureuse, elle préfère se sacrifier (« Il m’a fait par Arcas expliquer ses souhaits : / Ægine, il me défend de lui parler jamais » v. 1511-1512).</w:t>
      </w:r>
    </w:p>
    <w:p>
      <w:pPr>
        <w:ind w:firstLine="283"/>
      </w:pPr>
      <w:r>
        <w:t xml:space="preserve">Le prêtre Calchas </w:t>
      </w:r>
      <w:r>
        <w:t xml:space="preserve">n’évolue </w:t>
      </w:r>
      <w:r>
        <w:t>jamais</w:t>
      </w:r>
      <w:r>
        <w:t xml:space="preserve"> </w:t>
      </w:r>
      <w:r>
        <w:t xml:space="preserve">sur scène, mais il </w:t>
      </w:r>
      <w:r>
        <w:t xml:space="preserve">est </w:t>
      </w:r>
      <w:r>
        <w:t>très présent dans les esprits et dans les répliques puisqu’il est évoqué quarante fois ; à titre de comparaison, Hélène est mentionnée dix fois, Ménélas quatre fois.</w:t>
      </w:r>
      <w:r>
        <w:t xml:space="preserve"> Calchas</w:t>
      </w:r>
      <w:r>
        <w:t xml:space="preserve"> est surtout représenté par l’organe de la voix</w:t>
      </w:r>
      <w:r>
        <w:rPr>
          <w:rStyle w:val="Appelnotedebasdep"/>
        </w:rPr>
        <w:footnoteReference w:id="274"/>
      </w:r>
      <w:r>
        <w:t xml:space="preserve">, et dans une moindre mesure par la main (v. 840, 1024, 1774). Il a la particularité de </w:t>
      </w:r>
      <w:r>
        <w:rPr>
          <w:i/>
        </w:rPr>
        <w:t>rester</w:t>
      </w:r>
      <w:r>
        <w:t xml:space="preserve"> dans le hors-scène et de voir ses propos rapportés au style direct sur scène. Dans l’intrigue, sa voix véhicule le message des dieux au début de la pièce et vient l’expliquer à la fin. Mais – et c’est là où le porte-parole fonctionnel révèle la complexité du mécanisme – ses propos sont rapportés par plusieurs porte-parole, de droit, les rois. Plus précisément, les paroles de Calchas sont relayées ponctuellement par trois </w:t>
      </w:r>
      <w:r>
        <w:t>voix différentes : celle d’Agamemnon,</w:t>
      </w:r>
      <w:r>
        <w:t xml:space="preserve"> qui transmet l’oracle (v. 57-63), </w:t>
      </w:r>
      <w:r>
        <w:t>celle d’</w:t>
      </w:r>
      <w:r>
        <w:t xml:space="preserve">Ulysse, qui reformule cette parole des dieux (« Calchas par tous les Grecs consulté chaque jour / Leur a prédit des vents l’infaillible retour », v. 287-288), </w:t>
      </w:r>
      <w:r>
        <w:t>celle</w:t>
      </w:r>
      <w:r>
        <w:t xml:space="preserve"> d</w:t>
      </w:r>
      <w:r>
        <w:t>’</w:t>
      </w:r>
      <w:r>
        <w:t xml:space="preserve">Achille qui transmet l’explication elle-même transmise par Calchas (« </w:t>
      </w:r>
      <w:r>
        <w:rPr>
          <w:i/>
        </w:rPr>
        <w:t xml:space="preserve">Vous Achille, </w:t>
      </w:r>
      <w:r>
        <w:t xml:space="preserve">a-t-il dit, </w:t>
      </w:r>
      <w:r>
        <w:rPr>
          <w:i/>
        </w:rPr>
        <w:t xml:space="preserve">et vous </w:t>
      </w:r>
      <w:r>
        <w:rPr>
          <w:i/>
        </w:rPr>
        <w:t>Grecs, qu’on m’écoute. / Le Dieu, qui maintenant vous parle par ma voix, / M’explique son Oracle, et m’instruit de son choix</w:t>
      </w:r>
      <w:r>
        <w:t xml:space="preserve"> » v. 1746-1748). Achille avait aussi relayé Calchas en rapportant ses propos au discours indirect</w:t>
      </w:r>
      <w:r>
        <w:rPr>
          <w:rStyle w:val="Appelnotedebasdep"/>
        </w:rPr>
        <w:footnoteReference w:id="275"/>
      </w:r>
      <w:r>
        <w:t xml:space="preserve"> ou en soulignant l’efficacité de sa parole : « Déjà sur sa parole ils se tournent vers Troie » (v. 842). Or, ces différents personnages qui font écho à la parole de Calchas ont en commun leur statut de rois. </w:t>
      </w:r>
      <w:r>
        <w:t>La démultiplication des niveaux d’énonciation (un hyper-énonciateur, Dieu ; un énonciateur, Calchas ; trois locuteurs, Agamemnon, Ulysse, Achille) à laquelle nous assistons met aussi en avant l’enjeu de l’identité qui est d’ailleurs souvent attaché à la présence d’un oracle.</w:t>
      </w:r>
    </w:p>
    <w:p>
      <w:pPr>
        <w:ind w:firstLine="283"/>
      </w:pPr>
      <w:r>
        <w:t xml:space="preserve">L’évocation de la voix du roi </w:t>
      </w:r>
      <w:r>
        <w:rPr>
          <w:i/>
        </w:rPr>
        <w:t>en sa présence</w:t>
      </w:r>
      <w:r>
        <w:t xml:space="preserve"> échappe à la logique générale de la voix comme astuce dramaturgique assurant la circulation entre la scène et le hors-scène. Elle met en évidence une distinction entre le nom, la voix et la parole.</w:t>
      </w:r>
    </w:p>
    <w:p>
      <w:pPr>
        <w:pStyle w:val="Titre2"/>
      </w:pPr>
      <w:r>
        <w:rPr>
          <w:b/>
          <w:sz w:val="28"/>
        </w:rPr>
        <w:t>La voix, repère dans un monde inquiet</w:t>
      </w:r>
    </w:p>
    <w:p>
      <w:pPr>
        <w:ind w:firstLine="283"/>
      </w:pPr>
      <w:r>
        <w:t xml:space="preserve">La désignation est en crise, comme en témoignent dans la pièce la fréquence des mots </w:t>
      </w:r>
      <w:r>
        <w:rPr>
          <w:i/>
        </w:rPr>
        <w:t>nom</w:t>
      </w:r>
      <w:r>
        <w:t xml:space="preserve"> et </w:t>
      </w:r>
      <w:r>
        <w:rPr>
          <w:i/>
        </w:rPr>
        <w:t>nommer</w:t>
      </w:r>
      <w:r>
        <w:t xml:space="preserve"> ainsi que l’instabilité qui frappe noms propres et noms communs. Le nom propre n’est plus un désignateur rigide, puisqu’il renvoie à deux personnes différentes. L’intrigue repose sur un quiproquo, et la reconnaissance finale consiste à découvrir qu’Ériphile est un autre porteur du prénom Iphigénie. De la même manière, une lettre prétendument signée d’Achille n’est pas de lui, de sorte que le nom propre ne suffit pas à désigner le locuteur et</w:t>
      </w:r>
      <w:r>
        <w:t xml:space="preserve"> que la signature n’est pas l’équivalent écrit de la voix</w:t>
      </w:r>
      <w:r>
        <w:rPr>
          <w:rStyle w:val="Appelnotedebasdep"/>
        </w:rPr>
        <w:footnoteReference w:id="276"/>
      </w:r>
      <w:r>
        <w:t>.</w:t>
      </w:r>
      <w:r>
        <w:t xml:space="preserve"> Le nom commun, quant à lui, est utilisé quasiment à contre-emploi, non pas pour désigner, mais pour qualifier les personnes, ce qui explique l’utilisation du pluriel pour renvoyer à une seule personne : « Vous me donnez des noms qui doivent me surprendre » (v. 701) rétorque Ériphile à Iphigénie, tandis qu’Iphigénie elle-même subit :« Pour avoir pu souffrir tous les noms odieux, / Dont votre amour le vient d'outrager à mes yeux » (v. 1011-1012).</w:t>
      </w:r>
    </w:p>
    <w:p>
      <w:pPr>
        <w:ind w:firstLine="283"/>
      </w:pPr>
      <w:r>
        <w:t>À l’opposé du nom propre et du nom commun marqués par l’instabilité de la référence et de la désignation, la voix se caractérise par une stabilité, peut-être parce qu’elle est indissociable de l’être biologique, mais aussi parce qu’elle correspond à un statut voire à une nature.</w:t>
      </w:r>
    </w:p>
    <w:p>
      <w:pPr>
        <w:ind w:firstLine="283"/>
      </w:pPr>
      <w:r>
        <w:t>La voix, stable, est dissociée de la parole, vaine. La « voix » d’Agamemnon est d’emblée constitutive de son statut de roi : « Viens, reconnais la voix qui frappe ton oreille » (v.</w:t>
      </w:r>
      <w:r>
        <w:t xml:space="preserve"> </w:t>
      </w:r>
      <w:r>
        <w:t xml:space="preserve">2), dit-il. La rime interne entre </w:t>
      </w:r>
      <w:r>
        <w:rPr>
          <w:i/>
        </w:rPr>
        <w:t>roi</w:t>
      </w:r>
      <w:r>
        <w:t xml:space="preserve"> et </w:t>
      </w:r>
      <w:r>
        <w:rPr>
          <w:i/>
        </w:rPr>
        <w:t xml:space="preserve">voix </w:t>
      </w:r>
      <w:r>
        <w:t>renforcée par un parallélisme de construction</w:t>
      </w:r>
      <w:r>
        <w:rPr>
          <w:rStyle w:val="Appelnotedebasdep"/>
        </w:rPr>
        <w:footnoteReference w:id="277"/>
      </w:r>
      <w:r>
        <w:t>, établit la voix en critère de définition du roi. Or, dans ce dialogue entre Agamemnon et Arcas, la voix se dissocie presque aussitôt du langage</w:t>
      </w:r>
      <w:r>
        <w:t xml:space="preserve"> </w:t>
      </w:r>
      <w:r>
        <w:t xml:space="preserve">: « Et depuis quand, Seigneur, tenez-vous ce langage ? » (v. 13) </w:t>
      </w:r>
      <w:r>
        <w:t>s’étonne Arcas. L’étonnement vient de ce que ce langage de la plainte (« les pleurs que vous versez » v. 36)</w:t>
      </w:r>
      <w:r>
        <w:t xml:space="preserve"> ne</w:t>
      </w:r>
      <w:r>
        <w:t xml:space="preserve"> coïncide pas avec </w:t>
      </w:r>
      <w:r>
        <w:t xml:space="preserve">l’autorité </w:t>
      </w:r>
      <w:r>
        <w:t xml:space="preserve">royale </w:t>
      </w:r>
      <w:r>
        <w:t xml:space="preserve">habituelle </w:t>
      </w:r>
      <w:r>
        <w:t>qui trouve davantage son prolongement dans « la voix pressante » (v. 297). Cette distinction voire cet hiatus entre voix et langage (ou paroles</w:t>
      </w:r>
      <w:r>
        <w:t xml:space="preserve">) </w:t>
      </w:r>
      <w:r>
        <w:t xml:space="preserve">se reproduit dans le personnage d’Arcas. </w:t>
      </w:r>
      <w:r>
        <w:t xml:space="preserve">Le confident d’Agamemnon </w:t>
      </w:r>
      <w:r>
        <w:t xml:space="preserve">parle au nom du roi, il porte le message du roi, mais il peut aussi, sans changer de voix, transmettre un autre type de contenu </w:t>
      </w:r>
      <w:r>
        <w:t xml:space="preserve">; il change alors de statut – il n’est plus messager – non pas d’avis. C’est le cas lorsqu’il </w:t>
      </w:r>
      <w:r>
        <w:t>décid</w:t>
      </w:r>
      <w:r>
        <w:t xml:space="preserve">e </w:t>
      </w:r>
      <w:r>
        <w:t>qu’« il faut parler » en son nom propre (III, 5, v.</w:t>
      </w:r>
      <w:r>
        <w:t xml:space="preserve"> </w:t>
      </w:r>
      <w:r>
        <w:t xml:space="preserve">907), ce qui provoque un revirement dramatique. Dans les quatre occurrences de la tragédie, le langage renvoie à un </w:t>
      </w:r>
      <w:r>
        <w:rPr>
          <w:i/>
        </w:rPr>
        <w:t>contenu</w:t>
      </w:r>
      <w:r>
        <w:t xml:space="preserve"> discursif, mais se trouve mis à distance par le déterminant démonstratif : « Et depuis quand, Seigneur, tenez-vous ce langage ? » dit Arcas à Agamemnon (v.</w:t>
      </w:r>
      <w:r>
        <w:t xml:space="preserve"> </w:t>
      </w:r>
      <w:r>
        <w:t>13), « D'Achille, qui l'aimait, j'empruntai le langage » avoue le roi (v.</w:t>
      </w:r>
      <w:r>
        <w:t xml:space="preserve"> </w:t>
      </w:r>
      <w:r>
        <w:t>93), qui imagine Ulysse « Changer bientôt en pleurs ce superbe langage » (v.</w:t>
      </w:r>
      <w:r>
        <w:t xml:space="preserve"> </w:t>
      </w:r>
      <w:r>
        <w:t>326) ; tandis qu’Achille s’adresse ainsi à Agamemnon : « Juste ciel ! Puis-je entendre, et souffrir ce langage ? / Est-ce ainsi qu'au parjure on ajoute l'outrage ? » (v. 1369-1370) ; puis à Iphigénie : « Vous, mourir ? Ah ! cessez de tenir ce langage » (v.</w:t>
      </w:r>
      <w:r>
        <w:t xml:space="preserve"> </w:t>
      </w:r>
      <w:r>
        <w:t>1533).</w:t>
      </w:r>
    </w:p>
    <w:p>
      <w:pPr>
        <w:ind w:firstLine="283"/>
      </w:pPr>
      <w:r>
        <w:t>Ce qui s’oppose à la voix, ce sont les paroles, en raison de leur instabilité ; c’est aussi et surtout, le silence : il s’agit de « fai[re] taire Calchas » pour les uns, et pour les autres de faire en sorte que Calchas vienne réclamer « à haute voix » Iphigénie (v.</w:t>
      </w:r>
      <w:r>
        <w:t xml:space="preserve"> </w:t>
      </w:r>
      <w:r>
        <w:t xml:space="preserve">376).  </w:t>
      </w:r>
      <w:r>
        <w:t xml:space="preserve">C’est lorsqu’Agamemnon se tait qu’il met en péril son statut de roi, ce qui, par contraste, indique l’importance de la voix pour faire reconnaître son statut. Ainsi, l’acte V scène 3 met en scène un déséquilibre final, une désolidarisation entre Calchas et roi, lorsque se tait le roi : « Calchas seul règne, seul commande » (v. 1625), « Le Roi, de son pouvoir se voit déposséder » (v. 1627). </w:t>
      </w:r>
    </w:p>
    <w:p>
      <w:pPr>
        <w:ind w:firstLine="283"/>
      </w:pPr>
      <w:r>
        <w:t xml:space="preserve">La voix sert aussi de point de repère, dans une pièce en proie à </w:t>
      </w:r>
      <w:r>
        <w:t xml:space="preserve">la confusion voire à </w:t>
      </w:r>
      <w:r>
        <w:t>l’inversion. En particulier, l’inversion du paradigme de l’obscurité et de la lumière est à l’œuvre. À l’aube de la tragédie, Arcas est celui qui reconnaît quelqu’un à sa voix, non à la vue. Il agit en aveugle</w:t>
      </w:r>
      <w:r>
        <w:rPr>
          <w:rStyle w:val="Appelnotedebasdep"/>
        </w:rPr>
        <w:footnoteReference w:id="278"/>
      </w:r>
      <w:r>
        <w:t>. L’obscurité est ainsi, de manière figurée, le lieu d’une reconnaissance, non plus la lumière. Le dévoilement se produit dans l’obscurité, ce que confirme Iphigénie : « Vous vous cachez, Seigneur, et semblez soupirer » (v. 552). Et même, contre toute attente, l’obscurité est gage de vie, et la lumière trop crue, menace de mort. Agamemnon cherche à cacher Clytemnestre pour l’écarter mais aussi pour la protéger de la douleur (v. 825) ; il cherche également à cacher Iphigénie lorsque la fuite lui paraît la meilleure solution. Dans ce geste, réside la solution heureuse. C’est ce qu’énonce la plainte initiale d’Agamemnon, mais aussi le paradigme rencontré par la reine et Iphigénie : « Elle s’est quelque temps égarée / Dans ces bois, qui du Camp semblent cacher l’entrée. / À peine nous avons dans leur obscurité / Retrouvé le chemin que nous avions quitté » (v.</w:t>
      </w:r>
      <w:r>
        <w:t xml:space="preserve"> </w:t>
      </w:r>
      <w:r>
        <w:t>341-344) : l’assonance en [e] renforce la tension entre vie et mort autour de l’obscurité. Enfin, c’est tant qu’Ériphile était cachée que les personnages pouvaient vivre heureux, comme le rappelle Clytemnestre à Agamemnon : « Vous savez, et Calchas mille fois vous l’a dit, / Qu’un Hymen clandestin mit ce Prince en son lit, / Et qu’il en eut pour gage une jeune Princesse, / Que sa Mère a cachée au reste de la Grèce » (v. 1283-1286).</w:t>
      </w:r>
    </w:p>
    <w:p>
      <w:pPr>
        <w:pStyle w:val="Titre2"/>
      </w:pPr>
      <w:r>
        <w:rPr>
          <w:b/>
          <w:sz w:val="28"/>
        </w:rPr>
        <w:t>L’enjeu politique de la voix</w:t>
      </w:r>
    </w:p>
    <w:p>
      <w:pPr>
        <w:ind w:firstLine="283"/>
      </w:pPr>
      <w:r>
        <w:t>Même si la source d’</w:t>
      </w:r>
      <w:r>
        <w:rPr>
          <w:i/>
        </w:rPr>
        <w:t xml:space="preserve">Iphigénie </w:t>
      </w:r>
      <w:r>
        <w:t>est mythologique, la réflexion qui domine l’intrigue est d’ordre politique, mais en lien avec le sacré : le terme « dieux » est employé 71 fois, « les dieux seuls ont tout conduit</w:t>
      </w:r>
      <w:r>
        <w:rPr>
          <w:rStyle w:val="Appelnotedebasdep"/>
        </w:rPr>
        <w:footnoteReference w:id="279"/>
      </w:r>
      <w:r>
        <w:t xml:space="preserve"> ». La critique politique consiste-t-elle à exposer une crise de la royauté ?</w:t>
      </w:r>
    </w:p>
    <w:p>
      <w:pPr>
        <w:ind w:firstLine="283"/>
      </w:pPr>
      <w:r>
        <w:rPr>
          <w:i/>
        </w:rPr>
        <w:t>Iphigénie</w:t>
      </w:r>
      <w:r>
        <w:t xml:space="preserve"> est la tragédie de Racine où le roi est au départ le plus proche du modèle divin. Plusieurs arguments dessinent cette pensée d’un roi divin en la figure d’Agamemnon. Tout d’abord, son origine, puisqu’il est « du sang de Jupiter issu de tous côtés » (v. 19) ; ensuite, l’intertextualité biblique, car il est tout de même difficile de ne pas penser que le sacrifice d’Iphigénie ne fasse pas écho au sacrifice d’Isaac par Abraham dans la version du mythe de Pausanias (avec le schéma du recours au personnage d’Eriphile, autre fille d’Hélène, qui se suicide, et n’est pas sacrifiée). Autre argument, le peuple lui-même rappelle la légitimité religieuse d’Agamemnon : « […] tous ils confessaient, que si jamais les Dieux / Ne mirent sur le trône un Roi plus glorieux ; / Également comblé de leurs faveurs secrètes, / Jamais Père ne fut plus heureux que vous l’êtes » (v. 355-358). Surtout, le roi relaie fidèlement le langage sacré différent de la parole des hommes :  l’oracle est restitué en vers hétérométriques prononcé par Calchas, et le roi, porte-parole de Calchas, le prononce à haute voix :</w:t>
      </w:r>
    </w:p>
    <w:p>
      <w:pPr>
        <w:pStyle w:val="TEIverse"/>
        <w:spacing w:line="240" w:lineRule="auto"/>
        <w:ind w:left="397"/>
        <w:jc w:val="left"/>
      </w:pPr>
      <w:r>
        <w:rPr>
          <w:sz w:val="22"/>
        </w:rPr>
        <w:t>Vous armez contre Troie une puissance vaine,</w:t>
      </w:r>
      <w:r>
        <w:br/>
      </w:r>
      <w:r>
        <w:rPr>
          <w:sz w:val="22"/>
        </w:rPr>
        <w:t>Si dans un sacrifice auguste et solennel</w:t>
      </w:r>
      <w:r>
        <w:br/>
      </w:r>
      <w:r>
        <w:rPr>
          <w:sz w:val="22"/>
        </w:rPr>
        <w:t>Une Fille du sang d’Hélène</w:t>
        <w:tab/>
        <w:tab/>
        <w:tab/>
        <w:tab/>
        <w:t>8-syllabes</w:t>
      </w:r>
      <w:r>
        <w:br/>
      </w:r>
      <w:r>
        <w:rPr>
          <w:sz w:val="22"/>
        </w:rPr>
        <w:t>De Diane en ces lieux n’ensanglante l’autel.</w:t>
      </w:r>
      <w:r>
        <w:br/>
      </w:r>
      <w:r>
        <w:rPr>
          <w:sz w:val="22"/>
        </w:rPr>
        <w:t>Pour obtenir les vents que le Ciel vous dénie,</w:t>
      </w:r>
      <w:r>
        <w:br/>
      </w:r>
      <w:r>
        <w:rPr>
          <w:sz w:val="22"/>
        </w:rPr>
        <w:t>Sacrifiez Iphigénie.</w:t>
        <w:tab/>
        <w:t>(v. 57-63)</w:t>
        <w:tab/>
        <w:tab/>
        <w:tab/>
        <w:t>8-syllabes.</w:t>
      </w:r>
    </w:p>
    <w:p>
      <w:pPr>
        <w:pStyle w:val="TEIparagraphconsecutive"/>
      </w:pPr>
      <w:r>
        <w:t xml:space="preserve">Le roi relaie également au discours narrativisé les interventions nocturnes de la divinité (v. 85-86). </w:t>
      </w:r>
      <w:r>
        <w:t>La voix d’Agamemnon est tellement en adéquation avec son statut de représentant des dieux, que les personnages interprètent ses propos comme des oracles, même de manière abusive à deux reprises au moins</w:t>
      </w:r>
      <w:r>
        <w:rPr>
          <w:rStyle w:val="Appelnotedebasdep"/>
        </w:rPr>
        <w:footnoteReference w:id="280"/>
      </w:r>
      <w:r>
        <w:t>. Le peuple lui-même rappelle la légitimité religieuse d’Agamemnon : « […] tous ils confessaient, que si jamais les Dieux / Ne mirent sur le trône un Roi plus glorieux ; / Également comblé de leurs faveurs secrètes, / Jamais Père ne fut plus heureux que vous l’êtes » (v.</w:t>
      </w:r>
      <w:r>
        <w:t xml:space="preserve"> </w:t>
      </w:r>
      <w:r>
        <w:t>355-358).</w:t>
      </w:r>
    </w:p>
    <w:p>
      <w:pPr>
        <w:ind w:firstLine="283"/>
      </w:pPr>
      <w:r>
        <w:t>Or, exception faite de son statut de porte-parole du sacré, Agamemnon présente des faiblesses dont il a conscience car il la thématise (« Tu vois mon trouble » v. 41), et que Racine accentue</w:t>
      </w:r>
      <w:r>
        <w:rPr>
          <w:rStyle w:val="Appelnotedebasdep"/>
        </w:rPr>
        <w:footnoteReference w:id="281"/>
      </w:r>
      <w:r>
        <w:t>. Le trouble est d’abord celui du changement d’avis perpétuel qui alimente les péripéties. En effet, Agamemnon a d’abord condamné les dieux (v. 67) avant de suivre l’avis d’Ulysse (v. 89-90), et prend pour cela le détour de la première lettre, puis s’en repent, ce qui est à l’origine de la lettre corrective (v. 150), avant de suivre de nouveau l’avis d’Ulysse sur scène qui lui donne l’argument de la promesse. Il trouve une solution dans la fuite d’Iphigénie, ce qui vaut une nouvelle situation de secret.</w:t>
      </w:r>
    </w:p>
    <w:p>
      <w:pPr>
        <w:ind w:firstLine="283"/>
      </w:pPr>
      <w:r>
        <w:t>Le trouble est aussi entretenu par des pratiques disconvenantes qui font penser à une tragédie de l’usurpation, car Agamemnon recourt à différents modes de déguisement d’identité : blasphème, mensonge</w:t>
      </w:r>
      <w:r>
        <w:rPr>
          <w:rStyle w:val="Appelnotedebasdep"/>
        </w:rPr>
        <w:footnoteReference w:id="282"/>
      </w:r>
      <w:r>
        <w:t xml:space="preserve">, dissimulation. Ces pratiques sont répréhensibles. Cependant, on peut se hasarder à les rapprocher de l’oracle, dans la mesure où dans le cas du mensonge comme de l’oracle, ce n’est qu’une information partielle qui est donnée. Clytemnestre présente de cette façon l’oracle : « Un Oracle fatal ordonne qu’elle expire. / Un Oracle dit-il tout ce qu’il semble dire ? » (v. 1265-1266). Et dans le billet que lit Agamemnon, une information du billet est cachée aux autres, la mort d’Iphigénie. Oracle et billet caché articulent entre eux le dit et le non-dit. Notons que la dissimulation peut relever de la vertu plus que du vice, dans des conditions qui semblent s’appliquer à la situation d’Agamemnon : </w:t>
      </w:r>
    </w:p>
    <w:p>
      <w:pPr>
        <w:pStyle w:val="TEIquote"/>
        <w:spacing w:line="240" w:lineRule="auto"/>
        <w:ind w:left="397"/>
        <w:jc w:val="both"/>
      </w:pPr>
      <w:r>
        <w:rPr>
          <w:sz w:val="22"/>
        </w:rPr>
        <w:t>Elle est une vertu, quand il ne s’y trouve point aucune de ces circonstances, &amp; qu’au contraire nous voulons nous deffendre des ruses d’autruy par nostre propre déguisement ; &amp; c’estoit ainsi que l’entendoit Tacite, quand il disoit, Q</w:t>
      </w:r>
      <w:r>
        <w:rPr>
          <w:i/>
          <w:sz w:val="22"/>
        </w:rPr>
        <w:t>ui ne sçait dissimuler, ne sçay pas regner</w:t>
      </w:r>
      <w:r>
        <w:rPr>
          <w:sz w:val="22"/>
        </w:rPr>
        <w:t>, bien que toutefois ce ne fût pas en ce sens-là que Louis XI avoit accoutusmé d’user de cette maxime</w:t>
      </w:r>
      <w:r>
        <w:rPr>
          <w:rStyle w:val="Appelnotedebasdep"/>
        </w:rPr>
        <w:footnoteReference w:id="283"/>
      </w:r>
      <w:r>
        <w:rPr>
          <w:sz w:val="22"/>
        </w:rPr>
        <w:t>.</w:t>
      </w:r>
    </w:p>
    <w:p>
      <w:pPr>
        <w:pStyle w:val="TEIparagraphconsecutive"/>
      </w:pPr>
      <w:r>
        <w:t xml:space="preserve">Enfin, le trouble est entretenu par les autres </w:t>
      </w:r>
      <w:r>
        <w:t>personnages.</w:t>
      </w:r>
      <w:r>
        <w:t xml:space="preserve"> C’est alors qu’est mis en péril le statut de roi, car les personnages oublient tout simplement qu’Agamemnon est roi. En effet, quand le secret est éventé par Arcas (à l’acte III, scène 6) personne ne songe qu’Agamemnon applique la loi divine :  Iphigénie le plaint, Achille le condamne, mais personne n’évoque son statut de roi à l’écoute des dieux. Il est qualifié au contraire d’« inhumain » (v. 1255), de « barbare » (v. 1253).</w:t>
      </w:r>
      <w:r>
        <w:t xml:space="preserve"> </w:t>
      </w:r>
      <w:r>
        <w:t>Achille dégrade ainsi les propos d’Agamemnon : « Au parjure on ajoute l’outrage » (v. 1370) et il le considère comme un mauvais interprète</w:t>
      </w:r>
      <w:r>
        <w:rPr>
          <w:rStyle w:val="Appelnotedebasdep"/>
        </w:rPr>
        <w:footnoteReference w:id="284"/>
      </w:r>
      <w:r>
        <w:t>. Le roi est-il déchu ?</w:t>
      </w:r>
      <w:r>
        <w:t xml:space="preserve"> </w:t>
      </w:r>
      <w:r>
        <w:t>Il n’en est rien. Agamemnon parti après l’acte III 1, revient IV 3 avec nombre questions et phrases à double entente telles que « l’autel est paré » (v. 1164), mais moins que chez Euripide, comme si Racine voulait l’épargner.</w:t>
      </w:r>
      <w:r>
        <w:t xml:space="preserve"> Toutefois, Agamemnon n’est pas l’objet de la reconnaissance finale entendue comme déguisement d’identité, </w:t>
      </w:r>
      <w:r>
        <w:rPr>
          <w:i/>
        </w:rPr>
        <w:t>anagnorisis</w:t>
      </w:r>
      <w:r>
        <w:t>. Il reste, sa voix sert de repère.</w:t>
      </w:r>
    </w:p>
    <w:p>
      <w:pPr>
        <w:ind w:firstLine="283"/>
      </w:pPr>
      <w:r>
        <w:t>Deux scènes de confrontation entre les rois ont cependant été créées par Racine, dans les scènes 2 et 3 de l’acte I. L’enjeu est-il celui d’une passation de pouvoir, notamment entre Agamemnon et Achille ? Les trois hommes portent des messages différents, parlent des langages différents, mais ont tous une voix divine de roi.</w:t>
      </w:r>
    </w:p>
    <w:p>
      <w:pPr>
        <w:ind w:firstLine="283"/>
      </w:pPr>
      <w:r>
        <w:t>En</w:t>
      </w:r>
      <w:r>
        <w:t xml:space="preserve"> tant que rois, Agamemnon, Achille et Ulysse rapportent la parole des dieux, quelle qu’elle soit, et sont autorisés à commettre des entorses. Achille est coutumier de pratiques oraculaires anciennes lorsque sa voix relaie une prédiction ancienne : « Je puis choisir, dit-on, ou beaucoup d’ans, sans gloire, / Ou peu de jours suivis d’une longue mémoire » (v. 249-250)</w:t>
      </w:r>
      <w:r>
        <w:rPr>
          <w:rStyle w:val="Appelnotedebasdep"/>
        </w:rPr>
        <w:footnoteReference w:id="285"/>
      </w:r>
      <w:r>
        <w:t xml:space="preserve">. Il proclame également des formes nouvelles d’oracle, plus rationnelles, où </w:t>
      </w:r>
      <w:r>
        <w:rPr>
          <w:i/>
        </w:rPr>
        <w:t xml:space="preserve">prédire </w:t>
      </w:r>
      <w:r>
        <w:t xml:space="preserve">rime avec le </w:t>
      </w:r>
      <w:r>
        <w:t xml:space="preserve">verbe physiologique </w:t>
      </w:r>
      <w:r>
        <w:rPr>
          <w:i/>
        </w:rPr>
        <w:t>respire</w:t>
      </w:r>
      <w:r>
        <w:t xml:space="preserve"> (v. 1081-1082). Et de commenter son propos : « Les dieux auront en vain ordonné son trépas : / Cet oracle est plus sûr que celui de Calchas » (v. 1083-1084). Sa question rhétorique fait appel au bon sens et à une certaine forme d’ataraxie stoïcienne : « Pourquoi nous tourmenter de leurs ordres suprêmes ? » (v. 261). Ulysse apparaît comme une autre figure de roi légitime, notamment dans la scène 6 de l’acte V où il</w:t>
      </w:r>
      <w:r>
        <w:t xml:space="preserve"> </w:t>
      </w:r>
      <w:r>
        <w:t>adopte</w:t>
      </w:r>
      <w:r>
        <w:t xml:space="preserve"> </w:t>
      </w:r>
      <w:r>
        <w:t xml:space="preserve">la posture langagière du roi : il vient informer et rassurer, et relaie la prophétie (v. 1746-1760), cette fois-ci, en transmettant une explication de l’oracle.  </w:t>
      </w:r>
    </w:p>
    <w:p>
      <w:pPr>
        <w:ind w:firstLine="283"/>
      </w:pPr>
      <w:r>
        <w:t xml:space="preserve">Rois-prêtres, les trois hommes correspondent aussi au profil du roi-juge. En graciant Ériphile, Achille épouse la définition divine du roi qu’Iphigénie donnait dans la scène 4 de l’acte III : « Un Roi, qui non content d’effrayer les mortels, /À des embrasements ne borne point sa gloire, / Laisse aux pleurs d’une </w:t>
      </w:r>
      <w:r>
        <w:t>Épouse</w:t>
      </w:r>
      <w:r>
        <w:t xml:space="preserve"> attendrir sa Victoire, / Et par les Malheureux quelquefois désarmé, / Sait imiter en tout les Dieux qui l’ont formé » (v. 872-877). Gracier est un acte de langage qui définit le monarque comme imitateur des dieux.</w:t>
      </w:r>
    </w:p>
    <w:p>
      <w:pPr>
        <w:ind w:firstLine="283"/>
      </w:pPr>
      <w:r>
        <w:t>Autre trait de royauté, chacun commet des entorses aux règles selon des modalités différentes. De telles entorses sont des actes de langage à la hauteur de leur statut. Si Agamemnon peut commettre des entorses à la métrique en utilisant l’enjambement à la césure (« Je l’attends. Mais avant // que de passer plus loin » v. 783</w:t>
      </w:r>
      <w:r>
        <w:t xml:space="preserve">, </w:t>
      </w:r>
      <w:r>
        <w:t>« Fuyez donc. Retournez // dans votre Thessalie » v.</w:t>
      </w:r>
      <w:r>
        <w:t xml:space="preserve"> </w:t>
      </w:r>
      <w:r>
        <w:t xml:space="preserve">1401), c’est peut-être parce qu’il est au-dessus des règles, en tant que roi. Achille n’hésite pas non plus à se montrer rebelle lorsqu’il reprend l’isotopie du sacré, par exemple, avec les termes de </w:t>
      </w:r>
      <w:r>
        <w:rPr>
          <w:i/>
        </w:rPr>
        <w:t>prédire, oracle, dieux</w:t>
      </w:r>
      <w:r>
        <w:t>, pour la renouveler sur le plan référentiel dans le système comparatif (« L’Honneur parle, il suffit, ce sont là nos Oracles » v.</w:t>
      </w:r>
      <w:r>
        <w:t xml:space="preserve"> </w:t>
      </w:r>
      <w:r>
        <w:t>258 ; « Cet Oracle est plus sûr que celui de Calchas » v.</w:t>
      </w:r>
      <w:r>
        <w:t xml:space="preserve"> </w:t>
      </w:r>
      <w:r>
        <w:t>1084).</w:t>
      </w:r>
    </w:p>
    <w:p>
      <w:pPr>
        <w:ind w:firstLine="283"/>
      </w:pPr>
      <w:r>
        <w:t xml:space="preserve">Nous sont ainsi proposées plusieurs voies de la royauté : Agamemnon roi père, Achille roi amant, Ulysse roi sage. Avec </w:t>
      </w:r>
      <w:r>
        <w:t>Clytemnestre, Agamemnon adopte un comportement de roi, dépliant tour à tour l’éventail respectivement de la raison (incarnée ailleurs par Ulysse), de la prière (incarnée dans la pièce par Achille) puis de l’ordre (incarnée par Agamemnon), ce qui est synthétisé à la fin de la scène : « […] puisque la raison ne vous peut émouvoir, / Puisqu’enfin ma prière a si peu de pouvoir ; / Vous avez entendu ce que je vous demande, / Madame, je le veux, et vous le commande » (v. 814-819).</w:t>
      </w:r>
    </w:p>
    <w:p>
      <w:pPr>
        <w:ind w:firstLine="283"/>
      </w:pPr>
      <w:r>
        <w:t xml:space="preserve">Or, si Jean Rohou les considère aussi « fades » les uns que les autres, cela pourrait être interprété moins comme le signe d’une crise de la royauté, qu’une ouverture des possibles politiques, c’est-à-dire comme une présentation polyphonique simultanée des différentes options politiques, dans le sillage de </w:t>
      </w:r>
      <w:r>
        <w:rPr>
          <w:i/>
        </w:rPr>
        <w:t>La</w:t>
      </w:r>
      <w:r>
        <w:t xml:space="preserve"> </w:t>
      </w:r>
      <w:r>
        <w:rPr>
          <w:i/>
        </w:rPr>
        <w:t>Thébaïde</w:t>
      </w:r>
      <w:r>
        <w:t xml:space="preserve"> ou de </w:t>
      </w:r>
      <w:r>
        <w:rPr>
          <w:i/>
        </w:rPr>
        <w:t>Mithridate</w:t>
      </w:r>
      <w:r>
        <w:t>. Dans l’acte IV, scène 6, est problématisée la parole du roi, dans le dialogue entre Agamemnon et Achille.</w:t>
      </w:r>
      <w:r>
        <w:t xml:space="preserve"> </w:t>
      </w:r>
      <w:r>
        <w:t>Agamemnon passe d’un refus d’argumenter légitimé par son statut, selon une posture très royale (v. 1335) à une argumentation développée. Certes, Agamemnon tient un discours rationnel, mais qui n’est pas celui d’un roi, puisque justement il vient de quitter le modèle de la non-argumentation propre au roi</w:t>
      </w:r>
      <w:r>
        <w:rPr>
          <w:rStyle w:val="Appelnotedebasdep"/>
        </w:rPr>
        <w:footnoteReference w:id="286"/>
      </w:r>
      <w:r>
        <w:t xml:space="preserve">. Il échoue à maintenir son rang royal. </w:t>
      </w:r>
    </w:p>
    <w:p>
      <w:pPr>
        <w:ind w:firstLine="283"/>
      </w:pPr>
      <w:r>
        <w:t xml:space="preserve">D’abord, Agamemnon résiste à l’argumentation, se cache derrière le prétexte de la fonction : « Oubliez-vous ici qui vous interrogez ? » (v. 1347). L’assonance en [i] se clôt sur le pronom : </w:t>
      </w:r>
      <w:r>
        <w:rPr>
          <w:i/>
        </w:rPr>
        <w:t>oublIez-vous IcI quI</w:t>
      </w:r>
      <w:r>
        <w:t xml:space="preserve"> », question déportée de la politique à l’acte d’aimer par Achille </w:t>
      </w:r>
      <w:r>
        <w:t>dans une reprise de la structure : « Oubliez-vous qui j’aime » (v. 1348). C’est la question de l’identité qui étreint Agamemnon.</w:t>
      </w:r>
      <w:r>
        <w:t xml:space="preserve"> </w:t>
      </w:r>
      <w:r>
        <w:t>Dans la suite de la scène, Agamemnon utilise l’injonction tandis qu’Achille le prie, les deux hommes se partagent ainsi deux variantes de la modalité injonctive.</w:t>
      </w:r>
    </w:p>
    <w:p>
      <w:pPr>
        <w:ind w:firstLine="283"/>
      </w:pPr>
      <w:r>
        <w:t xml:space="preserve">La thématisation de la voix royale de source divine permet à Agamemnon de ne pas subir de déchéance, ni en interne </w:t>
      </w:r>
      <w:r>
        <w:t>–</w:t>
      </w:r>
      <w:r>
        <w:t xml:space="preserve">son trouble est mesuré </w:t>
      </w:r>
      <w:r>
        <w:t>–</w:t>
      </w:r>
      <w:r>
        <w:t xml:space="preserve"> ni en externe puisqu’aucune passation de pouvoir ne se produit. La voix maintient l’identité de monarque de droit divin d’Agamemnon. </w:t>
      </w:r>
      <w:r>
        <w:t>Grâce à ce pivot que représente la voix, grâce à ce point de repère inébranlable qui permet de garantir l’ordre, divin et royal, Racine déplie différentes modalités de la vanité. La voix royale perdure. Tant qu’il parle, Agamemnon est roi, mais il peut passer par toutes sortes de zones de remous et de remises en question de son statut de roi. La voix divine perdure. Ce faisant, Racine passe d’un Dieu bienveillant d’avant la tragédie à l’idée d’un Dieu cruel entretenue par les personnages inquiets, pour revenir à un Dieu bienveillant. C’est l’occasion de déployer une crise religieuse dont plusieurs manifestations sont mises à disposition : désobéissance d’Agamemnon qui invite Iphigénie à fuir, révolte presque sacrilège d’Achille, auxquelles Maurice Delcroix ajoute l’amertume d’Iphigénie</w:t>
      </w:r>
      <w:r>
        <w:rPr>
          <w:rStyle w:val="Appelnotedebasdep"/>
        </w:rPr>
        <w:footnoteReference w:id="287"/>
      </w:r>
      <w:r>
        <w:t>. Peut-on en déduire avec Maurice Delcroix qu’il s’agirait d’un « sacré sans dieu » où « s’affirme de plus en plus dans cette progression dramatique, […] la primauté de l’homme, dans le pour et dans le contre</w:t>
      </w:r>
      <w:r>
        <w:rPr>
          <w:rStyle w:val="Appelnotedebasdep"/>
        </w:rPr>
        <w:footnoteReference w:id="288"/>
      </w:r>
      <w:r>
        <w:t xml:space="preserve"> » ? Du moins d’un sacré où l’homme coopère avec les dieux, dans la lignée de l’oracle qui laissait le choix à Achille. L’oracle qui inaugure la tragédie n’ouvre pas sur un sacrifice subi : Ériphile est consentante, elle se tue, déchargeant le prêtre Calchas de sa responsabilité. L’inquiétude humaine, cristallisée par la confusion d’Agamemnon, est montrée dans toute sa vanité vertigineuse, et s’oppose à l’ordre établi, celui qui est incarné par la voix qui a </w:t>
      </w:r>
      <w:r>
        <w:t xml:space="preserve">partie liée avec l’identité profonde. </w:t>
      </w:r>
      <w:r>
        <w:t xml:space="preserve">Avec cette puissance accordée à la voix, l’on comprend le choix que fit Racine du théâtre, le lieu de tous les possibles : le théâtre repose sur des piliers solides tels que la voix qui permet de se repérer. </w:t>
      </w:r>
    </w:p>
    <w:p>
      <w:r>
        <w:br w:type="page"/>
      </w:r>
    </w:p>
    <w:p>
      <w:pPr>
        <w:ind w:firstLine="283"/>
      </w:pPr>
      <w:r>
        <w:rPr>
          <w:b/>
        </w:rPr>
        <w:t xml:space="preserve">« D’un crédule espoir trop longtemps abusés ». </w:t>
      </w:r>
    </w:p>
    <w:p>
      <w:pPr>
        <w:pStyle w:val="Titre2"/>
      </w:pPr>
      <w:r>
        <w:rPr>
          <w:b/>
          <w:sz w:val="28"/>
        </w:rPr>
        <w:t xml:space="preserve">Le drame de l’espérance dans </w:t>
      </w:r>
      <w:r>
        <w:rPr>
          <w:b/>
          <w:i/>
          <w:sz w:val="28"/>
        </w:rPr>
        <w:t>Iphigénie</w:t>
      </w:r>
    </w:p>
    <w:p>
      <w:pPr>
        <w:ind w:firstLine="283"/>
      </w:pPr>
      <w:r>
        <w:t xml:space="preserve">L’espérance est au théâtre tragique un objet de parole – et l’objet d’une parole amère. On se souvient du piteux Antiochus à la fin de </w:t>
      </w:r>
      <w:r>
        <w:rPr>
          <w:i/>
        </w:rPr>
        <w:t>Bérénice</w:t>
      </w:r>
      <w:r>
        <w:t xml:space="preserve"> : </w:t>
      </w:r>
    </w:p>
    <w:p>
      <w:pPr>
        <w:pStyle w:val="TEIverse"/>
        <w:spacing w:line="240" w:lineRule="auto"/>
        <w:ind w:left="397"/>
        <w:jc w:val="left"/>
      </w:pPr>
      <w:r>
        <w:rPr>
          <w:sz w:val="22"/>
        </w:rPr>
        <w:t>Il est temps que je vous éclaircisse.</w:t>
      </w:r>
      <w:r>
        <w:br/>
      </w:r>
      <w:r>
        <w:rPr>
          <w:sz w:val="22"/>
        </w:rPr>
        <w:t>Oui, Seigneur, j'ai toujours adoré Bérénice.</w:t>
      </w:r>
      <w:r>
        <w:br/>
      </w:r>
      <w:r>
        <w:rPr>
          <w:sz w:val="22"/>
        </w:rPr>
        <w:t>Pour ne la plus aimer j'ai cent fois combattu ;</w:t>
      </w:r>
      <w:r>
        <w:br/>
      </w:r>
      <w:r>
        <w:rPr>
          <w:sz w:val="22"/>
        </w:rPr>
        <w:t>Je n'ai pu l'oublier ; au moins je me suis tu.</w:t>
      </w:r>
      <w:r>
        <w:br/>
      </w:r>
      <w:r>
        <w:rPr>
          <w:sz w:val="22"/>
        </w:rPr>
        <w:t>De votre changement la flatteuse apparence</w:t>
      </w:r>
      <w:r>
        <w:br/>
      </w:r>
      <w:r>
        <w:rPr>
          <w:sz w:val="22"/>
        </w:rPr>
        <w:t>M'avait rendu tantôt quelque faible espérance :</w:t>
      </w:r>
      <w:r>
        <w:br/>
      </w:r>
      <w:r>
        <w:rPr>
          <w:sz w:val="22"/>
        </w:rPr>
        <w:t>Les larmes de la Reine ont éteint cet espoir. (V, 7, v. 1455-1461)</w:t>
      </w:r>
    </w:p>
    <w:p>
      <w:pPr>
        <w:pStyle w:val="TEIparagraphconsecutive"/>
      </w:pPr>
      <w:r>
        <w:t xml:space="preserve">et du distique inoubliable d’Atalide au début de </w:t>
      </w:r>
      <w:r>
        <w:rPr>
          <w:i/>
        </w:rPr>
        <w:t>Bajazet</w:t>
      </w:r>
      <w:r>
        <w:t xml:space="preserve"> :   </w:t>
      </w:r>
    </w:p>
    <w:p>
      <w:pPr>
        <w:ind w:firstLine="283"/>
      </w:pPr>
      <w:r>
        <w:t>Je prévois déjà tout ce qu'il faut prévoir.</w:t>
      </w:r>
    </w:p>
    <w:p>
      <w:pPr>
        <w:pStyle w:val="TEIquote"/>
        <w:spacing w:line="240" w:lineRule="auto"/>
        <w:ind w:left="397"/>
        <w:jc w:val="both"/>
      </w:pPr>
      <w:r>
        <w:rPr>
          <w:sz w:val="22"/>
        </w:rPr>
        <w:t>Mon unique espérance est dans mon désespoir. (I, 3, v. 335-336)</w:t>
      </w:r>
    </w:p>
    <w:p>
      <w:pPr>
        <w:pStyle w:val="TEIparagraphconsecutive"/>
      </w:pPr>
      <w:r>
        <w:t>C’est que l’univers tragique, intuitivement plus propice à l’étranglement de la crainte et de la pitié qu’aux grandes largeurs que réclame l’espérance, sait toutefois la convoquer pour la fracasser. Définie par Nicolas Coeffeteau comme un « songe qui se présente à ceux qui veillent</w:t>
      </w:r>
      <w:r>
        <w:rPr>
          <w:rStyle w:val="Appelnotedebasdep"/>
        </w:rPr>
        <w:footnoteReference w:id="289"/>
      </w:r>
      <w:r>
        <w:t xml:space="preserve"> », elle a en elle-même cet égarement qui la place aussitôt dans l’ordre d’une responsabilité problématique, prise entre l’action maléfique des hommes entre eux et les dérives de l’imagination sur soi. La récurrence de l’expression « flatter d’une fausse espérance</w:t>
      </w:r>
      <w:r>
        <w:rPr>
          <w:rStyle w:val="Appelnotedebasdep"/>
        </w:rPr>
        <w:footnoteReference w:id="290"/>
      </w:r>
      <w:r>
        <w:t xml:space="preserve"> » dans le théâtre de Racine, l’indique fort bien. Si Iphigénie l’utilise face à un Agamemnon distant pour dire le début d’un doute sur l’accomplissement de son mariage promis –</w:t>
      </w:r>
      <w:r>
        <w:t xml:space="preserve"> « </w:t>
      </w:r>
      <w:r>
        <w:t xml:space="preserve">Ai-je flatté ses vœux d’une fausse espérance ? » (II, 2, v. 566) – Oreste s’interrogeait dans </w:t>
      </w:r>
      <w:r>
        <w:rPr>
          <w:i/>
        </w:rPr>
        <w:t>Andromaque</w:t>
      </w:r>
      <w:r>
        <w:t xml:space="preserve"> : « Ne m’a-t-on point flatté d’une fausse espérance ? » (IV, 3, v. 1153) tandis que Britannicus face au perfide Narcisse demandait : « Ne m’as-tu point flatté d’une fausse espérance ? » (III, 6, v. 927). L’espérance est si peu loin du circuit tragique qu’elle est même au cœur de la crainte unanimement convoquée par les dramaturges. Car s’il est vrai, avec Aristote, que « la crainte a cela de propre, que jamais elle n’abandonne une personne au point qu’elle ne lui laisse toujours quelque petite espérance de sortir des malheurs qui l’affligent</w:t>
      </w:r>
      <w:r>
        <w:rPr>
          <w:rStyle w:val="Appelnotedebasdep"/>
        </w:rPr>
        <w:footnoteReference w:id="291"/>
      </w:r>
      <w:r>
        <w:t xml:space="preserve"> », il est tout aussi vrai que l’espérance « laisse toujours dans l’âme quelque lieu à la crainte. Car quand elle n’y en laisse point elle change de nature, et cessant d’être espérance, elle devient ce qu’on appelle assurance</w:t>
      </w:r>
      <w:r>
        <w:rPr>
          <w:rStyle w:val="Appelnotedebasdep"/>
        </w:rPr>
        <w:footnoteReference w:id="292"/>
      </w:r>
      <w:r>
        <w:t xml:space="preserve"> » – ou d’un mot, avec Senault : « qui </w:t>
      </w:r>
      <w:r>
        <w:t>cessera d’espérer cessera de craindre</w:t>
      </w:r>
      <w:r>
        <w:rPr>
          <w:rStyle w:val="Appelnotedebasdep"/>
        </w:rPr>
        <w:footnoteReference w:id="293"/>
      </w:r>
      <w:r>
        <w:t xml:space="preserve"> ». Lumineuse comme mortifère, puisqu’elle est le désir de ce qu’on </w:t>
      </w:r>
      <w:r>
        <w:rPr>
          <w:i/>
        </w:rPr>
        <w:t>estime</w:t>
      </w:r>
      <w:r>
        <w:t xml:space="preserve"> comme un bien, non le désir du bien en soi, l’espérance, ce « premier ressort de toutes les actions humaines » selon la </w:t>
      </w:r>
      <w:r>
        <w:rPr>
          <w:i/>
        </w:rPr>
        <w:t>Rhétorique française</w:t>
      </w:r>
      <w:r>
        <w:rPr>
          <w:rStyle w:val="Appelnotedebasdep"/>
        </w:rPr>
        <w:footnoteReference w:id="294"/>
      </w:r>
      <w:r>
        <w:t>, anime la tragédie tant que le désespoir ou la mort (ce qui est à peu près pareil) n’a pas frappé : « l’homme espère toujours pendant qu’il respire</w:t>
      </w:r>
      <w:r>
        <w:rPr>
          <w:rStyle w:val="Appelnotedebasdep"/>
        </w:rPr>
        <w:footnoteReference w:id="295"/>
      </w:r>
      <w:r>
        <w:t xml:space="preserve"> ». </w:t>
      </w:r>
    </w:p>
    <w:p>
      <w:pPr>
        <w:ind w:firstLine="283"/>
      </w:pPr>
      <w:r>
        <w:t>Le potentiel dramatique de l’espérance est dès lors évident : en tant que puissance irascible, à côté de la peur, de la hardiesse, de la colère et du désespoir, elle engage dans sa définition la confrontation à ce qui est difficile</w:t>
      </w:r>
      <w:r>
        <w:rPr>
          <w:rStyle w:val="Appelnotedebasdep"/>
        </w:rPr>
        <w:footnoteReference w:id="296"/>
      </w:r>
      <w:r>
        <w:t xml:space="preserve"> ; en tant qu’appui du désir, qui appartient pour sa part à l’appétit concupiscible, elle </w:t>
      </w:r>
      <w:r>
        <w:rPr>
          <w:i/>
        </w:rPr>
        <w:t>poursuit</w:t>
      </w:r>
      <w:r>
        <w:t xml:space="preserve"> le bien, certes difficile, mais, juge-t-elle, possible à obtenir ; poursuivant un bien absent, elle suppose enfin une représentation de cet avenir imprimé </w:t>
      </w:r>
      <w:r>
        <w:rPr>
          <w:i/>
        </w:rPr>
        <w:t>via</w:t>
      </w:r>
      <w:r>
        <w:t xml:space="preserve"> l’imagination dans la pensée de celui qui espère</w:t>
      </w:r>
      <w:r>
        <w:rPr>
          <w:rStyle w:val="Appelnotedebasdep"/>
        </w:rPr>
        <w:footnoteReference w:id="297"/>
      </w:r>
      <w:r>
        <w:t xml:space="preserve">. Voilà qui indique d’ores et déjà sa dramaticité (les contrariétés contre un effort qui, on s’en doute, sont nombreuses dans l’espace tragique) et sa discursivité délibérative (représentation imaginaire d’un bien futur). On ne saurait trop s’étonner de la voir ainsi paraître, quoique discrètement, dans </w:t>
      </w:r>
      <w:r>
        <w:rPr>
          <w:i/>
        </w:rPr>
        <w:t>La Pratique du théâtre</w:t>
      </w:r>
      <w:r>
        <w:t xml:space="preserve"> de l’abbé d’Aubignac de 1657, qui me guidera pour étudier, entre poétique et rhétorique, le rôle de cette passion dans </w:t>
      </w:r>
      <w:r>
        <w:rPr>
          <w:i/>
        </w:rPr>
        <w:t>Iphigénie</w:t>
      </w:r>
      <w:r>
        <w:t xml:space="preserve">, très liée au drame autant qu’au tragique de la pièce. </w:t>
      </w:r>
    </w:p>
    <w:p>
      <w:pPr>
        <w:pStyle w:val="Titre3"/>
      </w:pPr>
      <w:r>
        <w:rPr>
          <w:b/>
          <w:sz w:val="26"/>
        </w:rPr>
        <w:t xml:space="preserve">L’espérance externe : l’inquiétude des spectateurs </w:t>
      </w:r>
    </w:p>
    <w:p>
      <w:pPr>
        <w:ind w:firstLine="283"/>
      </w:pPr>
      <w:r>
        <w:t xml:space="preserve">L’espérance est d’abord une passion fondamentale du spectateur ou du lecteur, un des produits ou des effets passionnels du spectacle tragique sur lequel s’ente </w:t>
      </w:r>
      <w:r>
        <w:rPr>
          <w:i/>
        </w:rPr>
        <w:t>l’intérêt</w:t>
      </w:r>
      <w:r>
        <w:t xml:space="preserve"> que l’on y prend et qui en conditionne le </w:t>
      </w:r>
      <w:r>
        <w:rPr>
          <w:i/>
        </w:rPr>
        <w:t>plaisir</w:t>
      </w:r>
      <w:r>
        <w:t>. Si l’espérance est une forme d’archi-passion du lecteur de roman en ce que, suivant Bernard Lamy, « tout ce plaisir que l’on trouve dans la poésie n’est fondé que sur cette illusion, qu’on arrivera, pour ainsi dire, au comble de la félicité, si on peut arriver à la fin de l’ouvrage », ajoutant que « c’est cette vaine espérance qui cause l’ardeur avec laquelle on lit</w:t>
      </w:r>
      <w:r>
        <w:rPr>
          <w:rStyle w:val="Appelnotedebasdep"/>
        </w:rPr>
        <w:footnoteReference w:id="298"/>
      </w:r>
      <w:r>
        <w:t xml:space="preserve"> », elle est, dans la tragédie, tout aussi nécessaire, quoique compensée par d’autres passions tout aussi conductibles : « [Le poème tragique] vous conduit à la terreur par la pitié, ou réciproquement à la pitié par le terrible, vous mène par les larmes, par les sanglots, par l’incertitude, par l’espérance, par la crainte, par les surprises et par l’horreur jusqu’à la catastrophe</w:t>
      </w:r>
      <w:r>
        <w:rPr>
          <w:rStyle w:val="Appelnotedebasdep"/>
        </w:rPr>
        <w:footnoteReference w:id="299"/>
      </w:r>
      <w:r>
        <w:t xml:space="preserve"> ». En quoi l’est-elle ? En ce qu’elle fait vivre ce « démon de l’inquiétude, du trouble et du désordre » qui règne en premier lieu dans les délibérations</w:t>
      </w:r>
      <w:r>
        <w:rPr>
          <w:rStyle w:val="Appelnotedebasdep"/>
        </w:rPr>
        <w:footnoteReference w:id="300"/>
      </w:r>
      <w:r>
        <w:t xml:space="preserve"> qui fondent le plaisir du spectacle tragique. « En voyant [les principaux personnages], le spectateur espère et craint pour </w:t>
      </w:r>
      <w:r>
        <w:t>eux</w:t>
      </w:r>
      <w:r>
        <w:rPr>
          <w:rStyle w:val="Appelnotedebasdep"/>
        </w:rPr>
        <w:footnoteReference w:id="301"/>
      </w:r>
      <w:r>
        <w:t xml:space="preserve"> » écrit d’Aubignac, qui ne s’attarde pas à préciser ici la part de l’espérance mais qu’on peut déceler dans les « desseins, attentes, passions, troubles, inquiétudes et autres pareilles agitations, qui ne permettent pas aux Spectateurs de croire que l’action du Théâtre ait cessé</w:t>
      </w:r>
      <w:r>
        <w:rPr>
          <w:rStyle w:val="Appelnotedebasdep"/>
        </w:rPr>
        <w:footnoteReference w:id="302"/>
      </w:r>
      <w:r>
        <w:t xml:space="preserve"> ». Notre espérance est celle des personnages : cela présuppose non seulement la force de l’illusion mimétique – « le public imite le monde fictif</w:t>
      </w:r>
      <w:r>
        <w:rPr>
          <w:rStyle w:val="Appelnotedebasdep"/>
        </w:rPr>
        <w:footnoteReference w:id="303"/>
      </w:r>
      <w:r>
        <w:t xml:space="preserve"> » – pour que les spectateurs espèrent de concert avec les personnages, pour que l’espérance externe s’ajuste à l’espérance interne</w:t>
      </w:r>
      <w:r>
        <w:rPr>
          <w:rStyle w:val="Appelnotedebasdep"/>
        </w:rPr>
        <w:footnoteReference w:id="304"/>
      </w:r>
      <w:r>
        <w:t>, mais cela définit aussi l’espérance comme un des opérateurs de suspension</w:t>
      </w:r>
      <w:r>
        <w:rPr>
          <w:i/>
        </w:rPr>
        <w:t xml:space="preserve">, </w:t>
      </w:r>
      <w:r>
        <w:t>pour un esprit</w:t>
      </w:r>
      <w:r>
        <w:rPr>
          <w:i/>
        </w:rPr>
        <w:t xml:space="preserve"> </w:t>
      </w:r>
      <w:r>
        <w:t>à la fois suspendu et surpris</w:t>
      </w:r>
      <w:r>
        <w:rPr>
          <w:rStyle w:val="Appelnotedebasdep"/>
        </w:rPr>
        <w:footnoteReference w:id="305"/>
      </w:r>
      <w:r>
        <w:t>.  Et s’il n’arrive parfois, de fait, rien de ce qu’on pouvait espérer, c’est que « c’est en cela que consiste l’adresse du poète, de promettre ce qui n’arrive point, et de faire arriver ce qu’il semble ne point promettre</w:t>
      </w:r>
      <w:r>
        <w:rPr>
          <w:rStyle w:val="Appelnotedebasdep"/>
        </w:rPr>
        <w:footnoteReference w:id="306"/>
      </w:r>
      <w:r>
        <w:t xml:space="preserve"> ». L’espérance est tout à la fois force de continuité et de discontinuité, de liaison et de déliaison</w:t>
      </w:r>
      <w:r>
        <w:rPr>
          <w:rStyle w:val="Appelnotedebasdep"/>
        </w:rPr>
        <w:footnoteReference w:id="307"/>
      </w:r>
      <w:r>
        <w:t xml:space="preserve">. Sans doute la surprise n’existe-t-elle même que parce que l’on s’attend à quelque chose, que l’on craint ou que l’on espère ; la surprise n’existe pas </w:t>
      </w:r>
      <w:r>
        <w:rPr>
          <w:i/>
        </w:rPr>
        <w:t>malgré</w:t>
      </w:r>
      <w:r>
        <w:t xml:space="preserve"> l’espérance ou la crainte, mais </w:t>
      </w:r>
      <w:r>
        <w:rPr>
          <w:i/>
        </w:rPr>
        <w:t>à cause</w:t>
      </w:r>
      <w:r>
        <w:t xml:space="preserve"> de la crainte ou de l’espérance que l’on nourrissait et qui est contrecarrée</w:t>
      </w:r>
      <w:r>
        <w:rPr>
          <w:rStyle w:val="Appelnotedebasdep"/>
        </w:rPr>
        <w:footnoteReference w:id="308"/>
      </w:r>
      <w:r>
        <w:t xml:space="preserve">. À quoi l’on ajoutera deux choses : l’espérance des spectateurs, quoique nourrie de l’espérance des personnages, n’est pas </w:t>
      </w:r>
      <w:r>
        <w:rPr>
          <w:i/>
        </w:rPr>
        <w:t>également</w:t>
      </w:r>
      <w:r>
        <w:t xml:space="preserve"> nourrie de cette espérance – sans doute est-il difficile de le faire pour Ériphile au point que ses espérances à elle sont plutôt vécues par les spectateurs comme des craintes du sort réservé à Iphigénie</w:t>
      </w:r>
      <w:r>
        <w:rPr>
          <w:rStyle w:val="Appelnotedebasdep"/>
        </w:rPr>
        <w:footnoteReference w:id="309"/>
      </w:r>
      <w:r>
        <w:t xml:space="preserve"> – et elle n’est pas plus </w:t>
      </w:r>
      <w:r>
        <w:rPr>
          <w:i/>
        </w:rPr>
        <w:t>exactement</w:t>
      </w:r>
      <w:r>
        <w:t xml:space="preserve"> ajustée à l’espérance des personnages : l’ironie dramatique vient de ce qu’ils voient bien souvent les personnages espérer vainement. Il y a respectivement une focalisation et une désolation de l’espérance. </w:t>
      </w:r>
    </w:p>
    <w:p>
      <w:pPr>
        <w:ind w:firstLine="283"/>
      </w:pPr>
      <w:r>
        <w:t xml:space="preserve">Et si l’on doit parfois disjoindre la </w:t>
      </w:r>
      <w:r>
        <w:rPr>
          <w:i/>
        </w:rPr>
        <w:t>croyance</w:t>
      </w:r>
      <w:r>
        <w:t xml:space="preserve"> en l’univers des personnages du </w:t>
      </w:r>
      <w:r>
        <w:rPr>
          <w:i/>
        </w:rPr>
        <w:t>savoir</w:t>
      </w:r>
      <w:r>
        <w:t xml:space="preserve"> que l’on a sur les personnages pour continuer à espérer – dans le cas des tragédies dont la fin est malheureuse en toute certitude, mais qui exigent tout de même une contestation </w:t>
      </w:r>
      <w:r>
        <w:rPr>
          <w:i/>
        </w:rPr>
        <w:t>graduelle</w:t>
      </w:r>
      <w:r>
        <w:t xml:space="preserve"> de « l’espérance » et des « desseins »</w:t>
      </w:r>
      <w:r>
        <w:rPr>
          <w:rStyle w:val="Appelnotedebasdep"/>
        </w:rPr>
        <w:footnoteReference w:id="310"/>
      </w:r>
      <w:r>
        <w:t xml:space="preserve"> des personnages pour qu’il y ait « des pressentiments de </w:t>
      </w:r>
      <w:r>
        <w:t>commisération</w:t>
      </w:r>
      <w:r>
        <w:rPr>
          <w:rStyle w:val="Appelnotedebasdep"/>
        </w:rPr>
        <w:footnoteReference w:id="311"/>
      </w:r>
      <w:r>
        <w:t xml:space="preserve"> » –</w:t>
      </w:r>
      <w:r>
        <w:rPr>
          <w:i/>
        </w:rPr>
        <w:t xml:space="preserve"> Iphigénie</w:t>
      </w:r>
      <w:r>
        <w:t xml:space="preserve"> n’a pour sa part pas même besoin de s’appuyer sur la puissance de l’illusion mimétique pour faire espérer </w:t>
      </w:r>
      <w:r>
        <w:rPr>
          <w:i/>
        </w:rPr>
        <w:t>en dépit d’</w:t>
      </w:r>
      <w:r>
        <w:t>une fin malheureuse. Car on ne saurait dire « quelle en sera la catastrophe</w:t>
      </w:r>
      <w:r>
        <w:rPr>
          <w:rStyle w:val="Appelnotedebasdep"/>
        </w:rPr>
        <w:footnoteReference w:id="312"/>
      </w:r>
      <w:r>
        <w:t xml:space="preserve"> ». Peu de « fables » peuvent laisser autant espérer le spectateur. Dans cette tragédie à retournement, les fins sont, comme le rappellent la Préface de Racine, plurielles, de la fin sanglante d’Eschyle au </w:t>
      </w:r>
      <w:r>
        <w:rPr>
          <w:i/>
        </w:rPr>
        <w:t>happy end, in extremis,</w:t>
      </w:r>
      <w:r>
        <w:t xml:space="preserve"> d’Euripide, par substitution d’une biche à la place de la jeune fille, ou au sacrifice d’une Iphigénie selon Stésichore et Pausanias qui n’est pas la fille d’Agamemnon et Clytemnestre. Lequel choisir ? Aucun des trois : Racine invente un dénouement inédit, inspiré de Pausanias, en mettant en scène deux Iphigénie, l’une innocente, l’une coupable</w:t>
      </w:r>
      <w:r>
        <w:rPr>
          <w:rStyle w:val="Appelnotedebasdep"/>
        </w:rPr>
        <w:footnoteReference w:id="313"/>
      </w:r>
      <w:r>
        <w:t xml:space="preserve">. Et à supposer même que la compétence encyclopédique du spectateur (et du lecteur, dès la </w:t>
      </w:r>
      <w:r>
        <w:rPr>
          <w:i/>
        </w:rPr>
        <w:t>dramatis personæ</w:t>
      </w:r>
      <w:r>
        <w:t>) lui serve à identifier le recours à un schéma substitutif par la présence de deux jeunes filles, une telle connaissance n’empêche pas la « surprise » des « incidents »</w:t>
      </w:r>
      <w:r>
        <w:rPr>
          <w:rStyle w:val="Appelnotedebasdep"/>
        </w:rPr>
        <w:footnoteReference w:id="314"/>
      </w:r>
      <w:r>
        <w:t xml:space="preserve">, de sorte que l’inquiétude, s’originant en partie dans l’espérance, fonctionne à plein dans </w:t>
      </w:r>
      <w:r>
        <w:rPr>
          <w:i/>
        </w:rPr>
        <w:t>Iphigénie</w:t>
      </w:r>
      <w:r>
        <w:t xml:space="preserve">, qui exacerbe le fonctionnement régulier de la tragédie. </w:t>
      </w:r>
    </w:p>
    <w:p>
      <w:pPr>
        <w:pStyle w:val="Titre3"/>
      </w:pPr>
      <w:r>
        <w:rPr>
          <w:b/>
          <w:sz w:val="26"/>
        </w:rPr>
        <w:t>L’espérance interne : les « desseins » des personnages</w:t>
      </w:r>
    </w:p>
    <w:p>
      <w:pPr>
        <w:ind w:firstLine="283"/>
      </w:pPr>
      <w:r>
        <w:t xml:space="preserve">Le deuxième niveau concerne donc l’agencement des « desseins » des personnages. L’espérance y est un élément thématisé (on </w:t>
      </w:r>
      <w:r>
        <w:rPr>
          <w:i/>
        </w:rPr>
        <w:t>parle</w:t>
      </w:r>
      <w:r>
        <w:t xml:space="preserve"> d’espérance) et un élément utilisé comme un rouage causal dans la suite des actions (on </w:t>
      </w:r>
      <w:r>
        <w:rPr>
          <w:i/>
        </w:rPr>
        <w:t>agit</w:t>
      </w:r>
      <w:r>
        <w:t xml:space="preserve"> par espérance). </w:t>
      </w:r>
    </w:p>
    <w:p>
      <w:pPr>
        <w:ind w:firstLine="283"/>
      </w:pPr>
      <w:r>
        <w:t xml:space="preserve">La part de cette passion est, là encore, dans </w:t>
      </w:r>
      <w:r>
        <w:rPr>
          <w:i/>
        </w:rPr>
        <w:t>Iphigénie</w:t>
      </w:r>
      <w:r>
        <w:t>, immense, exacerbée par rapport à d’autres tragédies. Si le temps de la tragédie n’est pas exclusivement le présent ou le passé, et que l’avenir pèse aussi, de tout son poids, sur les personnages</w:t>
      </w:r>
      <w:r>
        <w:rPr>
          <w:rStyle w:val="Appelnotedebasdep"/>
        </w:rPr>
        <w:footnoteReference w:id="315"/>
      </w:r>
      <w:r>
        <w:t xml:space="preserve"> – c’est décisif pour la tragédie d’action</w:t>
      </w:r>
      <w:r>
        <w:rPr>
          <w:rStyle w:val="Appelnotedebasdep"/>
        </w:rPr>
        <w:footnoteReference w:id="316"/>
      </w:r>
      <w:r>
        <w:t xml:space="preserve">, où rien ne doit sembler verrouillé dès le départ, et </w:t>
      </w:r>
      <w:r>
        <w:rPr>
          <w:i/>
        </w:rPr>
        <w:t xml:space="preserve">a fortiori </w:t>
      </w:r>
      <w:r>
        <w:t>pour la « dramaturgie de l’action unique</w:t>
      </w:r>
      <w:r>
        <w:rPr>
          <w:rStyle w:val="Appelnotedebasdep"/>
        </w:rPr>
        <w:footnoteReference w:id="317"/>
      </w:r>
      <w:r>
        <w:t xml:space="preserve"> » – c’est exemplairement vrai pour </w:t>
      </w:r>
      <w:r>
        <w:rPr>
          <w:i/>
        </w:rPr>
        <w:t>Iphigénie</w:t>
      </w:r>
      <w:r>
        <w:t xml:space="preserve"> qui est la pièce la plus tendue vers l’avenir : Nina Ekstein a ainsi repéré que cette dernière comportait le plus grand nombre de verbes au futur (8, 5 %)</w:t>
      </w:r>
      <w:r>
        <w:rPr>
          <w:rStyle w:val="Appelnotedebasdep"/>
        </w:rPr>
        <w:footnoteReference w:id="318"/>
      </w:r>
      <w:r>
        <w:t xml:space="preserve">. Comment pourrait-il en être autrement dans une pièce où le traumatisme initial s’enracine dans l’inacceptabilité d’un </w:t>
      </w:r>
      <w:r>
        <w:rPr>
          <w:i/>
        </w:rPr>
        <w:t>espoir</w:t>
      </w:r>
      <w:r>
        <w:t xml:space="preserve"> nourri par les dieux ? v</w:t>
      </w:r>
    </w:p>
    <w:p>
      <w:pPr>
        <w:ind w:firstLine="283"/>
      </w:pPr>
      <w:r>
        <w:t xml:space="preserve">[...] il faut que chacun se retire, </w:t>
      </w:r>
    </w:p>
    <w:p>
      <w:pPr>
        <w:ind w:firstLine="283"/>
      </w:pPr>
      <w:r>
        <w:t xml:space="preserve">[...] d’un crédule espoir trop longtemps abusés </w:t>
      </w:r>
    </w:p>
    <w:p>
      <w:pPr>
        <w:ind w:firstLine="283"/>
      </w:pPr>
      <w:r>
        <w:t xml:space="preserve">Nous attendons les vents, qui nous sont refusés (I, 2 v. 214-216). </w:t>
      </w:r>
    </w:p>
    <w:p>
      <w:pPr>
        <w:ind w:firstLine="283"/>
      </w:pPr>
      <w:r>
        <w:t xml:space="preserve">Ainsi Agamemnon tente-t-il de dissuader Achille de fendre les flots vers Troie. Ce qu’il ne dit évidemment pas, face à un guerrier amoureux de sa fille, c’est que les dieux n’ont pas refusé les vents, mais les ont promis contre le sacrifice d’Iphigénie. Se dévoile ici précisément tout le drame de la pièce : ce qui fut un espoir est désormais, pour Agamemnon, la plus grande des craintes, tandis que cela reste une espérance pour tous les autres. La tragédie ne prend pas tant son départ dans le fracas d’une espérance que dans l’impossibilité, pour Agamemnon, de </w:t>
      </w:r>
      <w:r>
        <w:rPr>
          <w:i/>
        </w:rPr>
        <w:t xml:space="preserve">faire cesser </w:t>
      </w:r>
      <w:r>
        <w:rPr>
          <w:i/>
        </w:rPr>
        <w:t>d’espérer</w:t>
      </w:r>
      <w:r>
        <w:t>, malgré la condition inacceptable de l’espoir : le sacrifice de sa fille. S’affrontent deux espérances contradictoires : l’espérance de la gloire ; l’espérance de sauver Iphigénie du sacrifice qui seul accomplirait la première espérance. À partir de quoi la tragédie, éminemment délibérative</w:t>
      </w:r>
      <w:r>
        <w:rPr>
          <w:rStyle w:val="Appelnotedebasdep"/>
        </w:rPr>
        <w:footnoteReference w:id="319"/>
      </w:r>
      <w:r>
        <w:t>, projette l’auditoire de l’espérance à la crainte selon le parti que prend Agamemnon : répondre à l’espoir de ses soldats ; décider de sauver sa fille. De ce point de vue, l’acte I et l’acte IV sont les plus concernés par la passion de l’espérance : l’irrésolution du roi, très remarquable chez Racine contrairement aux choix de Rotrou, ouvre la voie à « la balançoire émotionnelle</w:t>
      </w:r>
      <w:r>
        <w:rPr>
          <w:rStyle w:val="Appelnotedebasdep"/>
        </w:rPr>
        <w:footnoteReference w:id="320"/>
      </w:r>
      <w:r>
        <w:t xml:space="preserve"> » de la pièce, et tout particulièrement à l’espérance et à sa ponctuation émotive jusqu’à l’extrémité de l’acte IV</w:t>
      </w:r>
      <w:r>
        <w:rPr>
          <w:rStyle w:val="Appelnotedebasdep"/>
        </w:rPr>
        <w:footnoteReference w:id="321"/>
      </w:r>
      <w:r>
        <w:t xml:space="preserve">, nourrie encore par deux séries d’espérances amoureuses : l’amour d’Achille pour Iphigénie qui le persuade de combattre (il travaille pour la mort) ; Ériphile espère l’amour d’Achille, que l’on sait impossible.  </w:t>
      </w:r>
    </w:p>
    <w:p>
      <w:pPr>
        <w:ind w:firstLine="283"/>
      </w:pPr>
      <w:r>
        <w:t xml:space="preserve">C’est que les espérances, dans la tragédie, naissent pour être contestées. Aussi l’espérance est-elle un outil dramatique incomparable puisqu’elle insère dans la tragédie le moyen d’un conflit ou d’un choc entre le virtuel et l’actuel – elle fait redouter le moment et le mode de l’inaccomplissement des espérances ou le mode de leurs accomplissements, en cas d’espérance maléfique. C’est dire à nouveau à quel point l’espérance est un outil de temporalisation : avec son expression se déclenche </w:t>
      </w:r>
      <w:r>
        <w:rPr>
          <w:i/>
        </w:rPr>
        <w:t>l’attente</w:t>
      </w:r>
      <w:r>
        <w:t xml:space="preserve"> de sa réalisation ou de sa contestation ; littéralement</w:t>
      </w:r>
      <w:r>
        <w:t xml:space="preserve">, elle presse le temps. Elle installe une détente plus ou moins grande, selon qu’elle est immédiatement contestée ou que sa contestation est retardée. Ce faisant, elle est un </w:t>
      </w:r>
      <w:r>
        <w:rPr>
          <w:i/>
        </w:rPr>
        <w:t>outil de cohésion</w:t>
      </w:r>
      <w:r>
        <w:t xml:space="preserve"> : elle fait littéralement la liaison non seulement entre les actes, mais d’une scène à l’autre (par exemple I, 3-4 ; III 3-4), et encore entre le hors-scène et la scène (dans le renvoi, par exemple, au passé d’une promesse) et à vrai dire, entre l’action et le reste de la fable qui la sous-tend. Et de la cohésion à la suspension, faite de rétention et de surprise, il n’y a qu’un pas, que l’espérance permet d’accomplir : positivement, elle retient les personnages en transformant le drame en attente – on pourrait opposer </w:t>
      </w:r>
      <w:r>
        <w:t xml:space="preserve">le « déjà » de l’urgence craintive (v. 158-159) au « déjà » de l’empressement espérant (v. 841-842) ; et négativement, elle surprend les mêmes personnages qui ne s’attendent pas à sa contestation. Mais l’inespéré ne viendrait-il de l’espérance elle-même ? On peut le penser en tragédie, tant les deux espérances d’Achille travaillent l’une contre l’autre dans quasiment toute la pièce  – paradoxe tragique qu’Agamemnon exprime remarquablement en opposant l’ouverture de la gloire, dangereusement proche de la béance d’une blessure, à l’ouverture d’un autre récit, la possibilité d’une fuite, et en insistant de façon marquée sur la volonté d’Achille s’obstinant à son propre mal : « Mon cœur pour la sauver vous ouvrait une voie. Mais vous ne demandez, vous ne cherchez que Troie. / Je vous fermais le champ, où vous voulez courir / Vous le voulez, partez, sa mort va vous l'ouvrir » (v. 1365-1368). </w:t>
      </w:r>
    </w:p>
    <w:p>
      <w:pPr>
        <w:pStyle w:val="Titre3"/>
      </w:pPr>
      <w:r>
        <w:rPr>
          <w:b/>
          <w:sz w:val="26"/>
        </w:rPr>
        <w:t xml:space="preserve">Discursivité de l’espérance : l’éblouissement de l’avenir </w:t>
      </w:r>
    </w:p>
    <w:p>
      <w:pPr>
        <w:ind w:firstLine="283"/>
      </w:pPr>
      <w:r>
        <w:t>L’irrésolution d’un Agamemnon « à la merci du discours d’autrui</w:t>
      </w:r>
      <w:r>
        <w:rPr>
          <w:rStyle w:val="Appelnotedebasdep"/>
        </w:rPr>
        <w:footnoteReference w:id="322"/>
      </w:r>
      <w:r>
        <w:t xml:space="preserve"> » fait apparaître le lien entre espérance et le discours délibératif, troisième niveau dégagé par d’Aubignac. Ce sont de fait dans ces discours que l’on trouve « des considérations de ce qui peut arriver, et de ce qu’on peut espérer ou craindre</w:t>
      </w:r>
      <w:r>
        <w:rPr>
          <w:rStyle w:val="Appelnotedebasdep"/>
        </w:rPr>
        <w:footnoteReference w:id="323"/>
      </w:r>
      <w:r>
        <w:t xml:space="preserve"> » – discours que d’Aubignac appelle, non sans raison, « pathétiques » : ils sont en premier lieu chargés d’exprimer les passions et d’émouvoir les spectateurs. Mais en réservant son unique remarque sur l’espérance à ces discours pathétiques, à ces « tempêtes</w:t>
      </w:r>
      <w:r>
        <w:rPr>
          <w:rStyle w:val="Appelnotedebasdep"/>
        </w:rPr>
        <w:footnoteReference w:id="324"/>
      </w:r>
      <w:r>
        <w:t xml:space="preserve"> » sous un crâne, d’Aubignac passe quelque peu sous silence le lien plus large qui existe entre le genre délibératif et l’espérance, et ce faisant le caractère potentiellement persuasif</w:t>
      </w:r>
      <w:r>
        <w:rPr>
          <w:i/>
        </w:rPr>
        <w:t xml:space="preserve"> </w:t>
      </w:r>
      <w:r>
        <w:t xml:space="preserve">de l’espérance. Il faut à ce titre distinguer entre les discours </w:t>
      </w:r>
      <w:r>
        <w:rPr>
          <w:i/>
        </w:rPr>
        <w:t>fondés</w:t>
      </w:r>
      <w:r>
        <w:t xml:space="preserve"> sur l’espérance (soit exprimant l’espérance soit déclenchés par l’espérance mais qui s’appuient sur un tout autre arsenal argumentatif) et les discours dont la fonction est de </w:t>
      </w:r>
      <w:r>
        <w:rPr>
          <w:i/>
        </w:rPr>
        <w:t xml:space="preserve">susciter </w:t>
      </w:r>
      <w:r>
        <w:t xml:space="preserve">l’espérance. </w:t>
      </w:r>
    </w:p>
    <w:p>
      <w:pPr>
        <w:ind w:firstLine="283"/>
      </w:pPr>
      <w:r>
        <w:t>Le lien est de fait double. De façon générale, la délibération étant « du domaine du réalisable</w:t>
      </w:r>
      <w:r>
        <w:rPr>
          <w:rStyle w:val="Appelnotedebasdep"/>
        </w:rPr>
        <w:footnoteReference w:id="325"/>
      </w:r>
      <w:r>
        <w:t xml:space="preserve"> » (non de l’impossible ni du fortuit), il ne peut y avoir délibération, au milieu de la tourmente ou des dangers, sans « l’espoir de salut à propos de ce qui tourmente</w:t>
      </w:r>
      <w:r>
        <w:rPr>
          <w:rStyle w:val="Appelnotedebasdep"/>
        </w:rPr>
        <w:footnoteReference w:id="326"/>
      </w:r>
      <w:r>
        <w:t xml:space="preserve"> ». De façon plus spécifique, certains discours délibératifs, selon le rhétoricien Vossius, font appel à l’espérance (la </w:t>
      </w:r>
      <w:r>
        <w:rPr>
          <w:i/>
        </w:rPr>
        <w:t>confidentia</w:t>
      </w:r>
      <w:r>
        <w:t xml:space="preserve"> ou la </w:t>
      </w:r>
      <w:r>
        <w:rPr>
          <w:i/>
        </w:rPr>
        <w:t>spes</w:t>
      </w:r>
      <w:r>
        <w:t>) comme argument persuasif, comme d’autres à la pudeur ou à la crainte. La passion y est alors le corps d’une technique, qui non seulement discerne une discursivité particulière – rassemblant les discours qui ont en commun de reposer sur « une espérance accompagnée de l’imagination de ce qui est salutaire, dans la pensée qu’ils l’obtiendront sous peu, ou de ce qui est horrible, dans la pensée que cela a été évité ou éloigné</w:t>
      </w:r>
      <w:r>
        <w:rPr>
          <w:rStyle w:val="Appelnotedebasdep"/>
        </w:rPr>
        <w:footnoteReference w:id="327"/>
      </w:r>
      <w:r>
        <w:t xml:space="preserve"> », au premier rang desquels se trouve l’</w:t>
      </w:r>
      <w:r>
        <w:rPr>
          <w:i/>
        </w:rPr>
        <w:t>adhortatio</w:t>
      </w:r>
      <w:r>
        <w:t>, discours exhortatif – mais conduit aussi à privilégier des schémas argumentatifs types : par exemple, selon Vossius, le rappel de la proportionnalité des dangers, l’évocation des aides à venir, l’invocation de la faveur divine</w:t>
      </w:r>
      <w:r>
        <w:rPr>
          <w:rStyle w:val="Appelnotedebasdep"/>
        </w:rPr>
        <w:footnoteReference w:id="328"/>
      </w:r>
      <w:r>
        <w:t>, ou selon la rhétorique de la chaire, l’exhibition de la grandeur à obtenir ou des raisons que l’on a de croire que l’on peut acquérir ce bien</w:t>
      </w:r>
      <w:r>
        <w:rPr>
          <w:rStyle w:val="Appelnotedebasdep"/>
        </w:rPr>
        <w:footnoteReference w:id="329"/>
      </w:r>
      <w:r>
        <w:t xml:space="preserve">. </w:t>
      </w:r>
    </w:p>
    <w:p>
      <w:pPr>
        <w:ind w:firstLine="283"/>
      </w:pPr>
      <w:r>
        <w:t>Dans la tragédie, la présence de l’</w:t>
      </w:r>
      <w:r>
        <w:rPr>
          <w:i/>
        </w:rPr>
        <w:t>adhortatio</w:t>
      </w:r>
      <w:r>
        <w:t xml:space="preserve"> est délicate : sans doute s’agit-il plus souvent de dissuader d’agir que d’encourager à persévérer. Le discours délibératif d’Agamemnon (IV, 8) ne semble pas particulièrement fondé sur l’espérance : il oscille plutôt entre la crainte (sacrifier Iphigénie) et la menace (trouver la juste réponse à la colère d’Achille) ; ce sont les spectateurs qui peuvent espérer de la décision que prendra Agamemnon. Il en est de même de la plupart de l’acte IV, tout délibératif</w:t>
      </w:r>
      <w:r>
        <w:rPr>
          <w:rStyle w:val="Appelnotedebasdep"/>
        </w:rPr>
        <w:footnoteReference w:id="330"/>
      </w:r>
      <w:r>
        <w:t>, mais qui met en scène des rhétoriques de la dissuasion (</w:t>
      </w:r>
      <w:r>
        <w:rPr>
          <w:i/>
        </w:rPr>
        <w:t>dehortationes</w:t>
      </w:r>
      <w:r>
        <w:t>) et non de l’exhortation (</w:t>
      </w:r>
      <w:r>
        <w:rPr>
          <w:i/>
        </w:rPr>
        <w:t>adhortationes</w:t>
      </w:r>
      <w:r>
        <w:t xml:space="preserve">) : elles trahissent l’espérance de leurs orateurs qui </w:t>
      </w:r>
      <w:r>
        <w:t xml:space="preserve">n’abandonnent pas encore l’idée de faire fléchir Agamemnon, en vain, mais avec d’autres moyens rhétoriques. Dans ces cas, l’espérance est l’origine du discours, elle n’en constitue pas le corps argumentatif.  </w:t>
      </w:r>
    </w:p>
    <w:p>
      <w:pPr>
        <w:ind w:firstLine="283"/>
      </w:pPr>
      <w:r>
        <w:t xml:space="preserve">Le cas est tout différent dans l’acte I. Évidemment : Achille ignore encore la décision d’Agamemnon. Face aux étranges « détours » de ce dernier pour le dissuader de combattre, face donc à la </w:t>
      </w:r>
      <w:r>
        <w:rPr>
          <w:i/>
        </w:rPr>
        <w:t>dehortatio</w:t>
      </w:r>
      <w:r>
        <w:t xml:space="preserve"> d’Agamemnon, qui enterre les espérances des guerriers – « Qu’il faut, Princes, qu'il faut que chacun se retire / Que d'un crédule espoir trop longtemps abusés / Nous attendons les vents, qui nous sont refusés » (v. 214-216) – répond l’</w:t>
      </w:r>
      <w:r>
        <w:rPr>
          <w:i/>
        </w:rPr>
        <w:t xml:space="preserve">adhortatio </w:t>
      </w:r>
      <w:r>
        <w:t xml:space="preserve">d’Achille qui culmine dans sa dernière prise de parole : </w:t>
      </w:r>
    </w:p>
    <w:p>
      <w:pPr>
        <w:pStyle w:val="TEIverse"/>
        <w:spacing w:line="240" w:lineRule="auto"/>
        <w:ind w:left="397"/>
        <w:jc w:val="left"/>
      </w:pPr>
      <w:r>
        <w:rPr>
          <w:sz w:val="22"/>
        </w:rPr>
        <w:t>Ah ! Ne nous formons point ces indignes obstacles.</w:t>
      </w:r>
      <w:r>
        <w:br/>
      </w:r>
      <w:r>
        <w:rPr>
          <w:sz w:val="22"/>
        </w:rPr>
        <w:t>L'Honneur parle, il suffit, ce sont là nos Oracles.</w:t>
      </w:r>
      <w:r>
        <w:br/>
      </w:r>
      <w:r>
        <w:rPr>
          <w:sz w:val="22"/>
        </w:rPr>
        <w:t>Les Dieux sont de nos jours les maîtres souverains.</w:t>
      </w:r>
      <w:r>
        <w:br/>
      </w:r>
      <w:r>
        <w:rPr>
          <w:sz w:val="22"/>
        </w:rPr>
        <w:t>Mais, Seigneur, notre gloire est dans nos propres mains.</w:t>
      </w:r>
      <w:r>
        <w:br/>
      </w:r>
      <w:r>
        <w:rPr>
          <w:sz w:val="22"/>
        </w:rPr>
        <w:t>Pourquoi nous tourmenter de leurs ordres suprêmes ?</w:t>
      </w:r>
      <w:r>
        <w:br/>
      </w:r>
      <w:r>
        <w:rPr>
          <w:sz w:val="22"/>
        </w:rPr>
        <w:t>Ne songeons qu'à nous rendre immortels comme eux-mêmes,</w:t>
      </w:r>
      <w:r>
        <w:br/>
      </w:r>
      <w:r>
        <w:rPr>
          <w:sz w:val="22"/>
        </w:rPr>
        <w:t>Et laissant faire au Sort, courons où la valeur</w:t>
      </w:r>
      <w:r>
        <w:br/>
      </w:r>
      <w:r>
        <w:rPr>
          <w:sz w:val="22"/>
        </w:rPr>
        <w:t>Nous promet un destin aussi grand que le leur (I, 2, v. 257-264)</w:t>
      </w:r>
    </w:p>
    <w:p>
      <w:pPr>
        <w:pStyle w:val="TEIparagraphconsecutive"/>
      </w:pPr>
      <w:r>
        <w:t>Le lieu de la grandeur est habilement maîtrisé par le guerrier pour essayer d’amplifier la gloire d’Agamemnon et de la mettre à sa portée. Le héros grec est là le paradigme de l’assurance (</w:t>
      </w:r>
      <w:r>
        <w:rPr>
          <w:i/>
        </w:rPr>
        <w:t>tharros</w:t>
      </w:r>
      <w:r>
        <w:t>) dont parle Aristote, qu’il oppose à la crainte et que les rhétoriciens du XVII</w:t>
      </w:r>
      <w:r>
        <w:rPr>
          <w:vertAlign w:val="superscript"/>
        </w:rPr>
        <w:t>e</w:t>
      </w:r>
      <w:r>
        <w:t xml:space="preserve"> s. séparent souvent de l’espérance, mais que le philosophe définit pour sa part ainsi : « L'assurance est donc l’espoir du salut, accompagné de l’idée que ce salut est à notre portée, et que les choses à craindre ou n’existent pas, ou sont loin de nous</w:t>
      </w:r>
      <w:r>
        <w:rPr>
          <w:rStyle w:val="Appelnotedebasdep"/>
        </w:rPr>
        <w:footnoteReference w:id="331"/>
      </w:r>
      <w:r>
        <w:t>. » Mais l’ironie de la tragédie est double : parce que l’</w:t>
      </w:r>
      <w:r>
        <w:rPr>
          <w:i/>
        </w:rPr>
        <w:t>adhortatio</w:t>
      </w:r>
      <w:r>
        <w:t xml:space="preserve"> d’Achille est parfaitement ignorante de ce qu’elle demande, la largeur du regard espérant le cédant à son ravissement aveuglant ; parce qu’elle est aussitôt contestée par une autre </w:t>
      </w:r>
      <w:r>
        <w:rPr>
          <w:i/>
        </w:rPr>
        <w:t>adhortatio</w:t>
      </w:r>
      <w:r>
        <w:t>, en sens inverse, et plus efficace : celle d’Ulysse face au même Agamemnon (I, 4) chargée précisément de faire du sacrifice d’Iphigénie une raison d’espérer. La finalité argumentative est tragiquement à la fois identique (faire espérer Agamemnon, galvaniser son énergie militaire) et contraire (dans le second cas, l’invitation à ne pas désespérer revient à faire accepter le sacrifice familial) :</w:t>
      </w:r>
    </w:p>
    <w:p>
      <w:pPr>
        <w:pStyle w:val="Titre1"/>
      </w:pPr>
      <w:r>
        <w:rPr>
          <w:sz w:val="32"/>
        </w:rPr>
        <w:t>ULYSSE</w:t>
      </w:r>
    </w:p>
    <w:p>
      <w:pPr>
        <w:pStyle w:val="TEIverse"/>
        <w:spacing w:line="240" w:lineRule="auto"/>
        <w:ind w:left="397"/>
        <w:jc w:val="left"/>
      </w:pPr>
      <w:r>
        <w:rPr>
          <w:sz w:val="22"/>
        </w:rPr>
        <w:t>Je suis père, Seigneur. Et faible comme un autre,</w:t>
      </w:r>
      <w:r>
        <w:br/>
      </w:r>
      <w:r>
        <w:rPr>
          <w:sz w:val="22"/>
        </w:rPr>
        <w:t>Mon cœur se met sans peine en la place du vôtre,</w:t>
      </w:r>
      <w:r>
        <w:br/>
      </w:r>
      <w:r>
        <w:rPr>
          <w:sz w:val="22"/>
        </w:rPr>
        <w:t>Et frémissant du coup qui vous fait soupirer,</w:t>
      </w:r>
      <w:r>
        <w:br/>
      </w:r>
      <w:r>
        <w:rPr>
          <w:sz w:val="22"/>
        </w:rPr>
        <w:t>Loin de blâmer vos pleurs, je suis prêt de pleurer.</w:t>
      </w:r>
      <w:r>
        <w:br/>
      </w:r>
      <w:r>
        <w:rPr>
          <w:sz w:val="22"/>
        </w:rPr>
        <w:t>Mais votre amour n'a plus d'excuse légitime.</w:t>
      </w:r>
      <w:r>
        <w:br/>
      </w:r>
      <w:r>
        <w:rPr>
          <w:sz w:val="22"/>
        </w:rPr>
        <w:t>Les Dieux ont à Calchas amené leur Victime.</w:t>
      </w:r>
      <w:r>
        <w:br/>
      </w:r>
      <w:r>
        <w:rPr>
          <w:sz w:val="22"/>
        </w:rPr>
        <w:t>Il le sait, il l'attend : et s'il la voit tarder,</w:t>
      </w:r>
      <w:r>
        <w:br/>
      </w:r>
      <w:r>
        <w:rPr>
          <w:sz w:val="22"/>
        </w:rPr>
        <w:t>Lui-même à haute voix viendra la demander.</w:t>
      </w:r>
      <w:r>
        <w:br/>
      </w:r>
      <w:r>
        <w:rPr>
          <w:sz w:val="22"/>
        </w:rPr>
        <w:t>Nous sommes seuls encor. Hâtez-vous de répandre</w:t>
      </w:r>
      <w:r>
        <w:br/>
      </w:r>
      <w:r>
        <w:rPr>
          <w:sz w:val="22"/>
        </w:rPr>
        <w:t>Des pleurs que vous arrache un intérêt si tendre.</w:t>
      </w:r>
      <w:r>
        <w:br/>
      </w:r>
      <w:r>
        <w:rPr>
          <w:sz w:val="22"/>
        </w:rPr>
        <w:t>Pleurez ce sang, pleurez. Ou plutôt sans pâlir,</w:t>
      </w:r>
      <w:r>
        <w:br/>
      </w:r>
      <w:r>
        <w:rPr>
          <w:sz w:val="22"/>
        </w:rPr>
        <w:t>Considérez l'honneur qui doit en rejaillir.</w:t>
      </w:r>
      <w:r>
        <w:br/>
      </w:r>
      <w:r>
        <w:rPr>
          <w:sz w:val="22"/>
        </w:rPr>
        <w:t>Voyez tout l'Hellespont blanchissant sous nos rames,</w:t>
      </w:r>
      <w:r>
        <w:br/>
      </w:r>
      <w:r>
        <w:rPr>
          <w:sz w:val="22"/>
        </w:rPr>
        <w:t>Et la perfide Troie abandonnée aux flammes,</w:t>
      </w:r>
      <w:r>
        <w:br/>
      </w:r>
      <w:r>
        <w:rPr>
          <w:sz w:val="22"/>
        </w:rPr>
        <w:t>Ses Peuples dans vos fers, Priam à vos genoux,</w:t>
      </w:r>
      <w:r>
        <w:br/>
      </w:r>
      <w:r>
        <w:rPr>
          <w:sz w:val="22"/>
        </w:rPr>
        <w:t>Hélène par vos mains rendue à son Époux.</w:t>
      </w:r>
      <w:r>
        <w:br/>
      </w:r>
      <w:r>
        <w:rPr>
          <w:sz w:val="22"/>
        </w:rPr>
        <w:t>Voyez de vos vaisseaux les poupes couronnées</w:t>
      </w:r>
      <w:r>
        <w:br/>
      </w:r>
      <w:r>
        <w:rPr>
          <w:sz w:val="22"/>
        </w:rPr>
        <w:t>Dans cette même Aulide avec vous retournées,</w:t>
      </w:r>
      <w:r>
        <w:br/>
      </w:r>
      <w:r>
        <w:rPr>
          <w:sz w:val="22"/>
        </w:rPr>
        <w:t>Et ce triomphe heureux, qui s'en va devenir</w:t>
      </w:r>
      <w:r>
        <w:br/>
      </w:r>
      <w:r>
        <w:rPr>
          <w:sz w:val="22"/>
        </w:rPr>
        <w:t>L'éternel entretien des siècles à venir. (I, 4, v. 369-388)</w:t>
      </w:r>
    </w:p>
    <w:p>
      <w:pPr>
        <w:pStyle w:val="TEIparagraphconsecutive"/>
      </w:pPr>
      <w:r>
        <w:t xml:space="preserve">Stratégie subtile, qui commence par empathiser avec Agamemnon sur le mode de la crainte et du lieu de la ressemblance – le choix à prendre est, pour un père, des plus difficiles – mais qui évolue, voire bifurque sur le mode de la correction voyante – qui fait entendre ironiquement les </w:t>
      </w:r>
      <w:r>
        <w:rPr>
          <w:i/>
        </w:rPr>
        <w:t>pl</w:t>
      </w:r>
      <w:r>
        <w:t xml:space="preserve">eurs (« ou </w:t>
      </w:r>
      <w:r>
        <w:rPr>
          <w:i/>
        </w:rPr>
        <w:t>pl</w:t>
      </w:r>
      <w:r>
        <w:t xml:space="preserve">utôt ») – vers le rappel de la grandeur du bien à espérer (« l’honneur ») et le moyen d’y parvenir : l’hypotypose transforme, par énallage temporelle et par l’accélération de la métonymie, l’avenir en fragments homériques d’un spectacle présent, et le présent déictique (« voyez », etc.) en promesse d’éternité ; le « bientôt » devient un « déjà » et le « déjà » un « toujours ». Voilà qui néantise vertigineusement le moment d’un sacrifice au profit de ce à quoi il ouvre, fondement d’une amplification du lieu de la finalité, qui transfigure l’image du désespoir en image d’espérance, le visage exsangue du père en source jaillissante d’honneur pour la Grèce, la pâleur congédiée en blancheur rêvée ; le voilà qui problématise tragiquement, enfin, la volonté d’Agamemnon, sommé de vouloir davantage ce qu’il a déjà consenti à vouloir – ce en quoi il s’agit bien d’une </w:t>
      </w:r>
      <w:r>
        <w:rPr>
          <w:i/>
        </w:rPr>
        <w:t>adhortatio</w:t>
      </w:r>
      <w:r>
        <w:t xml:space="preserve">, et non d’une </w:t>
      </w:r>
      <w:r>
        <w:rPr>
          <w:i/>
        </w:rPr>
        <w:t>suasio</w:t>
      </w:r>
      <w:r>
        <w:rPr>
          <w:rStyle w:val="Appelnotedebasdep"/>
        </w:rPr>
        <w:footnoteReference w:id="332"/>
      </w:r>
      <w:r>
        <w:t xml:space="preserve"> – quoiqu’il ne le veuille pas vraiment. </w:t>
      </w:r>
    </w:p>
    <w:p>
      <w:pPr>
        <w:ind w:firstLine="283"/>
      </w:pPr>
      <w:r>
        <w:tab/>
      </w:r>
      <w:r>
        <w:t xml:space="preserve">La rhétorique enthousiaste d’Ulysse le laisse entendre : l’espérance n’est pas seulement un objet à transmettre, c’est aussi un objet à éprouver et il est rare qu’un discours utilisant l’espérance ne soit pas aussi un discours passionné. Évidemment, se montrer espérant pour donner à espérer est une question de stratégie éthique. Mais cela indique aussi quelque chose de fondamentalement </w:t>
      </w:r>
      <w:r>
        <w:rPr>
          <w:i/>
        </w:rPr>
        <w:t>coopératif</w:t>
      </w:r>
      <w:r>
        <w:t xml:space="preserve"> ou </w:t>
      </w:r>
      <w:r>
        <w:rPr>
          <w:i/>
        </w:rPr>
        <w:t>contagieux</w:t>
      </w:r>
      <w:r>
        <w:t xml:space="preserve"> dans l’espérance, voire quelque chose de </w:t>
      </w:r>
      <w:r>
        <w:rPr>
          <w:i/>
        </w:rPr>
        <w:t>communautaire</w:t>
      </w:r>
      <w:r>
        <w:t xml:space="preserve"> : elle lie les personnages dans une imagination commune, appuyée sur un monde de valeurs partagées. Elle est, dans le cas d’Ulysse, une passion politique, contre l’ombre de la révolte</w:t>
      </w:r>
      <w:r>
        <w:rPr>
          <w:rStyle w:val="Appelnotedebasdep"/>
        </w:rPr>
        <w:footnoteReference w:id="333"/>
      </w:r>
      <w:r>
        <w:t xml:space="preserve"> et pour la gloire du roi dont il veut, un sens, recomposer la face éthique, contre la submersion de la passion. Et l’hypotypose n’est pas dans ce cadre là seulement une stratégie d’amplification : elle est l’âme de l’espérance, qui « rend présent</w:t>
      </w:r>
      <w:r>
        <w:rPr>
          <w:rStyle w:val="Appelnotedebasdep"/>
        </w:rPr>
        <w:footnoteReference w:id="334"/>
      </w:r>
      <w:r>
        <w:t xml:space="preserve"> » selon Lamy, « nous enflamme » de sorte que « nous lisons en la face de ceux qui sont pleins de bonne espérance le contentement que leur donne leur imagination »</w:t>
      </w:r>
      <w:r>
        <w:rPr>
          <w:rStyle w:val="Appelnotedebasdep"/>
        </w:rPr>
        <w:footnoteReference w:id="335"/>
      </w:r>
      <w:r>
        <w:t xml:space="preserve">. Achille l’illustre encore à l’acte III : </w:t>
      </w:r>
    </w:p>
    <w:p>
      <w:pPr>
        <w:pStyle w:val="Titre1"/>
      </w:pPr>
      <w:r>
        <w:rPr>
          <w:sz w:val="32"/>
        </w:rPr>
        <w:t>ACHILLE</w:t>
      </w:r>
    </w:p>
    <w:p>
      <w:pPr>
        <w:ind w:firstLine="283"/>
      </w:pPr>
      <w:r>
        <w:t>Tout succède, Madame, à mon empressement.</w:t>
      </w:r>
    </w:p>
    <w:p>
      <w:pPr>
        <w:ind w:firstLine="283"/>
      </w:pPr>
      <w:r>
        <w:t>Le Roi n'a point voulu d'autre éclaircissement.</w:t>
      </w:r>
    </w:p>
    <w:p>
      <w:pPr>
        <w:ind w:firstLine="283"/>
      </w:pPr>
      <w:r>
        <w:t>Il en croit mes transports. Et sans presque m'entendre</w:t>
      </w:r>
    </w:p>
    <w:p>
      <w:pPr>
        <w:ind w:firstLine="283"/>
      </w:pPr>
      <w:r>
        <w:t>Il vient en m'embrassant de m'accepter pour Gendre.</w:t>
      </w:r>
    </w:p>
    <w:p>
      <w:pPr>
        <w:ind w:firstLine="283"/>
      </w:pPr>
      <w:r>
        <w:t>Il ne m'a dit qu'un mot. Mais vous a-t-il conté</w:t>
      </w:r>
    </w:p>
    <w:p>
      <w:pPr>
        <w:ind w:firstLine="283"/>
      </w:pPr>
      <w:r>
        <w:t>Quel bonheur dans le Camp vous avez apporté ?</w:t>
      </w:r>
    </w:p>
    <w:p>
      <w:pPr>
        <w:ind w:firstLine="283"/>
      </w:pPr>
      <w:r>
        <w:t>Les Dieux vont s'apaiser. Du moins Calchas publie</w:t>
      </w:r>
    </w:p>
    <w:p>
      <w:pPr>
        <w:ind w:firstLine="283"/>
      </w:pPr>
      <w:r>
        <w:t>Qu'avec eux dans une heure il nous réconcilie,</w:t>
      </w:r>
    </w:p>
    <w:p>
      <w:pPr>
        <w:ind w:firstLine="283"/>
      </w:pPr>
      <w:r>
        <w:t>Que Neptune et les Vents, prêts à nous exaucer,</w:t>
      </w:r>
    </w:p>
    <w:p>
      <w:pPr>
        <w:ind w:firstLine="283"/>
      </w:pPr>
      <w:r>
        <w:t>N'attendent que le sang que sa main va verser.</w:t>
      </w:r>
    </w:p>
    <w:p>
      <w:pPr>
        <w:ind w:firstLine="283"/>
      </w:pPr>
      <w:r>
        <w:t>Déjà dans les Vaisseaux la voile se déploie.</w:t>
      </w:r>
    </w:p>
    <w:p>
      <w:pPr>
        <w:ind w:firstLine="283"/>
      </w:pPr>
      <w:r>
        <w:t>Déjà sur sa parole ils se tournent vers Troie.</w:t>
      </w:r>
    </w:p>
    <w:p>
      <w:pPr>
        <w:ind w:firstLine="283"/>
      </w:pPr>
      <w:r>
        <w:t>Pour moi, quoique le Ciel, au gré de mon amour,</w:t>
      </w:r>
    </w:p>
    <w:p>
      <w:pPr>
        <w:ind w:firstLine="283"/>
      </w:pPr>
      <w:r>
        <w:t>Dût encore des vents retarder le retour,</w:t>
      </w:r>
    </w:p>
    <w:p>
      <w:pPr>
        <w:ind w:firstLine="283"/>
      </w:pPr>
      <w:r>
        <w:t>Que je quitte à regret la Rive fortunée</w:t>
      </w:r>
    </w:p>
    <w:p>
      <w:pPr>
        <w:ind w:firstLine="283"/>
      </w:pPr>
      <w:r>
        <w:t>Où je vais allumer les flambeaux d'Hyménée ;</w:t>
      </w:r>
    </w:p>
    <w:p>
      <w:pPr>
        <w:ind w:firstLine="283"/>
      </w:pPr>
      <w:r>
        <w:t>Puis-je ne point chérir l'heureuse occasion</w:t>
      </w:r>
    </w:p>
    <w:p>
      <w:pPr>
        <w:ind w:firstLine="283"/>
      </w:pPr>
      <w:r>
        <w:t>D'aller du sang Troyen sceller notre union,</w:t>
      </w:r>
    </w:p>
    <w:p>
      <w:pPr>
        <w:ind w:firstLine="283"/>
      </w:pPr>
      <w:r>
        <w:t>Et de laisser bientôt sous Troie ensevelie</w:t>
      </w:r>
    </w:p>
    <w:p>
      <w:pPr>
        <w:pStyle w:val="TEIverse"/>
        <w:spacing w:line="240" w:lineRule="auto"/>
        <w:ind w:left="397"/>
        <w:jc w:val="left"/>
      </w:pPr>
      <w:r>
        <w:rPr>
          <w:sz w:val="22"/>
        </w:rPr>
        <w:t>Le déshonneur d’un nom, à qui le mien s’allie ? (III, 3, v. 831-850)</w:t>
      </w:r>
    </w:p>
    <w:p>
      <w:pPr>
        <w:pStyle w:val="TEIparagraphconsecutive"/>
      </w:pPr>
      <w:r>
        <w:t xml:space="preserve">Il ne s’agit pas ici de persuader Clytemnestre d’agir ; encore le discours passionné d’Achille exprime-t-il l’espérance qui le transit et la communique-t-il sans doute à son interlocutrice. Là encore, l’imagination fait son œuvre, galvanise aussi bien celui qui la déploie comme celle qui la reçoit (Clytemnestre). On y retrouve l’ornement privilégié de cet « espoir de salut » dont parle Aristote : la </w:t>
      </w:r>
      <w:r>
        <w:rPr>
          <w:i/>
        </w:rPr>
        <w:t>vision</w:t>
      </w:r>
      <w:r>
        <w:t xml:space="preserve"> d’un </w:t>
      </w:r>
      <w:r>
        <w:rPr>
          <w:i/>
        </w:rPr>
        <w:t>monde à sa portée</w:t>
      </w:r>
      <w:r>
        <w:t>.</w:t>
      </w:r>
    </w:p>
    <w:p>
      <w:pPr>
        <w:ind w:firstLine="283"/>
      </w:pPr>
      <w:r>
        <w:t>Mais l’ingéniosité rhétorique des personnages, on le comprend, nourrit le paradoxe même de l’espérance tragique : elle donne à voir en même temps qu’elle aveugle les personnages. L’espérance et son emphase poétique</w:t>
      </w:r>
      <w:r>
        <w:t xml:space="preserve"> </w:t>
      </w:r>
      <w:r>
        <w:t>gonflent perversement le monde pour que la percée soit plus brutale. On pense à ce délit de finitude dont parle Montaigne : « Ô la courageuse faculté, que l’espérance qui, en un sujet mortel et en un moment, va usurpant l’infinité, l’immensité, l’éternité : nature nous a là donné un plaisant jouet</w:t>
      </w:r>
      <w:r>
        <w:rPr>
          <w:rStyle w:val="Appelnotedebasdep"/>
        </w:rPr>
        <w:footnoteReference w:id="336"/>
      </w:r>
      <w:r>
        <w:t>. » Les discours exprimant l’espérance semblent autant de moments d’aliénation qu’un chrétien analyserait comme le symptôme d’un mésusage de l’espérance, fondant la vaine gloire : Achille, comme Agamemnon, de façon exemplaire, sont de ces ambitieux « qui n’ont pas une heure de bon temps, et qui trouvent mille enfers véritables dans le paradis imaginaire qu’ils se forment, croiront que l’honneur est l’unique objet de l’espérance</w:t>
      </w:r>
      <w:r>
        <w:rPr>
          <w:rStyle w:val="Appelnotedebasdep"/>
        </w:rPr>
        <w:footnoteReference w:id="337"/>
      </w:r>
      <w:r>
        <w:t xml:space="preserve"> », ou de ceux « qui se repaissent de vent, c’est-à-dire, d’espérances imaginaires</w:t>
      </w:r>
      <w:r>
        <w:rPr>
          <w:rStyle w:val="Appelnotedebasdep"/>
        </w:rPr>
        <w:footnoteReference w:id="338"/>
      </w:r>
      <w:r>
        <w:t xml:space="preserve"> ». Et de ces lectures suspectes, devrait-on tout à fait exempter Iphigénie dont le discours, en V, 2, face à Achille (leur deuxième et dernier </w:t>
      </w:r>
      <w:r>
        <w:rPr>
          <w:i/>
        </w:rPr>
        <w:t>duo</w:t>
      </w:r>
      <w:r>
        <w:t xml:space="preserve"> de la pièce) est des plus ambigus ? Car sous couvert du paradoxe qu’elle déploie et qui sert le dernier grand discours d’espérance de </w:t>
      </w:r>
      <w:r>
        <w:t>la tragédie – son propre désespoir veut se transfigurer en espoir de gloire pour Achille</w:t>
      </w:r>
      <w:r>
        <w:rPr>
          <w:rStyle w:val="Appelnotedebasdep"/>
        </w:rPr>
        <w:footnoteReference w:id="339"/>
      </w:r>
      <w:r>
        <w:t xml:space="preserve"> – mais qui constitue plus une consolation qu’une adhortation</w:t>
      </w:r>
      <w:r>
        <w:rPr>
          <w:rStyle w:val="Appelnotedebasdep"/>
        </w:rPr>
        <w:footnoteReference w:id="340"/>
      </w:r>
      <w:r>
        <w:t xml:space="preserve">, je verrais moins la marque d’un consentement sublime (son père n’a pas ordonné </w:t>
      </w:r>
      <w:r>
        <w:rPr>
          <w:i/>
        </w:rPr>
        <w:t>ce</w:t>
      </w:r>
      <w:r>
        <w:t xml:space="preserve"> sacrifice-là) que celle d’une obstination à la mort. Agamemnon cachait l’autel du sacrifice sous l’autel du mariage ; Iphigénie répond en voulant sacrifier littéralement un cœur que son père ne désignait que métaphoriquement. En un écho au serment qu’Agamemnon comme Achille avaient déjà mis de côté, Iphigénie, qui « veut mourir malgré tout le monde</w:t>
      </w:r>
      <w:r>
        <w:rPr>
          <w:rStyle w:val="Appelnotedebasdep"/>
        </w:rPr>
        <w:footnoteReference w:id="341"/>
      </w:r>
      <w:r>
        <w:t xml:space="preserve"> », reprend la phraséologie d’un héroïsme entêté et requalifie ainsi elle-même sa décision en obéissance. Iphigénie, ou le refus d’espérer pour soi ; l’avenir pour elle ne peut être que celui du passé. </w:t>
      </w:r>
    </w:p>
    <w:p>
      <w:pPr>
        <w:pStyle w:val="Titre2"/>
      </w:pPr>
      <w:r>
        <w:rPr>
          <w:b/>
          <w:sz w:val="28"/>
        </w:rPr>
        <w:t xml:space="preserve">La promesse du passé </w:t>
      </w:r>
    </w:p>
    <w:p>
      <w:pPr>
        <w:ind w:firstLine="283"/>
      </w:pPr>
      <w:r>
        <w:t xml:space="preserve">Le retournement change-t-il alors quoi que ce soit ? Malgré les crises et les atermoiements, les espérances des personnages s’accomplissent </w:t>
      </w:r>
      <w:r>
        <w:rPr>
          <w:i/>
        </w:rPr>
        <w:t>in fine</w:t>
      </w:r>
      <w:r>
        <w:t>. La lumière apparente des derniers vers est rare dans la tragédie racinienne : « Venez, Achille et lui brûlants de vous revoir, / Madame, et désormais tous deux d’intelligence / Sont prêts à confirmer leur auguste alliance » (v. 1792-1794). La découverte finale qu’Ériphile est l’Iphigénie, fille d’Hélène, qui doit être sacrifiée, sauve Iphigénie et permet, alors que le ciel s’entr’ouvre</w:t>
      </w:r>
      <w:r>
        <w:rPr>
          <w:rStyle w:val="Appelnotedebasdep"/>
        </w:rPr>
        <w:footnoteReference w:id="342"/>
      </w:r>
      <w:r>
        <w:t xml:space="preserve"> : promesse d’un mariage, promesse d’un combat. Personnages comme spectateurs sont </w:t>
      </w:r>
      <w:r>
        <w:rPr>
          <w:i/>
        </w:rPr>
        <w:t>contents</w:t>
      </w:r>
      <w:r>
        <w:t xml:space="preserve"> et </w:t>
      </w:r>
      <w:r>
        <w:rPr>
          <w:i/>
        </w:rPr>
        <w:t>surpris</w:t>
      </w:r>
      <w:r>
        <w:t xml:space="preserve"> : surpris du dénouement, tout à la fois imprévu et préparé comme le recommande d’Aubignac, et contents que leurs propres espérances soient accomplies. Mais cela transfigure-t-il vraiment l’image de l’espérance construite par la pièce ? On peut en douter. </w:t>
      </w:r>
    </w:p>
    <w:p>
      <w:pPr>
        <w:ind w:firstLine="283"/>
      </w:pPr>
      <w:r>
        <w:t>D’abord, la contestation des espérances aura puissamment irrité les émotions tragiques : le « sentiment de conjouissance</w:t>
      </w:r>
      <w:r>
        <w:rPr>
          <w:rStyle w:val="Appelnotedebasdep"/>
        </w:rPr>
        <w:footnoteReference w:id="343"/>
      </w:r>
      <w:r>
        <w:t xml:space="preserve"> » qu’accompagne le retournement ré-oriente la course des espérances, mais il ne fait oublier ni la crainte ni la pitié suscitées préalablement de façon particulièrement intense. L’image d’un autre avenir se fait dans le souvenir des larmes versées.  </w:t>
      </w:r>
    </w:p>
    <w:p>
      <w:pPr>
        <w:ind w:firstLine="283"/>
      </w:pPr>
      <w:r>
        <w:t>Le dénouement, qui se termine sur l’image d’une Iphigénie « pleur[ant] son Ennemie » (v. 1790), est-il par ailleurs si lumineux que cela ? Les critiques n’ont pas manqué de reverser l’apparente maladresse de ce dénouement sur le possible opportunisme de Calchas</w:t>
      </w:r>
      <w:r>
        <w:rPr>
          <w:rStyle w:val="Appelnotedebasdep"/>
        </w:rPr>
        <w:footnoteReference w:id="344"/>
      </w:r>
      <w:r>
        <w:t xml:space="preserve"> – devant la force d’Achille – qui profite de l’aveuglement d’Ériphile pour proposer une relecture bienvenue de l’oracle. Et sans doute les soupçons que l’on peut nourrir à l’égard de Calchas sont-ils nombreux, le moindre n’étant pas son association significative à l’habileté d’Ulysse et de Nestor, </w:t>
      </w:r>
      <w:r>
        <w:t xml:space="preserve">tous trois ramenés par Achille non à la rhétorique mais à la sophistique : « Que dis-je ? En ce moment Calchas, Nestor, Ulysse, / De leur vaine éloquence employant l'artifice, / Combattaient mon amour » (v. 749-751). Le spectacle de l’armée d’Achille semble lui faire faire volte-face, et son inspiration divine paraît alors un habile prétexte. À quoi tiennent donc les espérances des uns et des autres ? Plus que leur réussite finale, c’est leur fragilité qui est exhibée, et suprêmement celle de la persuasion, qui jusqu’au bout aura été un échec. Iphigénie, ou </w:t>
      </w:r>
      <w:r>
        <w:rPr>
          <w:i/>
        </w:rPr>
        <w:t>faillir mourir</w:t>
      </w:r>
      <w:r>
        <w:t xml:space="preserve">. </w:t>
      </w:r>
    </w:p>
    <w:p>
      <w:pPr>
        <w:ind w:firstLine="283"/>
      </w:pPr>
      <w:r>
        <w:t>Mais une lecture moins suspicieuse à l’égard de l’intervention divine, créditant effectivement l’ambigu Calchas d’un enthousiasme divin soudain, serait tout aussi fertile, et met ainsi au jour une complexe articulation de la cause divine et de la cause humaine.</w:t>
      </w:r>
      <w:r>
        <w:rPr>
          <w:i/>
        </w:rPr>
        <w:t xml:space="preserve"> Iphigénie</w:t>
      </w:r>
      <w:r>
        <w:t xml:space="preserve"> invite à prendre en compte le rôle de cette dernière : « Triste destin des Rois ! Esclaves que nous sommes / Et des rigueurs du Sort, et des discours des Hommes » (I, 5, v. 365-366). Étagement problématique que cette simple coordination qui paraît niveler causalité supérieure, celle du destin, et causalité immanente, celle des hommes, mais qui reconnaît sans ambiguïté la responsabilité qui incombe à toute parole humaine. L’apparition assourdie de la voix divine, si on l’accepte, tend rétrospectivement, dès lors, à montrer en toute clarté l’ignorance qui a été celle des personnages pendant toute la pièce agissant sans le savoir, mais par de libres choix, pour une causalité supérieure qui sanctionne leur goût du sang ; d’où l’ambiguïté du portrait d’Achille, entre im-maîtrise et maîtrise du destin.</w:t>
      </w:r>
    </w:p>
    <w:p>
      <w:pPr>
        <w:ind w:firstLine="283"/>
      </w:pPr>
      <w:r>
        <w:t xml:space="preserve">À quoi aura donc servi la crainte de la mort d’Iphigénie, à quoi auront servi les énergies déployées par les uns et les autres ? À faire éclater l’impossibilité d’une décision, à révéler le poids des promesses. </w:t>
      </w:r>
      <w:r>
        <w:rPr>
          <w:i/>
        </w:rPr>
        <w:t>Iphigénie</w:t>
      </w:r>
      <w:r>
        <w:t xml:space="preserve"> est bien une tragédie de la promesse dont la première est celle d’Agamemnon à toute la Grèce : </w:t>
      </w:r>
    </w:p>
    <w:p>
      <w:pPr>
        <w:pStyle w:val="TEIverse"/>
        <w:spacing w:line="240" w:lineRule="auto"/>
        <w:ind w:left="397"/>
        <w:jc w:val="left"/>
      </w:pPr>
      <w:r>
        <w:rPr>
          <w:sz w:val="22"/>
        </w:rPr>
        <w:t>Songez-y. Vous devez votre Fille à la Grèce,</w:t>
      </w:r>
      <w:r>
        <w:br/>
      </w:r>
      <w:r>
        <w:rPr>
          <w:sz w:val="22"/>
        </w:rPr>
        <w:t>Vous nous l'avez promise. Et sur cette promesse</w:t>
      </w:r>
      <w:r>
        <w:br/>
      </w:r>
      <w:r>
        <w:rPr>
          <w:sz w:val="22"/>
        </w:rPr>
        <w:t>Calchas par tous les Grecs consulté chaque jour</w:t>
      </w:r>
      <w:r>
        <w:br/>
      </w:r>
      <w:r>
        <w:rPr>
          <w:sz w:val="22"/>
        </w:rPr>
        <w:t>Leur a prédit des vents l'infaillible retour (v. 285-288)</w:t>
      </w:r>
    </w:p>
    <w:p>
      <w:pPr>
        <w:pStyle w:val="TEIparagraphconsecutive"/>
      </w:pPr>
      <w:r>
        <w:t xml:space="preserve">Seigneur, vous le savez, j’ai donné ma parole, </w:t>
      </w:r>
    </w:p>
    <w:p>
      <w:pPr>
        <w:pStyle w:val="TEIquote"/>
        <w:spacing w:line="240" w:lineRule="auto"/>
        <w:ind w:left="397"/>
        <w:jc w:val="both"/>
      </w:pPr>
      <w:r>
        <w:rPr>
          <w:sz w:val="22"/>
        </w:rPr>
        <w:t>Et si ma Fille vient, je consens qu’on l’immole (v. 329-330)</w:t>
      </w:r>
    </w:p>
    <w:p>
      <w:pPr>
        <w:pStyle w:val="TEIparagraphconsecutive"/>
      </w:pPr>
      <w:r>
        <w:t>En ce sens, Agamemnon a été sa propre victime ; il s’est enchaîné de lui-même à une espérance qu’il a suscitée, et qui a été, au moins selon Ulysse, la source (et non la réponse) de la prédiction de Calchas, autant que les Grecs furent enchaînés aux dieux qui ne « promettent Troie et les vents qu’à ce prix » (v. 920) – la mort d’Iphigénie –, autant que les guerriers sont enchaînés à la promesse d’un « destin aussi grand que le leur [celui des dieux] » (v. 264) et autant qu’Iphigénie semble enchaînée, ultimement, à un serment qu’elle réimpose d’elle-même face à Achille. La guerre est-elle autre chose que le surgeon d’une espérance ? Évidemment pas, puisque les Grecs amants d’Hélène « De quelque heureux Époux que l’on dût faire choix, / [jurèrent] dès lors de défendre ses droits » (I, 3 v. 303-304). Ulysse rappelle ici à Agamemnon ce qu’Euripide faisait déjà dire à Agamemnon face à son frère Ménélas : « Les prétendants, pour obtenir cette femme, ont eu l’imprudence de jurer tout ce que voulait Tyndare. Mais l’espérance est une déesse, ce me semble ; et c’est elle qui les a décidés à prêter ce serment, plutôt que toi et ta puissance</w:t>
      </w:r>
      <w:r>
        <w:rPr>
          <w:rStyle w:val="Appelnotedebasdep"/>
        </w:rPr>
        <w:footnoteReference w:id="345"/>
      </w:r>
      <w:r>
        <w:t xml:space="preserve">. » Comme le dit saint Paul : « Une promesse et un serment, voilà deux choses qu’on ne peut </w:t>
      </w:r>
      <w:r>
        <w:t xml:space="preserve">changer » (Hébreux 6, 18). À l’irréversible promesse de l’espérance, s’accroche, avec le déchaînement des passions, la promesse du tragique. </w:t>
      </w:r>
    </w:p>
    <w:p>
      <w:r>
        <w:br w:type="page"/>
      </w:r>
    </w:p>
    <w:p>
      <w:pPr>
        <w:pStyle w:val="Titre3"/>
      </w:pPr>
      <w:r>
        <w:rPr>
          <w:b/>
          <w:sz w:val="26"/>
        </w:rPr>
        <w:t>Le retour des Dieux dans les premières traductions anglaises d’</w:t>
      </w:r>
      <w:r>
        <w:rPr>
          <w:b/>
          <w:i/>
          <w:sz w:val="26"/>
        </w:rPr>
        <w:t>Iphigénie</w:t>
      </w:r>
    </w:p>
    <w:p>
      <w:pPr>
        <w:pStyle w:val="Titre2"/>
      </w:pPr>
      <w:r>
        <w:rPr>
          <w:sz w:val="28"/>
        </w:rPr>
        <w:t>Tristan Alonge</w:t>
      </w:r>
    </w:p>
    <w:p>
      <w:pPr>
        <w:ind w:firstLine="283"/>
      </w:pPr>
      <w:r>
        <w:t>Par un paradoxe curieux, quelques mètres et quelques années à peine séparent la première représentation théâtrale de l’</w:t>
      </w:r>
      <w:r>
        <w:rPr>
          <w:i/>
        </w:rPr>
        <w:t>Iphigénie</w:t>
      </w:r>
      <w:r>
        <w:t xml:space="preserve"> racinienne dans les jardins de Versailles et la commande par Louis XIV d’un tableau pour orner le dessus de la cheminée du salon de Diane des Grands Appartements, réalisé en 1680 par Charles de la Fosse</w:t>
      </w:r>
      <w:r>
        <w:rPr>
          <w:rStyle w:val="Appelnotedebasdep"/>
        </w:rPr>
        <w:footnoteReference w:id="346"/>
      </w:r>
      <w:r>
        <w:t>. Pourtant, l’élève de Le Brun choisit de montrer précisément tout ce que Racine avait pris le soin de cacher aux spectateurs de 1674 : la montée à l’autel de la victime, son remplacement miraculeux par une biche ainsi que l’apparition sublime de Diane. Le dramaturge avait même consacré la quasi-totalité de sa préface à prendre les distances de cette image traditionnelle et légendaire d’un dénouement perçu comme trop peu bienséant, en raison du « meurtre horrible d’une personne aussi vertueuse », et trop peu vraisemblable, en raison du « secours d’une déesse et d’une machine, et par une métamorphose […] trop absurde et trop incroyable »</w:t>
      </w:r>
      <w:r>
        <w:rPr>
          <w:rStyle w:val="Appelnotedebasdep"/>
        </w:rPr>
        <w:footnoteReference w:id="347"/>
      </w:r>
      <w:r>
        <w:t>. Fréquemment interprété comme l’une des premières attestations de la défense des Anciens dans une querelle qui ne saurait tarder à éclater</w:t>
      </w:r>
      <w:r>
        <w:rPr>
          <w:rStyle w:val="Appelnotedebasdep"/>
        </w:rPr>
        <w:footnoteReference w:id="348"/>
      </w:r>
      <w:r>
        <w:t>, le paratexte racinien cache mal toute l’ambiguïté d’un poète qui s’érige en protecteur d’Euripide contre les « objections » de modernes ignorants alors même qu’il vient de revisiter le mythe de la plus infidèle et de la plus moderne des façons, la mauvaise fois d’un dramaturge qui revendique sa précision philologique contre la superficialité des auteurs d’</w:t>
      </w:r>
      <w:r>
        <w:rPr>
          <w:i/>
        </w:rPr>
        <w:t>Alceste</w:t>
      </w:r>
      <w:r>
        <w:t>, alors même qu’il affirme avoir trouvé chez les Anciens « cette autre Iphigénie », dont l’existence ne tient pourtant qu’à l’ambiguïté langagière des fallacieuses formulations raciniennes</w:t>
      </w:r>
      <w:r>
        <w:rPr>
          <w:rStyle w:val="Appelnotedebasdep"/>
        </w:rPr>
        <w:footnoteReference w:id="349"/>
      </w:r>
      <w:r>
        <w:t>.</w:t>
      </w:r>
    </w:p>
    <w:p>
      <w:pPr>
        <w:pStyle w:val="TEIbiblreference"/>
        <w:ind w:left="283" w:hanging="283"/>
      </w:pPr>
      <w:r>
        <w:t>Si, contrairement à son devancier Rotrou et à son rival Leclerc, Racine choisit de renoncer à toute mise en scène de la divinité et de modifier radicalement le dénouement traditionnel par l’invention d’</w:t>
      </w:r>
      <w:r>
        <w:rPr>
          <w:smallCaps/>
        </w:rPr>
        <w:t>É</w:t>
      </w:r>
      <w:r>
        <w:t xml:space="preserve">riphile, faut-il se contenter des explications avancées dans la préface, à savoir un souci de bienséance et de vraisemblance ? Ou cette modification du dénouement ne cache-elle pas, en réalité, une relecture bien plus profonde du mythe et l’identification d’une source nouvelle de tragique ? Pour y répondre, les pages qui suivent se proposent d’avoir recours à ce que l’imagerie médicale appelle des « produits de contraste » susceptibles de faire émerger le véritable « squelette » de la dramaturgie racinienne : il s’agira de faire ressortir toute l’originalité de la pièce de 1674 en la comparant avec ce qu’en ont fait ses deux </w:t>
      </w:r>
      <w:r>
        <w:t>premiers traducteurs d’outre-Manche, quelques années plus tard, Abel Boyer (</w:t>
      </w:r>
      <w:r>
        <w:rPr>
          <w:i/>
        </w:rPr>
        <w:t>Achilles, or Iphigenia in Aulis</w:t>
      </w:r>
      <w:r>
        <w:t>, 1699)</w:t>
      </w:r>
      <w:r>
        <w:rPr>
          <w:rStyle w:val="Appelnotedebasdep"/>
        </w:rPr>
        <w:footnoteReference w:id="350"/>
      </w:r>
      <w:r>
        <w:t xml:space="preserve"> et Charles Johnson (</w:t>
      </w:r>
      <w:r>
        <w:rPr>
          <w:i/>
        </w:rPr>
        <w:t>The Victim</w:t>
      </w:r>
      <w:r>
        <w:t>, 1714)</w:t>
      </w:r>
      <w:r>
        <w:rPr>
          <w:rStyle w:val="Appelnotedebasdep"/>
        </w:rPr>
        <w:footnoteReference w:id="351"/>
      </w:r>
      <w:r>
        <w:t>.</w:t>
      </w:r>
    </w:p>
    <w:p>
      <w:pPr>
        <w:ind w:firstLine="283"/>
      </w:pPr>
      <w:r>
        <w:rPr>
          <w:b/>
        </w:rPr>
        <w:t>I. Le sublime sur scène : une préférence anglaise pour le spectaculaire ?</w:t>
      </w:r>
      <w:r>
        <w:rPr>
          <w:b/>
          <w:smallCaps/>
        </w:rPr>
        <w:t xml:space="preserve"> </w:t>
      </w:r>
    </w:p>
    <w:p>
      <w:pPr>
        <w:ind w:firstLine="283"/>
      </w:pPr>
      <w:r>
        <w:t>Malgré l’éloignement évident qui sépare les statuts des deux premiers traducteurs d’</w:t>
      </w:r>
      <w:r>
        <w:rPr>
          <w:i/>
        </w:rPr>
        <w:t>Iphigénie</w:t>
      </w:r>
      <w:r>
        <w:t xml:space="preserve"> d’outre-Manche – Abel Boyer étant un réfugié protestant d’origine française</w:t>
      </w:r>
      <w:r>
        <w:rPr>
          <w:rStyle w:val="Appelnotedebasdep"/>
        </w:rPr>
        <w:footnoteReference w:id="352"/>
      </w:r>
      <w:r>
        <w:t xml:space="preserve"> aux premières armes en matière théâtrale, Charles Johnson un dramaturge affirmé qui venait de faire ses preuves dans une version anglaise d’</w:t>
      </w:r>
      <w:r>
        <w:rPr>
          <w:i/>
        </w:rPr>
        <w:t>Andromaque</w:t>
      </w:r>
      <w:r>
        <w:t xml:space="preserve"> –, les deux pièces semblent s’être croisées dans une histoire éditoriale intriquée. Si la critique a démontré de façon probante et depuis longtemps le recours très probable de Johnson au travail de son devancier</w:t>
      </w:r>
      <w:r>
        <w:rPr>
          <w:rStyle w:val="Appelnotedebasdep"/>
        </w:rPr>
        <w:footnoteReference w:id="353"/>
      </w:r>
      <w:r>
        <w:t>, l’accusation de plagiat véhiculée par les paratextes de la deuxième édition de Boyer semble excessive, et même dénuée de tout fondement à une comparaison systématique</w:t>
      </w:r>
      <w:r>
        <w:rPr>
          <w:rStyle w:val="Appelnotedebasdep"/>
        </w:rPr>
        <w:footnoteReference w:id="354"/>
      </w:r>
      <w:r>
        <w:t>. Certes, dans les deux cas la source principale, suivie presque vers à vers, est indéniablement la tragédie racinienne de 1674, néanmoins Johnson revendique un degré de liberté beaucoup plus important qui explique sans doute l’absence de toute allusion explicite à Racine dans ses paratextes, contrairement à Boyer</w:t>
      </w:r>
      <w:r>
        <w:rPr>
          <w:rStyle w:val="Appelnotedebasdep"/>
        </w:rPr>
        <w:footnoteReference w:id="355"/>
      </w:r>
      <w:r>
        <w:t>. S’il se contente de mettre sur un pied d’égalité la double inspiration qui lui vient d’Athènes et de Paris</w:t>
      </w:r>
      <w:r>
        <w:rPr>
          <w:rStyle w:val="Appelnotedebasdep"/>
        </w:rPr>
        <w:footnoteReference w:id="356"/>
      </w:r>
      <w:r>
        <w:t>, c’est qu’il a effectivement puisé quelques détails non négligeables chez Euripide. Alors que Boyer jusqu’à la fin de l’acte V – largement remaniée comme nous le verrons – reprend à l’identique la répartition en scènes et les rôles attribués à chaque personnage de l’hypotexte français</w:t>
      </w:r>
      <w:r>
        <w:rPr>
          <w:rStyle w:val="Appelnotedebasdep"/>
        </w:rPr>
        <w:footnoteReference w:id="357"/>
      </w:r>
      <w:r>
        <w:t>, Johnson renonce, dès les premiers vers, à une imitation fidèle de Racine, en excluant de la scène d’ouverture Agamemnon pour le remplacer par son serviteur Eurybates, et en assurant tout au long de la pièce le retour de Ménélas. Contrairement à ce qui était le cas chez Euripide, le mari d’Hélène se montre véritablement solidaire du frère, ce qui permet d’accroître le pathétique et fait émerger une sorte de solidarité humaine vis-à-vis d’un Agamemnon qui se retrouve moins seul, moins isolé, moins menacé, appuyé même par Ulysse</w:t>
      </w:r>
      <w:r>
        <w:rPr>
          <w:rStyle w:val="Appelnotedebasdep"/>
        </w:rPr>
        <w:footnoteReference w:id="358"/>
      </w:r>
      <w:r>
        <w:t xml:space="preserve"> : il en découle la création </w:t>
      </w:r>
      <w:r>
        <w:t xml:space="preserve">d’une opposition entre une communauté d’hommes désemparée mais solidaire, et des Dieux cruels et imperscrutables. </w:t>
      </w:r>
    </w:p>
    <w:p>
      <w:pPr>
        <w:ind w:firstLine="283"/>
      </w:pPr>
      <w:r>
        <w:t>À ces différences près, la traduction de Boyer et celle plus tardive de Johnson s’inscrivent pourtant pleinement dans les grandes tendances qui caractérisent l’ensemble des versions anglaises de Racine entre la fin du XVII</w:t>
      </w:r>
      <w:r>
        <w:rPr>
          <w:vertAlign w:val="superscript"/>
        </w:rPr>
        <w:t>e</w:t>
      </w:r>
      <w:r>
        <w:t xml:space="preserve"> siècle et le début du XVIII</w:t>
      </w:r>
      <w:r>
        <w:rPr>
          <w:vertAlign w:val="superscript"/>
        </w:rPr>
        <w:t>e</w:t>
      </w:r>
      <w:r>
        <w:t xml:space="preserve"> siècle, et qui ont pour objectif commun celui d’adapter aux exigences d’un public londonien des œuvres conçues pour des spectateurs parisiens rompus à une tradition théâtrale bien différente. Ces tendances peuvent se résumer synthétiquement à trois mouvements qui visent à introduire une plus grande spectacularité scénique : moins de soliloques, moins de psychologie et moins de récits.</w:t>
      </w:r>
    </w:p>
    <w:p>
      <w:pPr>
        <w:ind w:firstLine="283"/>
      </w:pPr>
      <w:r>
        <w:t xml:space="preserve">Si les deux traductions ressemblent très souvent à de virtuoses tentatives de restituer non seulement les scènes et le sens de l’original, mais de frôler une restitution mot à mot, ou </w:t>
      </w:r>
      <w:r>
        <w:rPr>
          <w:i/>
        </w:rPr>
        <w:t>a minima</w:t>
      </w:r>
      <w:r>
        <w:t xml:space="preserve"> vers à vers, un écart systématique s’impose lorsque l’hypotexte français propose de longues tirades individuelles de la part d’un personnage en présence d’un confident qui reste silencieux et à l’écoute. Les deux exemples les plus marquants se situent au tout début de la pièce lorsqu’Agamemnon s’élance dans une explication détaillée, de 58 vers, des origines de son drame intérieur face à Arcas ; puis au début de l’acte IV, lorsqu’Ériphile exprime, pendant 37 vers, toutes ses craintes et sa jalousie vis-à-vis de la rivale. Dans le premier exemple, entre les deux sections de la longue tirade d’un père hésitant, Boyer fait intervenir Arcas pour demander si Achille a été informé du sacrifice</w:t>
      </w:r>
      <w:r>
        <w:rPr>
          <w:rStyle w:val="Appelnotedebasdep"/>
        </w:rPr>
        <w:footnoteReference w:id="359"/>
      </w:r>
      <w:r>
        <w:t xml:space="preserve"> : l’interruption permet à la fois de faciliter la transition d’un argument à l’autre d’Agamemnon et d’introduire une alternance dialogique. L’animation verbale devient encore plus mouvementée chez Johnson qui profite de la coprésence en scène des deux serviteurs pour organiser une véritable stichomythie entre Arcas, Eurybates et Agamemnon. Dans le deuxième exemple, tiré de l’acte IV, les doutes et les hésitations d’Ériphile, incertaine quant au destin d’Iphigénie, donnent vie à des interventions ponctuelles de Doris qui rendent l’échange plus dynamique. C’est ainsi que chez Boyer, Doris intervient pour consoler sa maîtresse</w:t>
      </w:r>
      <w:r>
        <w:rPr>
          <w:rStyle w:val="Appelnotedebasdep"/>
        </w:rPr>
        <w:footnoteReference w:id="360"/>
      </w:r>
      <w:r>
        <w:t xml:space="preserve"> ou pour lui permettre d’expliciter sa situation</w:t>
      </w:r>
      <w:r>
        <w:rPr>
          <w:rStyle w:val="Appelnotedebasdep"/>
        </w:rPr>
        <w:footnoteReference w:id="361"/>
      </w:r>
      <w:r>
        <w:t>; et c’est ainsi que chez Johnson les questions rhétoriques posées par la fille d’Hélène se transforment en répliques naïves de sa confidente</w:t>
      </w:r>
      <w:r>
        <w:rPr>
          <w:rStyle w:val="Appelnotedebasdep"/>
        </w:rPr>
        <w:footnoteReference w:id="362"/>
      </w:r>
      <w:r>
        <w:t>. Dans une logique similaire, Johnson renonce totalement à la scène 2 de l’acte IV de Racine, qui était une scène de confidence entre Clytemnestre et Ægine, qui ne faisait pas véritablement avancer l’action mais qui permettait un meilleur respect des règles des entrées et des sorties de scène. Tout cela a dû paraître superflu au traducteur anglais.</w:t>
      </w:r>
    </w:p>
    <w:p>
      <w:pPr>
        <w:ind w:firstLine="283"/>
      </w:pPr>
      <w:r>
        <w:t xml:space="preserve">Ce premier mouvement n’a rien de particulier à </w:t>
      </w:r>
      <w:r>
        <w:rPr>
          <w:i/>
        </w:rPr>
        <w:t>Iphigénie</w:t>
      </w:r>
      <w:r>
        <w:t xml:space="preserve"> et s’étend à l’ensemble des adaptations anglaises de Racine, tout comme le deuxième, qui se traduit par une méfiance systématique vis-à-vis de ce qui est perçu par les dramaturges britanniques comme un excès de psychologie</w:t>
      </w:r>
      <w:r>
        <w:rPr>
          <w:rStyle w:val="Appelnotedebasdep"/>
        </w:rPr>
        <w:footnoteReference w:id="363"/>
      </w:r>
      <w:r>
        <w:t xml:space="preserve">. Ce n’est donc pas un hasard si les personnages </w:t>
      </w:r>
      <w:r>
        <w:t>les plus revisités par Boyer et Johnson sont précisément Iphigénie et Ériphile, qui, par leur relation ambiguë et spéculaire, constituaient les portraits les plus complexes de la pièce française</w:t>
      </w:r>
      <w:r>
        <w:rPr>
          <w:rStyle w:val="Appelnotedebasdep"/>
        </w:rPr>
        <w:footnoteReference w:id="364"/>
      </w:r>
      <w:r>
        <w:t>. Tout en conservant l’essentiel des deux visages raciniens, Boyer ne renonce pas à quelques suppressions de vers, qui participent à gommer la réciprocité et la proximité entre les deux figures : à la scène 5 de l’acte II, au moment d’apprendre la prétendue trahison de son amie, la fille d’Agamemnon reconnaissait qu’elle avait tout fait pour ignorer une rivalité pourtant évidente depuis toujours ; dans la version anglaise, elle n’a tout simplement rien vu venir, elle a été lâchement trompée</w:t>
      </w:r>
      <w:r>
        <w:rPr>
          <w:rStyle w:val="Appelnotedebasdep"/>
        </w:rPr>
        <w:footnoteReference w:id="365"/>
      </w:r>
      <w:r>
        <w:t xml:space="preserve">. De même à la fin de l’acte II, l’Ériphile anglaise perd également en complexité psychologique, en renonçant à l’idée d’associer son </w:t>
      </w:r>
      <w:r>
        <w:rPr>
          <w:i/>
        </w:rPr>
        <w:t>alter ego</w:t>
      </w:r>
      <w:r>
        <w:t xml:space="preserve"> à ses propres larmes, pour se contenter d’une plus banale déclaration de guerre</w:t>
      </w:r>
      <w:r>
        <w:rPr>
          <w:rStyle w:val="Appelnotedebasdep"/>
        </w:rPr>
        <w:footnoteReference w:id="366"/>
      </w:r>
      <w:r>
        <w:t>. Dans une configuration qui est donc celle d’une opposition plus ouverte et plus stéréotypée entre deux rivales, il n’est donc pas surprenant que Boyer décide, à la fin de la pièce, de renoncer à l’image finale d’une Iphigénie qui « seule […] / […] pleure son Ennemi ». Johnson n’a fait que développer ultérieurement la tendance initiée par Boyer, en explicitant encore davantage l’affrontement entre les deux femmes. Sa jalousie, qui restait partiellement cachée dans l’hypotexte français, se montre sur scène, soit dans le dialogue avec sa confidente, comme le témoigne l’ajout de quelques vers agressifs et vengeurs à la fin de l’acte II</w:t>
      </w:r>
      <w:r>
        <w:rPr>
          <w:rStyle w:val="Appelnotedebasdep"/>
        </w:rPr>
        <w:footnoteReference w:id="367"/>
      </w:r>
      <w:r>
        <w:t>, soit sous la forme d’</w:t>
      </w:r>
      <w:r>
        <w:rPr>
          <w:i/>
        </w:rPr>
        <w:t>a parte</w:t>
      </w:r>
      <w:r>
        <w:t xml:space="preserve"> introduits par Johnson à l’acte III, au moment de l’annonce par Arcas du sacrifice imminent d’Iphigénie, afin d’expliciter aux spectateurs la réaction joyeuse de la rivale</w:t>
      </w:r>
      <w:r>
        <w:rPr>
          <w:rStyle w:val="Appelnotedebasdep"/>
        </w:rPr>
        <w:footnoteReference w:id="368"/>
      </w:r>
      <w:r>
        <w:t xml:space="preserve">. De la même façon, à la scène immédiatement précédente, la quatrième de l’acte III, l’Iphigénie racinienne demandait hypocritement à Achille la libération d’Ériphile avant le mariage, sans expliciter son désir de l’éloigner de l’autel et du couple, et la rivale jouait silencieusement le jeu ; chez Johnson, Ériphile ne peut, en revanche, s’empêcher, en </w:t>
      </w:r>
      <w:r>
        <w:rPr>
          <w:i/>
        </w:rPr>
        <w:t>a parte</w:t>
      </w:r>
      <w:r>
        <w:t>, de démasquer la vraie finalité de la demande d’Iphigénie</w:t>
      </w:r>
      <w:r>
        <w:rPr>
          <w:rStyle w:val="Appelnotedebasdep"/>
        </w:rPr>
        <w:footnoteReference w:id="369"/>
      </w:r>
      <w:r>
        <w:t xml:space="preserve">. D’autre part, la fille de Clytemnestre se montre elle aussi moins complexe et plus directe dans sa relation à Ériphile : après son entrevue avec Agamemnon, à l’acte II, elle témoignait une certaine fébrilité chez Racine, elle pressentait déjà un mauvais tour du destin affichant ainsi son inquiétude, alors que dans la version anglaise elle se contente de prier les Dieux pour son père souffrant sans s’attarder sur son propre état psychologique. Alors que la suite du dialogue avec Ériphile ne faisait que renforcer l’image d’une princesse fragile et préoccupée par l’absence d’Achille, elle apparaît bien plus sûre d’elle et des sentiments de son futur époux chez Johnson, suscitant l’énième manifestation de jalousie, en </w:t>
      </w:r>
      <w:r>
        <w:rPr>
          <w:i/>
        </w:rPr>
        <w:t>a parte</w:t>
      </w:r>
      <w:r>
        <w:t xml:space="preserve">, de la part de la fille d’Hélène. Si Racine jouait sur le registre de l’ambiguïté en laissant Clytemnestre sous-entendre l’existence d’une relation entre </w:t>
      </w:r>
      <w:r>
        <w:t>Ériphile et Achille, et permettant ainsi à la rivale d’Iphigénie de se montrer naïvement surprise, Johnson choisit de faire lire sur scène la lettre que portait Arcas et dans laquelle l’accusation était manifeste. Il en découle un affrontement qui n’a plus rien des non-dits de l’original et qui gagne en pathétique par la mise en scène d’une confrontation directe entre les deux jeunes femmes. La jalousie envahit donc la pièce et aboutit à une modification significative du début de l’acte IV : le plan de vengeance d’Ériphile, consistant à révéler la tentative de fuite de la rivale, passe du conditionnel au futur. Plus aucune trace de l’ambiguïté suicidaire du personnage racinien, de ses hésitations, de son identification au moins partielle à la rivale : l’Ériphile anglaise déteste avec tout son cœur et tentera de remporter la partie sans états d’âme, et surtout loin de la complexité psychologique qui hantait l’hypotexte français.</w:t>
      </w:r>
    </w:p>
    <w:p>
      <w:pPr>
        <w:ind w:firstLine="283"/>
      </w:pPr>
      <w:r>
        <w:t>Le troisième mouvement à l’œuvre dans les deux adaptations anglaises d’</w:t>
      </w:r>
      <w:r>
        <w:rPr>
          <w:i/>
        </w:rPr>
        <w:t>Iphigénie</w:t>
      </w:r>
      <w:r>
        <w:t xml:space="preserve"> – le remplacement de récits rapportés par une représentation visuelle – constitue l’écart le plus flagrant par rapport au texte racinien, comme fréquemment souligné par la critique</w:t>
      </w:r>
      <w:r>
        <w:rPr>
          <w:rStyle w:val="Appelnotedebasdep"/>
        </w:rPr>
        <w:footnoteReference w:id="370"/>
      </w:r>
      <w:r>
        <w:t>, sans pour autant qu’il s’agisse d’un cas isolé : il suffit pour s’en convaincre de penser au dénouement des versions d’</w:t>
      </w:r>
      <w:r>
        <w:rPr>
          <w:i/>
        </w:rPr>
        <w:t>Andromaque</w:t>
      </w:r>
      <w:r>
        <w:t xml:space="preserve"> de Crowne et Ambrose Philips, ou du </w:t>
      </w:r>
      <w:r>
        <w:rPr>
          <w:i/>
        </w:rPr>
        <w:t>Titus and Berenice</w:t>
      </w:r>
      <w:r>
        <w:t xml:space="preserve"> d’Otway. Si les quatre premiers actes ne manquent pas totalement de démarches de ce type à petite échelle</w:t>
      </w:r>
      <w:r>
        <w:rPr>
          <w:rStyle w:val="Appelnotedebasdep"/>
        </w:rPr>
        <w:footnoteReference w:id="371"/>
      </w:r>
      <w:r>
        <w:t>, c’est véritablement le récit du sacrifice final qui semble avoir encouragé la créativité des deux traducteurs. Dans les deux cas les séquences conclusives de la pièce racinienne sont amenées devant les spectateurs avec rupture de l’unité de lieu : l’arrivée à l’autel de la victime, le début de la cérémonie, l’irruption des troupes d’Achille, la révélation de Calchas qui amène à sacrifier Ériphile au lieu d’Iphigénie. Preuve ultérieure d’une probable influence de Boyer sur Johnson, dans les deux cas cette scène s’ouvre avec une partie chorale chantée qui introduit le spectateur au sacrifice imminent, mais surtout dans les deux cas la révélation de Calchas s’accompagne de prodiges divins, des éclats de tonnerre et d’un feu soudain à l’autel ; Boyer précise même, à la mort d’Ériphile, que le théâtre s’ouvre pour laisser entrevoir un ciel pendant que la déesse Diane traverse la scène à l’aide d’une machine. L’influence évidente de l’opéra a visiblement laissé une trace et bouleversé le dénouement qu’avait prévu Racine, assurant ainsi au public londonien la dimension spectaculaire qu’il affectionnait.</w:t>
      </w:r>
    </w:p>
    <w:p>
      <w:pPr>
        <w:ind w:firstLine="283"/>
      </w:pPr>
      <w:r>
        <w:t>Si les deux traductions de Boyer et Johnson semblent donc s’inscrire dans les grandes tendances communes à toutes les traductions de Racine d’outre-Manche, faut-il pour autant se contenter d’y voir des versions plutôt fidèles, à peine teintées de quelques modifications aptes à complaire un public friand de plus d’action et plus de spectaculaire ? Les deux dramaturges se seraient-ils contentés de relâcher des règles perçues comme trop rigoureuses en termes de vraisemblance et d’unité de lieu, sans pour autant ne rien perdre de l’hypotexte ? Ou ce retour spectaculaire du surnaturel sur scène dans les deux dénouements cache mal une relecture bien plus radicale du mythe, et notamment de la place de l’homme par rapport à la divinité ?</w:t>
      </w:r>
    </w:p>
    <w:p>
      <w:pPr>
        <w:ind w:firstLine="283"/>
      </w:pPr>
      <w:r>
        <w:rPr>
          <w:b/>
        </w:rPr>
        <w:t>II. La main de Dieu ou celle de Calchas ?</w:t>
      </w:r>
    </w:p>
    <w:p>
      <w:pPr>
        <w:ind w:firstLine="283"/>
      </w:pPr>
      <w:r>
        <w:rPr>
          <w:i/>
        </w:rPr>
        <w:t>Iphigénie</w:t>
      </w:r>
      <w:r>
        <w:t xml:space="preserve"> n’est peut-être pas « la plus séculière des tragédies de Racine », comme le voudrait Roland Barthes</w:t>
      </w:r>
      <w:r>
        <w:rPr>
          <w:rStyle w:val="Appelnotedebasdep"/>
        </w:rPr>
        <w:footnoteReference w:id="372"/>
      </w:r>
      <w:r>
        <w:t xml:space="preserve">, elle se distingue, pour autant, de la plupart des adaptations contemporaines de la légende par le choix de reléguer le divin aux marges de la pièce, ou en tout cas d’en affaiblir la portée par une cléricalisation systématique : il en découle la possibilité d’expliquer la totalité de l’avancement de l’action par les rumeurs des hommes plus que par la voix des Dieux, avec pour seule exception peut-être le retour des vents dans les derniers vers. Pour le reste, l’ensemble de la pièce peut être lue </w:t>
      </w:r>
      <w:r>
        <w:rPr>
          <w:i/>
        </w:rPr>
        <w:t>etsi Deus non daretur</w:t>
      </w:r>
      <w:r>
        <w:t>, car la parole des Dieux se superpose systématiquement à celle d’un « ecclésiastique habile »</w:t>
      </w:r>
      <w:r>
        <w:rPr>
          <w:rStyle w:val="Appelnotedebasdep"/>
        </w:rPr>
        <w:footnoteReference w:id="373"/>
      </w:r>
      <w:r>
        <w:t>, Calchas, instrumentalisant les Cieux et les oracles afin d’assurer la réalisation d’un projet politique. Non seulement aucun Dieu n’apparaît jamais sur scène, surtout toute référence aux rares événements surnaturels est accompagnée de périphrases qui permettent d’en douter, comme l’atteste le scepticisme qui accompagne le récit de la descente de Diane par le « soldat étonné »</w:t>
      </w:r>
      <w:r>
        <w:rPr>
          <w:rStyle w:val="Appelnotedebasdep"/>
        </w:rPr>
        <w:footnoteReference w:id="374"/>
      </w:r>
      <w:r>
        <w:t>. La démarche racinienne n’a rien de surprenant lorsqu’on s’attarde sur sa source principale, l’</w:t>
      </w:r>
      <w:r>
        <w:rPr>
          <w:i/>
        </w:rPr>
        <w:t xml:space="preserve">Iphigénie en Aulis </w:t>
      </w:r>
      <w:r>
        <w:t xml:space="preserve">d’Euripide, tragédie qui, dans la version qui nous est parvenue, avait déjà accompli l’essentiel du parcours de sécularisation de la légende, en se privant de tout prologue divin et de tout </w:t>
      </w:r>
      <w:r>
        <w:rPr>
          <w:i/>
        </w:rPr>
        <w:t>Deus ex machina</w:t>
      </w:r>
      <w:r>
        <w:t xml:space="preserve"> conclusif, en renonçant – comme le fera Racine – à toute explication pour le sacrifice exigé par la déesse, et en mettant ouvertement en avant la pression politique exercée par une armée prise de folie et prête à destituer Agamemnon. Tout en s’inspirant d’Euripide, Racine va plus loin dans la sécularisation, principalement par deux biais : la centralité attribuée au rôle d’intermédiaire de Calchas, ainsi que l’invention du personnage d’Ériphile, dont l’histoire permet – comme le rappelle la Préface – un « dénouement tiré du fond même de la pièce ». Par de petites retouches, c’est précisément sur ces deux aspects que se concentre le travail de réécriture des deux dramaturges d’outre-Manche. </w:t>
      </w:r>
    </w:p>
    <w:p>
      <w:pPr>
        <w:ind w:firstLine="283"/>
      </w:pPr>
      <w:r>
        <w:t>Chez Boyer, l’acte I est particulièrement riche en modifications apportées au rôle de Calchas. Lors de leur premier entretien chez Racine, Ulysse rappelle à Agamemnon qu’il a tout intérêt à livrer sa fille, car d’un moment à l’autre le prêtre pourrait cesser de se taire (v. 290), laissant ainsi deviner un climat de chantage politique qui traverse le camp. Dans la version anglaise de 1699, l’allusion a disparu et le roi d’Ithaque se contente d’évoquer le fait que Calchas pourrait accuser la faiblesse du père d’Iphigénie</w:t>
      </w:r>
      <w:r>
        <w:rPr>
          <w:rStyle w:val="Appelnotedebasdep"/>
        </w:rPr>
        <w:footnoteReference w:id="375"/>
      </w:r>
      <w:r>
        <w:t>, ce qui éloigne l’idée de complot que Racine sous-entendait. Deux scènes plus tard, l’Ulysse de Racine réclamait une nouvelle fois la victime, en précisant que Calchas est au courant de son arrivée dans le camp, qu’il l’exige. Dans la version anglaise, le rôle de Calchas est minoré, il n’est plus ouvertement au courant, ce n’est d’ailleurs pas à lui que les Dieux ont amené la victime</w:t>
      </w:r>
      <w:r>
        <w:rPr>
          <w:rStyle w:val="Appelnotedebasdep"/>
        </w:rPr>
        <w:footnoteReference w:id="376"/>
      </w:r>
      <w:r>
        <w:t xml:space="preserve">. Moins central, Calchas </w:t>
      </w:r>
      <w:r>
        <w:t>devient aussi moins contestable dans son rôle de médiateur entre le Ciel et la Terre chez Boyer : à l’acte III, loin d’insister sur la véridicité douteuse de l’oracle du prêtre, le traducteur véhicule l’image d’une parfaite superposition avec la parole des Dieux</w:t>
      </w:r>
      <w:r>
        <w:rPr>
          <w:rStyle w:val="Appelnotedebasdep"/>
        </w:rPr>
        <w:footnoteReference w:id="377"/>
      </w:r>
      <w:r>
        <w:t>. Johnson reprend cette idée d’une minoration systématique du rôle politique de Calchas, dès la deuxième scène de la pièce : lorsqu’il confie à Arcas la mission d’aller intercepter l’arrivée de Clytemnestre, Agamemnon ne s’étend plus sur les risques politiques associés à l’entrée d’Iphigénie dans le camp, il ne s’attarde plus sur l’éventualité d’une révolte guidée par Calchas; il ne s’agit plus de la sauver de l’ambition et des hommes, mais tout simplement de la sauver des Dieux, du Destin inexorable</w:t>
      </w:r>
      <w:r>
        <w:rPr>
          <w:rStyle w:val="Appelnotedebasdep"/>
        </w:rPr>
        <w:footnoteReference w:id="378"/>
      </w:r>
      <w:r>
        <w:t>. Il en va de même deux scènes plus loin dans le long discours d’Ulysse à Agamemnon : Johnson supprime toute allusion au pacte politique des prétendants, et il réduit à presque rien les allusions aux pouvoirs de nuisance de Calchas</w:t>
      </w:r>
      <w:r>
        <w:rPr>
          <w:rStyle w:val="Appelnotedebasdep"/>
        </w:rPr>
        <w:footnoteReference w:id="379"/>
      </w:r>
      <w:r>
        <w:t>, plus que ne l’avait fait Boyer avant lui. La minoration du rôle du prêtre s’accompagne mécaniquement d’une minoration de la dimension politique : à l’acte IV, lorsqu’Agamemnon convainc sa fille du bien-fondé de son sacrifice, il ne mentionne plus du tout le danger d’une révolte armée des soldats, se contentant d’en appeler à la volonté du Ciel</w:t>
      </w:r>
      <w:r>
        <w:rPr>
          <w:rStyle w:val="Appelnotedebasdep"/>
        </w:rPr>
        <w:footnoteReference w:id="380"/>
      </w:r>
      <w:r>
        <w:t>. De façon similaire, deux scènes plus loin, toute allusion au rôle politique d’Achille, qui avait fait élire Agamemnon comme roi par l’ensemble des Grecs réunis, disparaît dans la traduction anglaise</w:t>
      </w:r>
      <w:r>
        <w:rPr>
          <w:rStyle w:val="Appelnotedebasdep"/>
        </w:rPr>
        <w:footnoteReference w:id="381"/>
      </w:r>
      <w:r>
        <w:t>.</w:t>
      </w:r>
    </w:p>
    <w:p>
      <w:pPr>
        <w:ind w:firstLine="283"/>
      </w:pPr>
      <w:r>
        <w:t>L’affaiblissement du rôle de Calchas et du politique en général s’accompagne d’une réduction importante des détails concernant Ériphile, c’est-à-dire la principale innovation racinienne qui permettait une explication totalement humaine du dénouement. Si Boyer se montre plus fidèle à Racine, se contentant de passer sous silence le rôle actif de la mère d’Ériphile dans l’effacement de son identité</w:t>
      </w:r>
      <w:r>
        <w:rPr>
          <w:rStyle w:val="Appelnotedebasdep"/>
        </w:rPr>
        <w:footnoteReference w:id="382"/>
      </w:r>
      <w:r>
        <w:t>, il en va différemment chez Johnson. À l’acte II déjà, les allusions de Racine au fait que le vrai nom de la princesse fut changé dès l’enfance</w:t>
      </w:r>
      <w:r>
        <w:rPr>
          <w:rStyle w:val="Appelnotedebasdep"/>
        </w:rPr>
        <w:footnoteReference w:id="383"/>
      </w:r>
      <w:r>
        <w:t xml:space="preserve"> et au fait qu’elle s’est donc rendue en Aulide pour retrouver sa vraie identité</w:t>
      </w:r>
      <w:r>
        <w:rPr>
          <w:rStyle w:val="Appelnotedebasdep"/>
        </w:rPr>
        <w:footnoteReference w:id="384"/>
      </w:r>
      <w:r>
        <w:t>, sont supprimées dans la traduction anglaise, rendant ainsi plus complexe l’aboutissement d’une enquête toute humaine de la part de Calchas au dénouement.</w:t>
      </w:r>
    </w:p>
    <w:p>
      <w:pPr>
        <w:ind w:firstLine="283"/>
      </w:pPr>
      <w:r>
        <w:t>En parallèle de l’effacement d’une explication humaine du dénouement, les deux traducteurs multiplient les allusions à une présence divine, notamment lorsque le texte racinien se contentait d’évoquer Calchas comme ambassadeur et interprète du Ciel. Cette tendance à superposer ou remplacer Calchas par les Dieux eux-mêmes est particulièrement forte dans la version de Boyer, qui dès la première scène précise que l’arrivée d’Iphigénie dans le camp pourrait pousser les Dieux et Calchas à exiger leur victime, alors que chez Racine c’est le prêtre qui faisait parler les Dieux</w:t>
      </w:r>
      <w:r>
        <w:rPr>
          <w:rStyle w:val="Appelnotedebasdep"/>
        </w:rPr>
        <w:footnoteReference w:id="385"/>
      </w:r>
      <w:r>
        <w:t xml:space="preserve">. Juste après, </w:t>
      </w:r>
      <w:r>
        <w:t>la traduction anglaise précise que la jeune princesse doit être sauvée des Dieux et de l’ambition de son père, alors que l’hypotexte français ne mentionnait aucunement le Ciel</w:t>
      </w:r>
      <w:r>
        <w:rPr>
          <w:rStyle w:val="Appelnotedebasdep"/>
        </w:rPr>
        <w:footnoteReference w:id="386"/>
      </w:r>
      <w:r>
        <w:t>. À l’acte III, alors que l’Arcas racinien insistait sur la centralité d’un Calchas qui fait parler l’oracle et refuse toute autre victime, chez Boyer le prêtre et son oracle, et donc le Ciel, deviennent tout deux sujets de verbes qui passent au pluriel, en renforçant l’idée d’une superposition entre les deux</w:t>
      </w:r>
      <w:r>
        <w:rPr>
          <w:rStyle w:val="Appelnotedebasdep"/>
        </w:rPr>
        <w:footnoteReference w:id="387"/>
      </w:r>
      <w:r>
        <w:t>. À l’acte suivant, Iphigénie ne fera que s’inscrire dans cette longue liste de décalages imperceptibles censés véhiculer l’idée d’un retour en force des Dieux : au moment de déclarer son obéissance au père, ce n’est plus au fer de Calchas qu’elle promet de tendre sa tête, mais en obéissance d’un décret divin sans aucune précision quant au rôle du prêtre</w:t>
      </w:r>
      <w:r>
        <w:rPr>
          <w:rStyle w:val="Appelnotedebasdep"/>
        </w:rPr>
        <w:footnoteReference w:id="388"/>
      </w:r>
      <w:r>
        <w:t>. Plus présents, les Dieux sont également présentés sous une meilleure lumière dans les deux traductions. Chez Boyer, à l’acte II, lorsqu’Agamemnon répond aux questions de sa fille, il ne fait plus mention de l’injustice du Ciel, comme cela était le cas chez Racine</w:t>
      </w:r>
      <w:r>
        <w:rPr>
          <w:rStyle w:val="Appelnotedebasdep"/>
        </w:rPr>
        <w:footnoteReference w:id="389"/>
      </w:r>
      <w:r>
        <w:t>. Chez Johnson, la première réaction de surprise et de contestation des Dieux au moment d’apprendre le sacrifice inévitable de la fille a tout simplement été supprimée</w:t>
      </w:r>
      <w:r>
        <w:rPr>
          <w:rStyle w:val="Appelnotedebasdep"/>
        </w:rPr>
        <w:footnoteReference w:id="390"/>
      </w:r>
      <w:r>
        <w:t>. De même, Iphigénie, à l’acte V, ne se contente plus d’exiger de sa mère qu’elle laisse les Grecs « achever leur Ouvrage », elle précise qu’il s’agit d’un « ouvrage pieux »</w:t>
      </w:r>
      <w:r>
        <w:rPr>
          <w:rStyle w:val="Appelnotedebasdep"/>
        </w:rPr>
        <w:footnoteReference w:id="391"/>
      </w:r>
      <w:r>
        <w:t>. Si la tragédie racinienne se terminait sur l’image de tractations très humaines et très politiques, entre Achille, Agamemnon et Clytemnestre, la justice et la bonté divines s’imposent comme les thèmes centraux à la fin des deux traductions anglaises. Boyer choisit de laisser le mot de la fin à Calchas, qui résume la morale de l’histoire à travers une louange explicite de la grandeur et de la justice du Ciel</w:t>
      </w:r>
      <w:r>
        <w:rPr>
          <w:rStyle w:val="Appelnotedebasdep"/>
        </w:rPr>
        <w:footnoteReference w:id="392"/>
      </w:r>
      <w:r>
        <w:t>; Johnson fait de même en attribuant la réplique finale à Agamemnon, qui célèbre l’importance d’obéir aux Dieux</w:t>
      </w:r>
      <w:r>
        <w:rPr>
          <w:rStyle w:val="Appelnotedebasdep"/>
        </w:rPr>
        <w:footnoteReference w:id="393"/>
      </w:r>
      <w:r>
        <w:t>.</w:t>
      </w:r>
    </w:p>
    <w:p>
      <w:pPr>
        <w:ind w:firstLine="283"/>
      </w:pPr>
      <w:r>
        <w:t>Cette insistance sur l’importance et la bonté des Dieux a pour corollaire un infléchissement partiel de l’attitude d’Agamemnon, qui devient moins hésitant, moins méfiant et plus passif par rapport à un destin qui s’impose à lui. À l’acte I chez Boyer, à l’annonce de l’arrivée imminente d’Iphigénie dans le camp, le roi n’avoue plus qu’il a tenté en vain de s’opposer au Ciel, il évoque l’impossibilité future de le faire, ce qui véhicule l’image d’un homme bien plus obéissant</w:t>
      </w:r>
      <w:r>
        <w:rPr>
          <w:rStyle w:val="Appelnotedebasdep"/>
        </w:rPr>
        <w:footnoteReference w:id="394"/>
      </w:r>
      <w:r>
        <w:t>. De façon significative ce même acte se termine par une réplique inventée d’Ulysse, qui rappelle la primauté de la volonté des Dieux sur celle des hommes</w:t>
      </w:r>
      <w:r>
        <w:rPr>
          <w:rStyle w:val="Appelnotedebasdep"/>
        </w:rPr>
        <w:footnoteReference w:id="395"/>
      </w:r>
      <w:r>
        <w:t xml:space="preserve">. Johnson va encore plus loin en réécrivant le récit des hésitations passées d’Agamemnon, à l’acte I, de sorte à gommer l’impression que le roi avait clairement choisi en faveur d’Iphigénie avant qu’Ulysse ne lui fasse changer d’avis. Dans la traduction anglaise, l’intervention du père de Télémaque n’a pas permis un retournement, mais a juste fait plier la balance en faveur </w:t>
      </w:r>
      <w:r>
        <w:t>du devoir, avec l’appui des Dieux d’ailleurs, ce que le texte racinien ne précisait pas</w:t>
      </w:r>
      <w:r>
        <w:rPr>
          <w:rStyle w:val="Appelnotedebasdep"/>
        </w:rPr>
        <w:footnoteReference w:id="396"/>
      </w:r>
      <w:r>
        <w:t>. Si le texte français, à la fin de l’échange avec Ulysse, laissait planer le doute sur les réelles intentions d’Agamemnon, prêt à se soumettre au Destin si sa fille entre dans le camp, mais tout aussi prêt à y voir un signe des Dieux si elle ne se présente pas, le texte anglais fait l’impasse sur la deuxième possibilité</w:t>
      </w:r>
      <w:r>
        <w:rPr>
          <w:rStyle w:val="Appelnotedebasdep"/>
        </w:rPr>
        <w:footnoteReference w:id="397"/>
      </w:r>
      <w:r>
        <w:t>. Ce n’est donc pas un hasard si l’acte I se termine avec l’ajout d’une métaphore évoquant la désillusion d’un fleuriste qui plante des fleurs dans l’espoir de les voir croître après l’hiver et qui se trouve soudainement confronté à un fléau qui emporte tout</w:t>
      </w:r>
      <w:r>
        <w:rPr>
          <w:rStyle w:val="Appelnotedebasdep"/>
        </w:rPr>
        <w:footnoteReference w:id="398"/>
      </w:r>
      <w:r>
        <w:t xml:space="preserve"> : Johnson encourage une soumission totale et sans espoir à un destin cruel. La même obéissance d’Agamemnon aux Dieux se retrouve à l’acte IV, d’abord face à Clytemnestre qui dans la version anglaise n’évoque plus l’ambition du mari comme cause réelle de sa décision, et à laquelle le roi reproche de vouloir s’opposer à la volonté des Dieux</w:t>
      </w:r>
      <w:r>
        <w:rPr>
          <w:rStyle w:val="Appelnotedebasdep"/>
        </w:rPr>
        <w:footnoteReference w:id="399"/>
      </w:r>
      <w:r>
        <w:t>; puis, dans la scène inventée de confrontation avec Ménélas, lorsque le roi ose douter de la fiabilité des prêtres mais finit par supplier Jupiter à genoux. Si l’Agamemnon de Johnson hésite moins, c’est que l’événement fondateur – l’oracle de Calchas – a perdu l’ambiguïté de l’original : il ne peut plus être question d’un complot des hommes et des prêtres, puisque le récit a été revisité de sorte à introduire des signes divins (flamme sur l’autel et tremblement de terre) qui désignent clairement Agamemnon comme responsable</w:t>
      </w:r>
      <w:r>
        <w:rPr>
          <w:rStyle w:val="Appelnotedebasdep"/>
        </w:rPr>
        <w:footnoteReference w:id="400"/>
      </w:r>
      <w:r>
        <w:t>.</w:t>
      </w:r>
    </w:p>
    <w:p>
      <w:pPr>
        <w:ind w:firstLine="283"/>
      </w:pPr>
      <w:r>
        <w:t xml:space="preserve">Toutes ces modifications apportées par les traducteurs dans le traitement du rapport entre hommes et Dieux ne servent finalement qu’à mieux préparer la nouveauté la plus incontestable – et pourtant ignorée par la critique – de leurs dénouements respectifs : les signes divins et surnaturels n’interviennent pas uniquement après la mort d’Ériphile, avec le retour des vents, ils précèdent et influencent de façon décisive le coup de théâtre de Calchas. En effet, alors que chez Racine rien de surnaturel n’expliquait la décision du prêtre, qui s’avançait « l’œil farouche, l’air sombre et le poil hérissé » et désignait la nouvelle victime en empruntant la voix du Ciel, chez Boyer et chez Johnson, Calchas décide de reconsulter l’oracle non pas </w:t>
      </w:r>
      <w:r>
        <w:rPr>
          <w:i/>
        </w:rPr>
        <w:t>sua sponte</w:t>
      </w:r>
      <w:r>
        <w:t>, mais poussé par des présages évidents à tous, signalés par les didascalies</w:t>
      </w:r>
      <w:r>
        <w:rPr>
          <w:rStyle w:val="Appelnotedebasdep"/>
        </w:rPr>
        <w:footnoteReference w:id="401"/>
      </w:r>
      <w:r>
        <w:t xml:space="preserve"> et interprétés par le prêtre comme le signe d’une insatisfaction des Dieux. Plus aucune ambiguïté donc sur la nature surnaturelle du dénouement : les deux traducteurs ne se sont pas contentés d’organiser un retour des Dieux sur scène, ils ont surtout tranché en faveur d’une interprétation profondément religieuse de la légende, contrairement à Racine. Loin de constituer des versions fidèles à l’original qui se seraient contentées de restituer au public londonien une dimension spectaculaire par un dénouement opératique, les traductions de Boyer et Johnson changent en profondeur la lecture du mythe par un véritable retour des Dieux, qui contraint à interroger la véritable source du tragique dans l’histoire d’Iphigénie.</w:t>
      </w:r>
    </w:p>
    <w:p>
      <w:pPr>
        <w:ind w:firstLine="283"/>
      </w:pPr>
      <w:r>
        <w:rPr>
          <w:b/>
        </w:rPr>
        <w:t xml:space="preserve">III. </w:t>
      </w:r>
      <w:r>
        <w:rPr>
          <w:b/>
          <w:i/>
        </w:rPr>
        <w:t>Iphigénie</w:t>
      </w:r>
      <w:r>
        <w:rPr>
          <w:b/>
        </w:rPr>
        <w:t>, tragédie de qui ?</w:t>
      </w:r>
    </w:p>
    <w:p>
      <w:pPr>
        <w:ind w:firstLine="283"/>
      </w:pPr>
      <w:r>
        <w:t>Le recours aux deux traductions anglaises comme produit de contraste oblige à revenir au cœur de l’hypotexte français pour en déceler la source du tragique, en posant la question jadis adressée par un vieil article</w:t>
      </w:r>
      <w:r>
        <w:rPr>
          <w:rStyle w:val="Appelnotedebasdep"/>
        </w:rPr>
        <w:footnoteReference w:id="402"/>
      </w:r>
      <w:r>
        <w:t xml:space="preserve"> à une autre pièce racinienne : </w:t>
      </w:r>
      <w:r>
        <w:rPr>
          <w:i/>
        </w:rPr>
        <w:t>Iphigénie</w:t>
      </w:r>
      <w:r>
        <w:t>, tragédie de qui ? Dans une superposition erronée entre mythe d’origine et réécritures théâtrales successives, la critique – y compris la critique racinienne la plus récente et la plus avertie</w:t>
      </w:r>
      <w:r>
        <w:rPr>
          <w:rStyle w:val="Appelnotedebasdep"/>
        </w:rPr>
        <w:footnoteReference w:id="403"/>
      </w:r>
      <w:r>
        <w:t xml:space="preserve"> – a volontiers survolé la question comme si la réponse constituait une évidence : Agamemnon n’incarne-t-il pas pleinement le héros tragique dont parlait Aristote, confronté à un dilemme insoluble, commettant une faute irréparable l’amenant à un infanticide, qui constitue le plus parfait exemple de surgissement de la violence au sein des alliances ? Le retour des Dieux, qui caractérise les deux traductions anglaises, ne fait que conforter cette lecture, et s’explique même, très probablement, par la volonté de recentrer la tragédie autour de la confrontation intérieure d’un père tout puissant parmi les hommes et pourtant impuissant face au Destin, autour de l’impossibilité d’être à la fois commandant en chef irréprochable et père aimant, autour de l’irréconciliable tension entre vie publique et vie privée. L’image d’Agamemnon qui se voile le visage à l’arrivée de la fille résumerait à elle seule le cœur du tragique à l’œuvre dans la légende, à savoir celui d’un homme plié par le Ciel à commettre l’irréparable, par une nécessité externe à sa volonté, et qui pourtant ne va pas sans se superposer à un désir profond dont il reste pleinement responsable : son ambition. En d’autres termes, le sacrifice de la fille innocente et passive ne serait que le produit d’un autre sacrifice, premier et profondément tragique car comportant une part de responsabilité, celui du père. Si cette lecture peut paraître séduisante pas sa simplicité désarmante, elle ne résiste pourtant pas à la confrontation avec le texte racinien, porteur d’une profonde réécriture de la légende antique, en total décalage par rapport aux pièces contemporaines ayant traité le même sujet. Racine a-t-il raconté, lui aussi, comme Rotrou avant lui et comme Leclerc après lui, l’histoire d’un père qui décide d’accompagner sa fille vers un sacrifice inévitable par obéissance aux Dieux ? Alors que les trois notions de volonté, d’inévitabilité et d’obéissance constituent les trois facteurs au cœur de cette lecture traditionnelle du mythe, ce sont pourtant précisément les trois éléments auxquels le dramaturge de La Ferté-Milon a renoncé. Quant à la volonté de sacrifier sa fille, il s’agit de la nouveauté à la fois la plus éclatante et la moins soulignée de la réécriture racinienne : Agamemnon, contrairement à ce qui est le cas dans toutes les variantes du mythe, ne tranche pas en faveur du sacrifice, mais planifie et organise la fuite, espérant sauver sa fille. L’avant-dernière scène de l’acte IV ne laisse aucun doute quant à la décision définitive du roi, après de longues tergiversations, décision qui certes s’accompagne d’une petite vengeance à l’égard d’Achille, coupable de l’avoir bravé, mais qui ne subit plus aucun retournement jusqu’à la fin de la pièce : c’est bien le dernier mot d’un personnage qui ne prononcera plus le moindre vers et ne reverra jamais plus la scène à l’acte V. Un étonnement similaire </w:t>
      </w:r>
      <w:r>
        <w:t>s’impose en se tournant vers le deuxième facteur traditionnel, l’inévitabilité d’un sacrifice que les conditions politiques du camp et de l’armée rendent évidente depuis Euripide déjà. Dans la pièce athénienne, il était même précisé qu’Achille avait bien tenté de s’y opposer, pour finir conspué et presque lynché par ses propres Mirmidons ; l’Achille racinien non seulement n’est pas rejeté par ses Mirmidons mais parvient, grâce à eux, à faire irruption en plein milieu du sacrifice, bloquant la cérémonie, jetant Calchas dans la panique, se rendant maître du camp et restituant par un même mouvement un espoir inattendu à Clytemnestre. Avant même qu’à la ruse d’un « habile ecclésiastique » ou qu’à la volonté du Ciel, le salut d’Iphigénie tient visiblement aux dards des Mirmidons. Enfin, l’obéissance à une prétendue volonté divine qui imposerait à Agamemnon la mort de sa fille a été, elle aussi, fragilisée par Racine, d’une part à travers la quasi-disparition des Dieux de la scène et le filtrage de leur parole par la mise en avant d’un intermédiaire humain, Calchas, et d’autre part par la suppression – suggérée par Euripide – de toute justification à la demande d’Artémis : chez Racine la divinité n’explique ni la requête initiale, ni le salut final, car aucune intervention surnaturelle tangible pousse Calchas à reconsidérer son choix de la victime. À vrai dire, le seul fait nouveau susceptible d’influencer le comportement du prêtre semble être terriblement humain, terriblement politique : l’irruption d’Achille et de ses troupes. La preuve de l’importance de ces trois facteurs fondamentaux de la légende, qui eux seuls rendaient possible l’interprétation du mythe comme celui du sacrifice d’un père plus que d’une fille, tient au fait que les deux traducteurs anglais – désireux de revenir à la version traditionnelle – ont précisément œuvré sur certains d’entre eux afin de reconduire Racine dans l’enceinte de la lecture la plus commune. Ils ont notamment réussi à réintroduire une dimension de fatalité inévitable par le retour des Dieux tout au long des cinq actes. Boyer reste d’une certaine façon au milieu du guet, en conservant l’idée d’une intervention militaire d’Achille au moment du sacrifice, mais en en minorant l’importance puisqu’elle se produit après l’intervention bien plus décisive du Ciel, qui a fait hésiter Calchas par le tonnerre et une éclipse. Johnson, en revanche, est allé jusqu’au bout de la logique rendant l’arrivée d’Achille totalement inutile, puisqu’elle a lieu après l’accomplissement du sacrifice : si les Dieux n’avaient pas poussé Calchas à changer de victime, le fils de Thétis aurait retrouver, aux pieds de l’autel, non pas une fiancée à épouser mais un cadavre à ensevelir.</w:t>
      </w:r>
    </w:p>
    <w:p>
      <w:pPr>
        <w:ind w:firstLine="283"/>
      </w:pPr>
      <w:r>
        <w:t>Si, contrairement à ses deux traducteurs d’outre-Manche, Jean Racine avait donc choisi délibérément de s’éloigner de la légende antique, en renonçant aux facteurs qui permettaient le surgissement d’émotions tragiques par la peinture du destin d’Agamemnon, faut-il en déduire qu’il avait écrit une pièce dénuée de tragique, comme le suggère Barthes</w:t>
      </w:r>
      <w:r>
        <w:rPr>
          <w:rStyle w:val="Appelnotedebasdep"/>
        </w:rPr>
        <w:footnoteReference w:id="404"/>
      </w:r>
      <w:r>
        <w:t xml:space="preserve"> ? En réalité, la quasi-suppression des Dieux n’a rien de nouveau et ne s’explique ni par un renoncement au tragique ni par une contestation des divinités profanes au profit du vrai Dieu : Euripide avait déjà montré la voie en mettant en exergue un autre aspect tragique du mythe, plus tragique encore, qui ne concernait pas le père mais la fille. Racine comme Euripide déplace le cœur du tragique d’Agamemnon à Iphigénie, qui n’est plus simple victime passive, contrainte d’obéir au </w:t>
      </w:r>
      <w:r>
        <w:t>père par des circonstances supérieures, mais incarne au contraire un personnage choisissant librement d’embrasser son destin. Si Aristote lui reprochera sa duplicité</w:t>
      </w:r>
      <w:r>
        <w:rPr>
          <w:rStyle w:val="Appelnotedebasdep"/>
        </w:rPr>
        <w:footnoteReference w:id="405"/>
      </w:r>
      <w:r>
        <w:t>, il n’en demeure pas moins que dans la pièce athénienne déjà la fille de Clytemnestre se distinguait par une étrange folie, l’amenant soudainement à renoncer à la première image transmise, celle de victime larmoyante et fragile, pour endosser les traits guerriers d’une « pucelle d’Aulide », prête au sacrifice suprême pour favoriser l’expédition contre Troie, dans un élan patriotique. L’explication de ce revirement soudain et de cette apparente incohérence tient en réalité à l’aveugle obéissance qui caractérise son amour excessif vis-à-vis du père : décrite par Euripide comme φιλoπάτωρ, « qui aime le père »</w:t>
      </w:r>
      <w:r>
        <w:rPr>
          <w:rStyle w:val="Appelnotedebasdep"/>
        </w:rPr>
        <w:footnoteReference w:id="406"/>
      </w:r>
      <w:r>
        <w:t xml:space="preserve">, elle ne fait qu’enregistrer les arguments que lui livre Agamemnon pour ensuite les restituer presqu’à l’identique dans la deuxième partie de la tragédie. Racine ne se contente pas de saisir l’originalité de l’interprétation de la légende qu’Euripide propose, il pousse la lecture jusqu’au bout, en offrant au spectateur une Iphigénie encore plus libre, à laquelle l’intrigue autorise une voie de sortie : la fuite avec Achille n’est plus une hypothèse lointaine, elle devient une possibilité concrète qu’elle peut embrasser jusqu’au début de l’acte V, et qu’elle choisit seule d’ignorer, indépendamment de l’inutile trahison d’Ériphile ou de la vaine résistance de l’armée. Le tragique ne se situe donc plus dans le choix contraint d’un père, mais dans le suicide volontaire d’une fille, qui renonce à la fuite, au mariage et donc à la vie adulte, pour lui préférer la préservation de la gloire paternelle. Soudainement le sens le plus profond de la légende surgit et devient étrangement logique et compréhensible : son enlèvement par Artémis ainsi que son transfert en Tauride en tant que prêtresse de la déesse ne constituent plus les étapes d’un </w:t>
      </w:r>
      <w:r>
        <w:rPr>
          <w:i/>
        </w:rPr>
        <w:t>happy end</w:t>
      </w:r>
      <w:r>
        <w:t xml:space="preserve"> qui viendrait vider de son tragique la pièce, mais au contraire l’aboutissement de l’enfermement d’une vierge dans sa vie pré-nuptiale. En effet, si Artémis était la déesse des vierges, celle dont l’emprise de laquelle les jeunes filles grecques se libéraient précisément à travers le rite pré-nuptial du προτέλεια</w:t>
      </w:r>
      <w:r>
        <w:rPr>
          <w:rStyle w:val="Appelnotedebasdep"/>
        </w:rPr>
        <w:footnoteReference w:id="407"/>
      </w:r>
      <w:r>
        <w:t xml:space="preserve">, le tragique de la légende d’Iphigénie tient précisément au choix extrême de ne pas renoncer au père et à l’enfance, et donc au fait de rester éternellement sous l’emprise de la déesse. Chez Racine, bien davantage encore que chez Euripide, Iphigénie a ouvertement le choix entre le père et l’époux, et elle choisit le père, se rendant à l’autel, à partir du moment où elle constate que l’un n’est pas compatible avec l’autre en raison de l’interdiction qui accompagne le geste de libération d’Agamemnon. Ce n’est pas un hasard si les traducteurs d’outre-Manche ont partiellement passé sous silence l’importance de cette opposition entre père et amant, en gommant l’amour excessif manifesté par Iphigénie envers le chef de l’expédition. Il y a un vers racinien qui résume toute la dualité et la contradiction de la princesse, le vers 595, dans lequel elle détaille les quatre facteurs qui justifient son attachement à Achille : « sa gloire, son amour, mon père, mon devoir ».  Si les deux premiers termes de l’équation tiennent à l’intérêt personnel qu’elle porte au guerrier, les deux derniers, qui en sont le complément nécessaire, </w:t>
      </w:r>
      <w:r>
        <w:t>dérivent de l’autorité du père et du devoir d’obéissance qui l’accompagne. Au moment décisif de communiquer sa décision de ne pas s’enfuir avec Achille, Iphigénie reprendra précisément les quatre termes, en les opposant cette fois</w:t>
      </w:r>
      <w:r>
        <w:rPr>
          <w:rStyle w:val="Appelnotedebasdep"/>
        </w:rPr>
        <w:footnoteReference w:id="408"/>
      </w:r>
      <w:r>
        <w:t xml:space="preserve"> : le père et le devoir ne sont plus compatibles avec la gloire et l’amour et donc rendent impossible le mariage, et inévitable le sacrifice. Boyer comme Johnson ont retouché chacun à sa manière ce vers 595, en proposant deux alternatives que le texte français ne suggérait pas : dans un cas les quatre facteurs sont confondus dans leur ordre d’origine et réduits à trois avec la suppression significative du « devoir »</w:t>
      </w:r>
      <w:r>
        <w:rPr>
          <w:rStyle w:val="Appelnotedebasdep"/>
        </w:rPr>
        <w:footnoteReference w:id="409"/>
      </w:r>
      <w:r>
        <w:t>, dans l’autre le père laisse la place à un plus vague élargissement au couple parental</w:t>
      </w:r>
      <w:r>
        <w:rPr>
          <w:rStyle w:val="Appelnotedebasdep"/>
        </w:rPr>
        <w:footnoteReference w:id="410"/>
      </w:r>
      <w:r>
        <w:t>, ce qui fait sauter l’opposition racinienne entre Agamemnon et Achille. Johnson, par ailleurs, à deux reprises au moins, effectue des coupes significatives de l’hypotexte, précisément aux endroits où Racine détaillait la déroutante affection d’une fille pour son père : c’est le cas à l’acte III, lorsqu’il se contente d’insister sur la nécessité d’écouter l’avis d’Agamemnon alors que l’héroïne française expliquait avec soin les raisons de son adoration</w:t>
      </w:r>
      <w:r>
        <w:rPr>
          <w:rStyle w:val="Appelnotedebasdep"/>
        </w:rPr>
        <w:footnoteReference w:id="411"/>
      </w:r>
      <w:r>
        <w:t>; mais c’est également le cas à l’acte V, lorsque l’Achille anglais s’emporte contre la décision de sa fiancée de ne pas fuir avec lui. Chez Racine, le fils de Thétis devine qu’elle lui préfère son père</w:t>
      </w:r>
      <w:r>
        <w:rPr>
          <w:rStyle w:val="Appelnotedebasdep"/>
        </w:rPr>
        <w:footnoteReference w:id="412"/>
      </w:r>
      <w:r>
        <w:t>, il se sert même d’une expression volontairement ambigüe et qui contribue à renforcer la rivalité, presque amoureuse, entre lui et Agamemnon, dans un jeu de mots auquel la version anglaise renonce clairement</w:t>
      </w:r>
      <w:r>
        <w:rPr>
          <w:rStyle w:val="Appelnotedebasdep"/>
        </w:rPr>
        <w:footnoteReference w:id="413"/>
      </w:r>
      <w:r>
        <w:t>. Ainsi faisant les deux traducteurs font donc l’impasse sur ce qui représentait la source principale du tragique chez Racine : le rapport ambigu et pathologique au père.</w:t>
      </w:r>
    </w:p>
    <w:p>
      <w:pPr>
        <w:ind w:firstLine="283"/>
      </w:pPr>
      <w:r>
        <w:t>Si Racine avait choisi d’effacer de sa pièce, et notamment du dénouement, la présence divine qui fera son retour quelques années plus tard sous le pinceau de Charles de la Fosse ainsi que dans les versions anglaises de Boyer et Johnson, ce n’est pas juste par respect obséquieux des règles de bienséance et vraisemblance comme il le suggère dans sa Préface. C’est surtout que l’effacement des Dieux lui permet de poursuivre l’intuition d’Euripide d’un déplacement du cœur du tragique d’Agamemnon vers Iphigénie, d’une confrontation entre l’homme et les Cieux à celle entre une fille et son père. N’en déplaise à Roland Barthes, si la pièce est bien une tragédie c’est justement que la famille est un milieu tragique, peut-être même le milieu tragique par excellence, comme le prouve la profondeur du mythe d’Iphigénie qui émerge de la lecture racinienne. La mythologie grecque n’avait pas attendu la psychanalyse pour s’en apercevoir.</w:t>
      </w:r>
    </w:p>
    <w:p>
      <w:r>
        <w:br w:type="page"/>
      </w:r>
    </w:p>
    <w:p>
      <w:pPr>
        <w:ind w:firstLine="283"/>
      </w:pPr>
      <w:r>
        <w:rPr>
          <w:b/>
          <w:smallCaps/>
        </w:rPr>
        <w:t xml:space="preserve">« Le chef-d’œuvre de la scène ». Sur la prédilection de Voltaire et Diderot pour </w:t>
      </w:r>
      <w:r>
        <w:rPr>
          <w:b/>
          <w:i/>
          <w:smallCaps/>
        </w:rPr>
        <w:t>Iphigénie</w:t>
      </w:r>
    </w:p>
    <w:p>
      <w:pPr>
        <w:pStyle w:val="Titre2"/>
      </w:pPr>
      <w:r>
        <w:rPr>
          <w:sz w:val="28"/>
        </w:rPr>
        <w:t>Nicolas Fréry (Université Gustave Eiff</w:t>
      </w:r>
      <w:r>
        <w:rPr>
          <w:sz w:val="28"/>
        </w:rPr>
        <w:t>el)</w:t>
      </w:r>
    </w:p>
    <w:p>
      <w:pPr>
        <w:ind w:firstLine="283"/>
      </w:pPr>
      <w:r>
        <w:t xml:space="preserve">Dans un épisode célèbre de </w:t>
      </w:r>
      <w:r>
        <w:rPr>
          <w:i/>
        </w:rPr>
        <w:t>L</w:t>
      </w:r>
      <w:r>
        <w:rPr>
          <w:i/>
        </w:rPr>
        <w:t>’</w:t>
      </w:r>
      <w:r>
        <w:rPr>
          <w:i/>
        </w:rPr>
        <w:t>Ingénu</w:t>
      </w:r>
      <w:r>
        <w:t xml:space="preserve"> de Voltaire – l’inventaire des lectures carcérales du jeune Huron –, </w:t>
      </w:r>
      <w:r>
        <w:t xml:space="preserve">des </w:t>
      </w:r>
      <w:r>
        <w:t>titres de tragédies de</w:t>
      </w:r>
      <w:r>
        <w:t xml:space="preserve"> Racine </w:t>
      </w:r>
      <w:r>
        <w:t>sont énuméré</w:t>
      </w:r>
      <w:r>
        <w:t xml:space="preserve">s avec </w:t>
      </w:r>
      <w:r>
        <w:t>délectation</w:t>
      </w:r>
      <w:r>
        <w:t>, avant que l</w:t>
      </w:r>
      <w:r>
        <w:t>’</w:t>
      </w:r>
      <w:r>
        <w:t>une d</w:t>
      </w:r>
      <w:r>
        <w:t xml:space="preserve">’entre </w:t>
      </w:r>
      <w:r>
        <w:t xml:space="preserve">elles soit distinguée, </w:t>
      </w:r>
      <w:r>
        <w:rPr>
          <w:i/>
        </w:rPr>
        <w:t>Iphigénie</w:t>
      </w:r>
      <w:r>
        <w:t xml:space="preserve"> : </w:t>
      </w:r>
    </w:p>
    <w:p>
      <w:pPr>
        <w:pStyle w:val="TEIquote"/>
        <w:spacing w:line="240" w:lineRule="auto"/>
        <w:ind w:left="397"/>
        <w:jc w:val="both"/>
      </w:pPr>
      <w:r>
        <w:rPr>
          <w:sz w:val="22"/>
        </w:rPr>
        <w:t>Alors il récita des vers d</w:t>
      </w:r>
      <w:r>
        <w:rPr>
          <w:sz w:val="22"/>
        </w:rPr>
        <w:t>’</w:t>
      </w:r>
      <w:r>
        <w:rPr>
          <w:i/>
          <w:sz w:val="22"/>
        </w:rPr>
        <w:t>Iphigénie</w:t>
      </w:r>
      <w:r>
        <w:rPr>
          <w:sz w:val="22"/>
        </w:rPr>
        <w:t>, dont il était plein ; et quoiqu</w:t>
      </w:r>
      <w:r>
        <w:rPr>
          <w:sz w:val="22"/>
        </w:rPr>
        <w:t>’</w:t>
      </w:r>
      <w:r>
        <w:rPr>
          <w:sz w:val="22"/>
        </w:rPr>
        <w:t>il ne déclamât pas bien, il y mit tant de vérité et d</w:t>
      </w:r>
      <w:r>
        <w:rPr>
          <w:sz w:val="22"/>
        </w:rPr>
        <w:t>’</w:t>
      </w:r>
      <w:r>
        <w:rPr>
          <w:sz w:val="22"/>
        </w:rPr>
        <w:t>onction qu</w:t>
      </w:r>
      <w:r>
        <w:rPr>
          <w:sz w:val="22"/>
        </w:rPr>
        <w:t>’</w:t>
      </w:r>
      <w:r>
        <w:rPr>
          <w:sz w:val="22"/>
        </w:rPr>
        <w:t xml:space="preserve">il fit pleurer le vieux janséniste. Il lut ensuite </w:t>
      </w:r>
      <w:r>
        <w:rPr>
          <w:i/>
          <w:sz w:val="22"/>
        </w:rPr>
        <w:t>Cinna</w:t>
      </w:r>
      <w:r>
        <w:rPr>
          <w:sz w:val="22"/>
        </w:rPr>
        <w:t xml:space="preserve"> ; il ne pleura point, mais il admira</w:t>
      </w:r>
      <w:r>
        <w:rPr>
          <w:rStyle w:val="Appelnotedebasdep"/>
        </w:rPr>
        <w:footnoteReference w:id="414"/>
      </w:r>
      <w:r>
        <w:rPr>
          <w:sz w:val="22"/>
        </w:rPr>
        <w:t xml:space="preserve">. </w:t>
      </w:r>
    </w:p>
    <w:p>
      <w:pPr>
        <w:pStyle w:val="TEIparagraphconsecutive"/>
      </w:pPr>
      <w:r>
        <w:t>Rien de plus traditionnel depuis La</w:t>
      </w:r>
      <w:r>
        <w:t xml:space="preserve"> </w:t>
      </w:r>
      <w:r>
        <w:t>Bruyère que le partage entre un Corneille qui suscite l</w:t>
      </w:r>
      <w:r>
        <w:t>’</w:t>
      </w:r>
      <w:r>
        <w:t xml:space="preserve">« admiration » et un Racine qui « </w:t>
      </w:r>
      <w:r>
        <w:t>remue</w:t>
      </w:r>
      <w:r>
        <w:t>,</w:t>
      </w:r>
      <w:r>
        <w:t xml:space="preserve"> touche, </w:t>
      </w:r>
      <w:r>
        <w:t>pénètre</w:t>
      </w:r>
      <w:r>
        <w:rPr>
          <w:rStyle w:val="Appelnotedebasdep"/>
        </w:rPr>
        <w:footnoteReference w:id="415"/>
      </w:r>
      <w:r>
        <w:t xml:space="preserve"> ».</w:t>
      </w:r>
      <w:r>
        <w:t xml:space="preserve"> </w:t>
      </w:r>
      <w:r>
        <w:t xml:space="preserve">Il est en revanche </w:t>
      </w:r>
      <w:r>
        <w:t>remarquable</w:t>
      </w:r>
      <w:r>
        <w:t xml:space="preserve"> que Voltaire n</w:t>
      </w:r>
      <w:r>
        <w:t>’</w:t>
      </w:r>
      <w:r>
        <w:t xml:space="preserve">ait cessé de manifester </w:t>
      </w:r>
      <w:r>
        <w:t>sa préférence pour</w:t>
      </w:r>
      <w:r>
        <w:t xml:space="preserve"> la pénultième </w:t>
      </w:r>
      <w:r>
        <w:t>pièce</w:t>
      </w:r>
      <w:r>
        <w:t xml:space="preserve"> profane de Racine. Si </w:t>
      </w:r>
      <w:r>
        <w:rPr>
          <w:i/>
        </w:rPr>
        <w:t>Iphigénie</w:t>
      </w:r>
      <w:r>
        <w:t xml:space="preserve"> et</w:t>
      </w:r>
      <w:r>
        <w:t xml:space="preserve"> </w:t>
      </w:r>
      <w:r>
        <w:rPr>
          <w:i/>
        </w:rPr>
        <w:t>Athalie</w:t>
      </w:r>
      <w:r>
        <w:t xml:space="preserve"> se partagent parfois sous sa plume le titre de « chefs-d</w:t>
      </w:r>
      <w:r>
        <w:t>’</w:t>
      </w:r>
      <w:r>
        <w:t>œuvre de la France</w:t>
      </w:r>
      <w:r>
        <w:rPr>
          <w:rStyle w:val="Appelnotedebasdep"/>
        </w:rPr>
        <w:footnoteReference w:id="416"/>
      </w:r>
      <w:r>
        <w:t xml:space="preserve"> », c</w:t>
      </w:r>
      <w:r>
        <w:t>’</w:t>
      </w:r>
      <w:r>
        <w:t>est</w:t>
      </w:r>
      <w:r>
        <w:t xml:space="preserve"> à la première qu’il revient d’être qualifiée d</w:t>
      </w:r>
      <w:r>
        <w:t>e «</w:t>
      </w:r>
      <w:r>
        <w:t xml:space="preserve"> chef-d’œuvre de la scène » dans un texte vibrant où Voltaire la compare avantageusement à l’ultime tragédie de Corneille parue la même année – </w:t>
      </w:r>
      <w:r>
        <w:rPr>
          <w:i/>
        </w:rPr>
        <w:t>Suréna</w:t>
      </w:r>
      <w:r>
        <w:t xml:space="preserve"> – et souscrit à l’épître de Boileau applaudissant </w:t>
      </w:r>
      <w:r>
        <w:t xml:space="preserve">en </w:t>
      </w:r>
      <w:r>
        <w:rPr>
          <w:i/>
        </w:rPr>
        <w:t>Iphigénie</w:t>
      </w:r>
      <w:r>
        <w:t xml:space="preserve"> un « heureux spectacle</w:t>
      </w:r>
      <w:r>
        <w:rPr>
          <w:rStyle w:val="Appelnotedebasdep"/>
        </w:rPr>
        <w:footnoteReference w:id="417"/>
      </w:r>
      <w:r>
        <w:t xml:space="preserve"> »</w:t>
      </w:r>
      <w:r>
        <w:t>.</w:t>
      </w:r>
      <w:r>
        <w:t xml:space="preserve"> </w:t>
      </w:r>
      <w:r>
        <w:t xml:space="preserve">Lorsque, dans l’article « Art dramatique » des </w:t>
      </w:r>
      <w:r>
        <w:rPr>
          <w:i/>
        </w:rPr>
        <w:t>Questions sur l</w:t>
      </w:r>
      <w:r>
        <w:rPr>
          <w:i/>
        </w:rPr>
        <w:t>’</w:t>
      </w:r>
      <w:r>
        <w:rPr>
          <w:i/>
        </w:rPr>
        <w:t>Encyclopédie</w:t>
      </w:r>
      <w:r>
        <w:t xml:space="preserve">, Voltaire se propose d’identifier la tragédie française la plus accomplie, il arrête son choix sur </w:t>
      </w:r>
      <w:r>
        <w:rPr>
          <w:i/>
        </w:rPr>
        <w:t>Iphigénie</w:t>
      </w:r>
      <w:r>
        <w:t xml:space="preserve"> et lui consacre un ample</w:t>
      </w:r>
      <w:r>
        <w:t xml:space="preserve"> </w:t>
      </w:r>
      <w:r>
        <w:t>commentaire</w:t>
      </w:r>
      <w:r>
        <w:rPr>
          <w:rStyle w:val="Appelnotedebasdep"/>
        </w:rPr>
        <w:footnoteReference w:id="418"/>
      </w:r>
      <w:r>
        <w:t xml:space="preserve">. </w:t>
      </w:r>
      <w:r>
        <w:t xml:space="preserve">Le plus </w:t>
      </w:r>
      <w:r>
        <w:t>éminent</w:t>
      </w:r>
      <w:r>
        <w:t xml:space="preserve"> </w:t>
      </w:r>
      <w:r>
        <w:t>auteur tragique</w:t>
      </w:r>
      <w:r>
        <w:t xml:space="preserve"> du </w:t>
      </w:r>
      <w:r>
        <w:rPr>
          <w:smallCaps/>
        </w:rPr>
        <w:t>xviii</w:t>
      </w:r>
      <w:r>
        <w:rPr>
          <w:vertAlign w:val="superscript"/>
        </w:rPr>
        <w:t>e</w:t>
      </w:r>
      <w:r>
        <w:t xml:space="preserve"> </w:t>
      </w:r>
      <w:r>
        <w:t xml:space="preserve">siècle </w:t>
      </w:r>
      <w:r>
        <w:t>ne s’est pas réclamé prioritairement de</w:t>
      </w:r>
      <w:r>
        <w:t xml:space="preserve"> </w:t>
      </w:r>
      <w:r>
        <w:rPr>
          <w:i/>
        </w:rPr>
        <w:t>Phèdre</w:t>
      </w:r>
      <w:r>
        <w:t xml:space="preserve"> ; il n</w:t>
      </w:r>
      <w:r>
        <w:t>’</w:t>
      </w:r>
      <w:r>
        <w:t xml:space="preserve">a guère goûté </w:t>
      </w:r>
      <w:r>
        <w:rPr>
          <w:i/>
        </w:rPr>
        <w:t>Bérénice</w:t>
      </w:r>
      <w:r>
        <w:t xml:space="preserve"> </w:t>
      </w:r>
      <w:r>
        <w:t>comme le faisait</w:t>
      </w:r>
      <w:r>
        <w:t xml:space="preserve"> Rousseau</w:t>
      </w:r>
      <w:r>
        <w:rPr>
          <w:rStyle w:val="Appelnotedebasdep"/>
        </w:rPr>
        <w:footnoteReference w:id="419"/>
      </w:r>
      <w:r>
        <w:t xml:space="preserve"> ; c</w:t>
      </w:r>
      <w:r>
        <w:t>’</w:t>
      </w:r>
      <w:r>
        <w:t>est bien plutôt la « belle pièce d</w:t>
      </w:r>
      <w:r>
        <w:t>’</w:t>
      </w:r>
      <w:r>
        <w:rPr>
          <w:i/>
        </w:rPr>
        <w:t>Iphigénie</w:t>
      </w:r>
      <w:r>
        <w:rPr>
          <w:rStyle w:val="Appelnotedebasdep"/>
        </w:rPr>
        <w:footnoteReference w:id="420"/>
      </w:r>
      <w:r>
        <w:t xml:space="preserve"> » qu</w:t>
      </w:r>
      <w:r>
        <w:t>’</w:t>
      </w:r>
      <w:r>
        <w:t>il a érigée en</w:t>
      </w:r>
      <w:r>
        <w:t xml:space="preserve"> modèle de perfection. </w:t>
      </w:r>
    </w:p>
    <w:p>
      <w:pPr>
        <w:ind w:firstLine="283"/>
      </w:pPr>
      <w:r>
        <w:t xml:space="preserve">Cette prédilection gagne à être comparée à celle qu’un autre grand nom des Lumières témoigne envers la même pièce, malgré l’écart qui sépare son esthétique théâtrale de celle de Voltaire. La critique diderotienne a signalé « l’admiration sans </w:t>
      </w:r>
      <w:r>
        <w:t>borne</w:t>
      </w:r>
      <w:r>
        <w:rPr>
          <w:rStyle w:val="Appelnotedebasdep"/>
        </w:rPr>
        <w:footnoteReference w:id="421"/>
      </w:r>
      <w:r>
        <w:t xml:space="preserve"> » que professe l’auteur du </w:t>
      </w:r>
      <w:r>
        <w:rPr>
          <w:i/>
        </w:rPr>
        <w:t>Père de Famille</w:t>
      </w:r>
      <w:r>
        <w:t xml:space="preserve"> envers </w:t>
      </w:r>
      <w:r>
        <w:rPr>
          <w:i/>
        </w:rPr>
        <w:t>Iphigénie</w:t>
      </w:r>
      <w:r>
        <w:t xml:space="preserve">. Pour prouver à Sophie Volland que Racine est « peut-être le plus grand poète qui ait jamais existé », c’est </w:t>
      </w:r>
      <w:r>
        <w:rPr>
          <w:i/>
        </w:rPr>
        <w:t>Iphigénie</w:t>
      </w:r>
      <w:r>
        <w:t xml:space="preserve"> que Diderot cite longuement</w:t>
      </w:r>
      <w:r>
        <w:rPr>
          <w:rStyle w:val="Appelnotedebasdep"/>
        </w:rPr>
        <w:footnoteReference w:id="422"/>
      </w:r>
      <w:r>
        <w:t xml:space="preserve">. Au moment même où il projette de réformer le poème dramatique, Diderot revient avec insistance à Racine et à son </w:t>
      </w:r>
      <w:r>
        <w:rPr>
          <w:i/>
        </w:rPr>
        <w:t>Iphigénie</w:t>
      </w:r>
      <w:r>
        <w:t xml:space="preserve"> </w:t>
      </w:r>
      <w:r>
        <w:t xml:space="preserve">dans les </w:t>
      </w:r>
      <w:r>
        <w:rPr>
          <w:i/>
        </w:rPr>
        <w:t>Entretiens sur le Fils naturel</w:t>
      </w:r>
      <w:r>
        <w:t xml:space="preserve"> et </w:t>
      </w:r>
      <w:r>
        <w:rPr>
          <w:i/>
        </w:rPr>
        <w:t xml:space="preserve">Le Paradoxe </w:t>
      </w:r>
      <w:r>
        <w:rPr>
          <w:i/>
        </w:rPr>
        <w:t>sur le</w:t>
      </w:r>
      <w:r>
        <w:rPr>
          <w:i/>
        </w:rPr>
        <w:t xml:space="preserve"> comédien</w:t>
      </w:r>
      <w:r>
        <w:t>. Ce privilège accordé à la tragédie de 1674 par les deux plus grands dramaturges non comiques du dix-huitième siècle repose sur de suggestifs points de rencontre – certains vers sont admirés à la fois par Voltaire et Diderot – en même temps que sur des jugements distincts. Voltaire célèbre d’abord l’éclatante réussite formelle d’une pièce qui ne fait pas principalement reposer le pathétique sur la passion amoureuse. Diderot semble s’être montré sensible à certaines options dramaturgiques qui seront au cœur du drame dont il est le théoricien. Roland Barthes, on le sait, jugeait qu’</w:t>
      </w:r>
      <w:r>
        <w:rPr>
          <w:i/>
        </w:rPr>
        <w:t>Iphigénie</w:t>
      </w:r>
      <w:r>
        <w:t xml:space="preserve"> relève presque du « drame bourgeois</w:t>
      </w:r>
      <w:r>
        <w:rPr>
          <w:rStyle w:val="Appelnotedebasdep"/>
        </w:rPr>
        <w:footnoteReference w:id="423"/>
      </w:r>
      <w:r>
        <w:t xml:space="preserve"> ». Une « matrone de drame bourgeois</w:t>
      </w:r>
      <w:r>
        <w:rPr>
          <w:rStyle w:val="Appelnotedebasdep"/>
        </w:rPr>
        <w:footnoteReference w:id="424"/>
      </w:r>
      <w:r>
        <w:t xml:space="preserve"> » : c’est en ces termes que Jean Rohou présente la Clytemnestre de Racine. En quoi l’interprétation de la pièce par Diderot est-elle à même d’éclairer ces appréciations critiques et, par là, de contribuer à révéler la singularité d’</w:t>
      </w:r>
      <w:r>
        <w:rPr>
          <w:i/>
        </w:rPr>
        <w:t xml:space="preserve">Iphigénie </w:t>
      </w:r>
      <w:r>
        <w:t>au sein de l’œuvre racinienne ?</w:t>
      </w:r>
    </w:p>
    <w:p>
      <w:pPr>
        <w:ind w:firstLine="283"/>
      </w:pPr>
      <w:r>
        <w:t xml:space="preserve">Pour étudier conjointement </w:t>
      </w:r>
      <w:r>
        <w:t>les</w:t>
      </w:r>
      <w:r>
        <w:t xml:space="preserve"> lecture</w:t>
      </w:r>
      <w:r>
        <w:t>s</w:t>
      </w:r>
      <w:r>
        <w:t xml:space="preserve"> voltairienne et diderotienne de la </w:t>
      </w:r>
      <w:r>
        <w:t>tragédie de 1674</w:t>
      </w:r>
      <w:r>
        <w:t xml:space="preserve">, </w:t>
      </w:r>
      <w:r>
        <w:t>trois</w:t>
      </w:r>
      <w:r>
        <w:t xml:space="preserve"> </w:t>
      </w:r>
      <w:r>
        <w:t xml:space="preserve">précisions sont nécessaires. </w:t>
      </w:r>
      <w:r>
        <w:t>Tout d</w:t>
      </w:r>
      <w:r>
        <w:t>’</w:t>
      </w:r>
      <w:r>
        <w:t>abord, Voltaire et Diderot entretiennent chacun des rapports pluriels avec le texte</w:t>
      </w:r>
      <w:r>
        <w:t xml:space="preserve"> racinien </w:t>
      </w:r>
      <w:r>
        <w:t xml:space="preserve">: ils en sont </w:t>
      </w:r>
      <w:r>
        <w:t xml:space="preserve">à la fois </w:t>
      </w:r>
      <w:r>
        <w:t>commentateurs</w:t>
      </w:r>
      <w:r>
        <w:t xml:space="preserve"> et imitateurs</w:t>
      </w:r>
      <w:r>
        <w:t>.</w:t>
      </w:r>
      <w:r>
        <w:t xml:space="preserve"> Outre les analyses approfondies que Voltaire consacre à </w:t>
      </w:r>
      <w:r>
        <w:rPr>
          <w:i/>
        </w:rPr>
        <w:t>Iphigénie</w:t>
      </w:r>
      <w:r>
        <w:t xml:space="preserve">, il en démarque volontiers des vers dans ses propres poèmes. Ainsi d’un vers épique d’Agamemnon dans la scène d’exposition (« mais qui peut dans sa course arrêter ce torrent ? »), qui est repris presque à l’identique au chant IX de la </w:t>
      </w:r>
      <w:r>
        <w:rPr>
          <w:i/>
        </w:rPr>
        <w:t>Henriade</w:t>
      </w:r>
      <w:r>
        <w:t xml:space="preserve"> (« C’est à toi d’arrêter ce torrent dans sa course</w:t>
      </w:r>
      <w:r>
        <w:rPr>
          <w:rStyle w:val="Appelnotedebasdep"/>
        </w:rPr>
        <w:footnoteReference w:id="425"/>
      </w:r>
      <w:r>
        <w:t xml:space="preserve"> »). Quant aux vers poignants dans lesquels Clytemnestre imagine le supplice de sa fille (« Je verrai les chemins encore tout parfumés / Des fleurs dont sous ses pas on les avait semés »), ils sont réaménagés dans le chant V de la même </w:t>
      </w:r>
      <w:r>
        <w:rPr>
          <w:i/>
        </w:rPr>
        <w:t>Henriade</w:t>
      </w:r>
      <w:r>
        <w:t xml:space="preserve"> : « et de fleurs sous ses pas parfumant son chemin</w:t>
      </w:r>
      <w:r>
        <w:rPr>
          <w:rStyle w:val="Appelnotedebasdep"/>
        </w:rPr>
        <w:footnoteReference w:id="426"/>
      </w:r>
      <w:r>
        <w:t xml:space="preserve"> ». Diderot, de même, a pu se souvenir de l’exposition d’</w:t>
      </w:r>
      <w:r>
        <w:rPr>
          <w:i/>
        </w:rPr>
        <w:t xml:space="preserve">Iphigénie </w:t>
      </w:r>
      <w:r>
        <w:t xml:space="preserve">en imaginant, dans celle du </w:t>
      </w:r>
      <w:r>
        <w:rPr>
          <w:i/>
        </w:rPr>
        <w:t>Père de famille</w:t>
      </w:r>
      <w:r>
        <w:t>, les tourments d’un père au sortir d’une nuit d’insomnie</w:t>
      </w:r>
      <w:r>
        <w:rPr>
          <w:rStyle w:val="Appelnotedebasdep"/>
        </w:rPr>
        <w:footnoteReference w:id="427"/>
      </w:r>
      <w:r>
        <w:t xml:space="preserve">, et Catherine Ramond a montré combien l’image du sacrifice d’Iphigénie </w:t>
      </w:r>
      <w:r>
        <w:t xml:space="preserve">informe un roman de l’innocence persécutée comme </w:t>
      </w:r>
      <w:r>
        <w:rPr>
          <w:i/>
        </w:rPr>
        <w:t>La Religieuse</w:t>
      </w:r>
      <w:r>
        <w:rPr>
          <w:rStyle w:val="Appelnotedebasdep"/>
        </w:rPr>
        <w:footnoteReference w:id="428"/>
      </w:r>
      <w:r>
        <w:t xml:space="preserve">. Sans ignorer </w:t>
      </w:r>
      <w:r>
        <w:t>ces riches rapports</w:t>
      </w:r>
      <w:r>
        <w:t xml:space="preserve"> intertextuel</w:t>
      </w:r>
      <w:r>
        <w:t>s</w:t>
      </w:r>
      <w:r>
        <w:t>, c</w:t>
      </w:r>
      <w:r>
        <w:t>’est plutôt – selon les catégories de Genette</w:t>
      </w:r>
      <w:r>
        <w:rPr>
          <w:rStyle w:val="Appelnotedebasdep"/>
        </w:rPr>
        <w:footnoteReference w:id="429"/>
      </w:r>
      <w:r>
        <w:t xml:space="preserve"> – </w:t>
      </w:r>
      <w:r>
        <w:t xml:space="preserve">le rapport métatextuel qui retiendra ici notre attention, à savoir la façon dont Voltaire et Diderot mobilisent </w:t>
      </w:r>
      <w:r>
        <w:rPr>
          <w:i/>
        </w:rPr>
        <w:t>Iphigénie</w:t>
      </w:r>
      <w:r>
        <w:t xml:space="preserve"> en tant que critiques et théoriciens</w:t>
      </w:r>
      <w:r>
        <w:t xml:space="preserve"> du théâtre. </w:t>
      </w:r>
    </w:p>
    <w:p>
      <w:pPr>
        <w:ind w:firstLine="283"/>
      </w:pPr>
      <w:r>
        <w:t>Une deuxième précision à apporter</w:t>
      </w:r>
      <w:r>
        <w:t xml:space="preserve"> </w:t>
      </w:r>
      <w:r>
        <w:t xml:space="preserve">est que </w:t>
      </w:r>
      <w:r>
        <w:t xml:space="preserve">l’admiration </w:t>
      </w:r>
      <w:r>
        <w:t>pour l</w:t>
      </w:r>
      <w:r>
        <w:t>’</w:t>
      </w:r>
      <w:r>
        <w:rPr>
          <w:i/>
        </w:rPr>
        <w:t xml:space="preserve">Iphigénie </w:t>
      </w:r>
      <w:r>
        <w:t>de Racine se double</w:t>
      </w:r>
      <w:r>
        <w:t>, en particulier chez Diderot,</w:t>
      </w:r>
      <w:r>
        <w:t xml:space="preserve"> d</w:t>
      </w:r>
      <w:r>
        <w:t>’</w:t>
      </w:r>
      <w:r>
        <w:t xml:space="preserve">une fascination </w:t>
      </w:r>
      <w:r>
        <w:t xml:space="preserve">plus </w:t>
      </w:r>
      <w:r>
        <w:t>générale pour la figure mythologique de la fille d</w:t>
      </w:r>
      <w:r>
        <w:t>’</w:t>
      </w:r>
      <w:r>
        <w:t>Agamemnon. Il faut tenir compte, au-delà du chef-d</w:t>
      </w:r>
      <w:r>
        <w:t>’</w:t>
      </w:r>
      <w:r>
        <w:t xml:space="preserve">œuvre de Racine, </w:t>
      </w:r>
      <w:r>
        <w:t>des interférences</w:t>
      </w:r>
      <w:r>
        <w:t xml:space="preserve"> entre les </w:t>
      </w:r>
      <w:r>
        <w:t xml:space="preserve">diverses </w:t>
      </w:r>
      <w:r>
        <w:t>interprétations</w:t>
      </w:r>
      <w:r>
        <w:t xml:space="preserve"> </w:t>
      </w:r>
      <w:r>
        <w:t xml:space="preserve">– littéraires, </w:t>
      </w:r>
      <w:r>
        <w:t xml:space="preserve">mais aussi musicales et </w:t>
      </w:r>
      <w:r>
        <w:t>iconographiq</w:t>
      </w:r>
      <w:r>
        <w:t>ues – du mythe d’Iphigénie. Enfin,</w:t>
      </w:r>
      <w:r>
        <w:t xml:space="preserve"> il ne s</w:t>
      </w:r>
      <w:r>
        <w:t>’</w:t>
      </w:r>
      <w:r>
        <w:t xml:space="preserve">agit </w:t>
      </w:r>
      <w:r>
        <w:t>évidemment pas</w:t>
      </w:r>
      <w:r>
        <w:t xml:space="preserve"> de prétendre que l</w:t>
      </w:r>
      <w:r>
        <w:t>’</w:t>
      </w:r>
      <w:r>
        <w:t xml:space="preserve">intérêt pour </w:t>
      </w:r>
      <w:r>
        <w:rPr>
          <w:i/>
        </w:rPr>
        <w:t>Iphigénie</w:t>
      </w:r>
      <w:r>
        <w:t xml:space="preserve"> est au </w:t>
      </w:r>
      <w:r>
        <w:rPr>
          <w:smallCaps/>
        </w:rPr>
        <w:t>xviii</w:t>
      </w:r>
      <w:r>
        <w:rPr>
          <w:vertAlign w:val="superscript"/>
        </w:rPr>
        <w:t>e</w:t>
      </w:r>
      <w:r>
        <w:t xml:space="preserve"> </w:t>
      </w:r>
      <w:r>
        <w:t>siècle l</w:t>
      </w:r>
      <w:r>
        <w:t>’</w:t>
      </w:r>
      <w:r>
        <w:t xml:space="preserve">apanage de Voltaire et Diderot. France Marchal-Ninosque a montré à quel point les Lumières ont été </w:t>
      </w:r>
      <w:r>
        <w:t>hantées</w:t>
      </w:r>
      <w:r>
        <w:t xml:space="preserve"> par l</w:t>
      </w:r>
      <w:r>
        <w:t>’</w:t>
      </w:r>
      <w:r>
        <w:t xml:space="preserve">oracle de Calchas. Elle insiste </w:t>
      </w:r>
      <w:r>
        <w:t xml:space="preserve">à cet égard </w:t>
      </w:r>
      <w:r>
        <w:t xml:space="preserve">sur </w:t>
      </w:r>
      <w:r>
        <w:t>la transformation du mythe littéraire en</w:t>
      </w:r>
      <w:r>
        <w:t xml:space="preserve"> « mythe politique</w:t>
      </w:r>
      <w:r>
        <w:rPr>
          <w:rStyle w:val="Appelnotedebasdep"/>
        </w:rPr>
        <w:footnoteReference w:id="430"/>
      </w:r>
      <w:r>
        <w:t xml:space="preserve"> »</w:t>
      </w:r>
      <w:r>
        <w:t xml:space="preserve"> </w:t>
      </w:r>
      <w:r>
        <w:t>: la figure d</w:t>
      </w:r>
      <w:r>
        <w:t>’</w:t>
      </w:r>
      <w:r>
        <w:t>Iphigénie se prête particulièrement au réquisitoire contre le fanatisme. Il est tout sauf indifférent que la pièce de Racine à laquelle Voltaire et Diderot ont le mieux rendu hommage interroge le crédit accordé aux oracles et la cruauté d</w:t>
      </w:r>
      <w:r>
        <w:t>’</w:t>
      </w:r>
      <w:r>
        <w:t>un culte qui impose de verser le « sang de l</w:t>
      </w:r>
      <w:r>
        <w:t>’</w:t>
      </w:r>
      <w:r>
        <w:t>Innocence</w:t>
      </w:r>
      <w:r>
        <w:rPr>
          <w:rStyle w:val="Appelnotedebasdep"/>
        </w:rPr>
        <w:footnoteReference w:id="431"/>
      </w:r>
      <w:r>
        <w:t xml:space="preserve"> ».</w:t>
      </w:r>
      <w:r>
        <w:t xml:space="preserve"> Quelle relecture de cette tragédie du sacrifice transparaît chez deux philosophes des Lumières ? Nous envisagerons successivement la réception esthétique et la réception idéologique de la pièce de Racine, avant de montrer de quelle façon</w:t>
      </w:r>
      <w:r>
        <w:t xml:space="preserve"> Voltaire et Diderot s</w:t>
      </w:r>
      <w:r>
        <w:t>’</w:t>
      </w:r>
      <w:r>
        <w:t xml:space="preserve">inscrivent </w:t>
      </w:r>
      <w:r>
        <w:t xml:space="preserve">diversement </w:t>
      </w:r>
      <w:r>
        <w:t>dans un d</w:t>
      </w:r>
      <w:r>
        <w:t xml:space="preserve">ébat ancien, ranimé au </w:t>
      </w:r>
      <w:r>
        <w:rPr>
          <w:smallCaps/>
        </w:rPr>
        <w:t>xviii</w:t>
      </w:r>
      <w:r>
        <w:rPr>
          <w:vertAlign w:val="superscript"/>
        </w:rPr>
        <w:t>e</w:t>
      </w:r>
      <w:r>
        <w:t xml:space="preserve"> </w:t>
      </w:r>
      <w:r>
        <w:t>siècle : le voile d</w:t>
      </w:r>
      <w:r>
        <w:t>’</w:t>
      </w:r>
      <w:r>
        <w:t xml:space="preserve">Agamemnon comme </w:t>
      </w:r>
      <w:r>
        <w:t>figuration</w:t>
      </w:r>
      <w:r>
        <w:t xml:space="preserve"> de l</w:t>
      </w:r>
      <w:r>
        <w:t>’</w:t>
      </w:r>
      <w:r>
        <w:t>ineffable de la douleur.</w:t>
      </w:r>
    </w:p>
    <w:p>
      <w:pPr>
        <w:pStyle w:val="Titre2"/>
      </w:pPr>
      <w:r>
        <w:rPr>
          <w:b/>
          <w:smallCaps/>
          <w:sz w:val="28"/>
        </w:rPr>
        <w:t>Une supériorité stylistique et dramaturgique</w:t>
      </w:r>
    </w:p>
    <w:p>
      <w:pPr>
        <w:ind w:firstLine="283"/>
      </w:pPr>
      <w:r>
        <w:t>S</w:t>
      </w:r>
      <w:r>
        <w:t>’</w:t>
      </w:r>
      <w:r>
        <w:t xml:space="preserve">il est un mot </w:t>
      </w:r>
      <w:r>
        <w:t>récurrent</w:t>
      </w:r>
      <w:r>
        <w:t xml:space="preserve"> dans les </w:t>
      </w:r>
      <w:r>
        <w:t>éloges</w:t>
      </w:r>
      <w:r>
        <w:t xml:space="preserve"> que </w:t>
      </w:r>
      <w:r>
        <w:t xml:space="preserve">fait </w:t>
      </w:r>
      <w:r>
        <w:t xml:space="preserve">Voltaire </w:t>
      </w:r>
      <w:r>
        <w:t>d’</w:t>
      </w:r>
      <w:r>
        <w:rPr>
          <w:i/>
        </w:rPr>
        <w:t>Iphigénie</w:t>
      </w:r>
      <w:r>
        <w:t>, c</w:t>
      </w:r>
      <w:r>
        <w:t>’</w:t>
      </w:r>
      <w:r>
        <w:t xml:space="preserve">est celui de </w:t>
      </w:r>
      <w:r>
        <w:rPr>
          <w:i/>
        </w:rPr>
        <w:t>perfection</w:t>
      </w:r>
      <w:r>
        <w:t xml:space="preserve"> : « c</w:t>
      </w:r>
      <w:r>
        <w:t>’</w:t>
      </w:r>
      <w:r>
        <w:t>est là selon moi qu</w:t>
      </w:r>
      <w:r>
        <w:t>’</w:t>
      </w:r>
      <w:r>
        <w:t>est le comble de la perfection » ; « tout y marche de perfections en perfections</w:t>
      </w:r>
      <w:r>
        <w:rPr>
          <w:rStyle w:val="Appelnotedebasdep"/>
        </w:rPr>
        <w:footnoteReference w:id="432"/>
      </w:r>
      <w:r>
        <w:t xml:space="preserve"> ». Cette perfection est d</w:t>
      </w:r>
      <w:r>
        <w:t>’</w:t>
      </w:r>
      <w:r>
        <w:t>abord la « perfection du style », qui se manifeste dès les premiers vers de la pièce, « vers harmonieux, vers charmants, vers tels qu</w:t>
      </w:r>
      <w:r>
        <w:t>’</w:t>
      </w:r>
      <w:r>
        <w:t>aucun poète n</w:t>
      </w:r>
      <w:r>
        <w:t>’</w:t>
      </w:r>
      <w:r>
        <w:t>en faisait alors</w:t>
      </w:r>
      <w:r>
        <w:rPr>
          <w:rStyle w:val="Appelnotedebasdep"/>
        </w:rPr>
        <w:footnoteReference w:id="433"/>
      </w:r>
      <w:r>
        <w:t xml:space="preserve"> ». Voltaire </w:t>
      </w:r>
      <w:r>
        <w:t xml:space="preserve">souligne à ce titre railleusement l’écart entre l’évocation </w:t>
      </w:r>
      <w:r>
        <w:t>majestueuse du sommeil dans l</w:t>
      </w:r>
      <w:r>
        <w:t>’</w:t>
      </w:r>
      <w:r>
        <w:t>exposition d</w:t>
      </w:r>
      <w:r>
        <w:t>’</w:t>
      </w:r>
      <w:r>
        <w:rPr>
          <w:i/>
        </w:rPr>
        <w:t>Iphigénie</w:t>
      </w:r>
      <w:r>
        <w:t xml:space="preserve"> (« </w:t>
      </w:r>
      <w:r>
        <w:t>M</w:t>
      </w:r>
      <w:r>
        <w:t>ais tout dort, et l</w:t>
      </w:r>
      <w:r>
        <w:t>’</w:t>
      </w:r>
      <w:r>
        <w:t>armée, et les vents, et Neptune ») et celle, prosaïque, dans l</w:t>
      </w:r>
      <w:r>
        <w:t>’</w:t>
      </w:r>
      <w:r>
        <w:t>exposition d</w:t>
      </w:r>
      <w:r>
        <w:t>’</w:t>
      </w:r>
      <w:r>
        <w:rPr>
          <w:i/>
        </w:rPr>
        <w:t>Hamlet</w:t>
      </w:r>
      <w:r>
        <w:t xml:space="preserve"> (« </w:t>
      </w:r>
      <w:r>
        <w:t>J</w:t>
      </w:r>
      <w:r>
        <w:t>e n</w:t>
      </w:r>
      <w:r>
        <w:t>’</w:t>
      </w:r>
      <w:r>
        <w:t>ai pas entendu une souris trotter</w:t>
      </w:r>
      <w:r>
        <w:rPr>
          <w:rStyle w:val="Appelnotedebasdep"/>
        </w:rPr>
        <w:footnoteReference w:id="434"/>
      </w:r>
      <w:r>
        <w:t xml:space="preserve"> »). </w:t>
      </w:r>
      <w:r>
        <w:t xml:space="preserve">Comme souvent chez l’auteur des </w:t>
      </w:r>
      <w:r>
        <w:rPr>
          <w:i/>
        </w:rPr>
        <w:t>Lettres sur les Anglais</w:t>
      </w:r>
      <w:r>
        <w:t xml:space="preserve">, la célébration de la pureté racinienne s’articule avec la condamnation du goût shakespearien. Bien avant toute considération dramaturgique et </w:t>
      </w:r>
      <w:r>
        <w:t>psychologique, c’est la noblesse d’une</w:t>
      </w:r>
      <w:r>
        <w:t xml:space="preserve"> « diction toujours pure, toujours naturelle et auguste</w:t>
      </w:r>
      <w:r>
        <w:rPr>
          <w:rStyle w:val="Appelnotedebasdep"/>
        </w:rPr>
        <w:footnoteReference w:id="435"/>
      </w:r>
      <w:r>
        <w:t xml:space="preserve"> » que Voltaire prise </w:t>
      </w:r>
      <w:r>
        <w:t>chez</w:t>
      </w:r>
      <w:r>
        <w:t xml:space="preserve"> Racine. S</w:t>
      </w:r>
      <w:r>
        <w:t>’</w:t>
      </w:r>
      <w:r>
        <w:t xml:space="preserve">il distingue un vers fameux (« </w:t>
      </w:r>
      <w:r>
        <w:t>J</w:t>
      </w:r>
      <w:r>
        <w:t>e le vis : son aspect n</w:t>
      </w:r>
      <w:r>
        <w:t>’</w:t>
      </w:r>
      <w:r>
        <w:t>avait rien de farouche</w:t>
      </w:r>
      <w:r>
        <w:rPr>
          <w:rStyle w:val="Appelnotedebasdep"/>
        </w:rPr>
        <w:footnoteReference w:id="436"/>
      </w:r>
      <w:r>
        <w:t xml:space="preserve"> »), c</w:t>
      </w:r>
      <w:r>
        <w:t>’</w:t>
      </w:r>
      <w:r>
        <w:t xml:space="preserve">est ainsi </w:t>
      </w:r>
      <w:r>
        <w:t>non pour commenter l’effet de rupture qu’induit cet aveu sous forme de litote au sein de la tirade d’</w:t>
      </w:r>
      <w:r>
        <w:t>É</w:t>
      </w:r>
      <w:r>
        <w:t xml:space="preserve">riphile, mais pour s’émerveiller </w:t>
      </w:r>
      <w:r>
        <w:t>de l</w:t>
      </w:r>
      <w:r>
        <w:t xml:space="preserve">a maîtrise de la versification : « personne ne connaissait </w:t>
      </w:r>
      <w:r>
        <w:t>cet heureux mélange de syllabes longues et brèves, et de consonnes suivies de voyelles qui font couler u</w:t>
      </w:r>
      <w:r>
        <w:t>n vers avec tant de mollesse</w:t>
      </w:r>
      <w:r>
        <w:rPr>
          <w:rStyle w:val="Appelnotedebasdep"/>
        </w:rPr>
        <w:footnoteReference w:id="437"/>
      </w:r>
      <w:r>
        <w:t xml:space="preserve"> </w:t>
      </w:r>
      <w:r>
        <w:t>».</w:t>
      </w:r>
    </w:p>
    <w:p>
      <w:pPr>
        <w:ind w:firstLine="283"/>
      </w:pPr>
      <w:r>
        <w:t xml:space="preserve">On connaît l’hommage rendu aux tragédies de 1674 par Saint-Évremond, dans un contexte de concurrence entre théâtre parlé et opéra : </w:t>
      </w:r>
      <w:r>
        <w:t>« qu</w:t>
      </w:r>
      <w:r>
        <w:t>’</w:t>
      </w:r>
      <w:r>
        <w:t xml:space="preserve">on mette de la musique de Lully dans les entractes de </w:t>
      </w:r>
      <w:r>
        <w:rPr>
          <w:i/>
        </w:rPr>
        <w:t>Suréna</w:t>
      </w:r>
      <w:r>
        <w:t xml:space="preserve"> et d</w:t>
      </w:r>
      <w:r>
        <w:t>’</w:t>
      </w:r>
      <w:r>
        <w:rPr>
          <w:i/>
        </w:rPr>
        <w:t>Iphigénie</w:t>
      </w:r>
      <w:r>
        <w:t>, je veux perdre la tête si on ne se dégoûte pas des opéras</w:t>
      </w:r>
      <w:r>
        <w:rPr>
          <w:rStyle w:val="Appelnotedebasdep"/>
        </w:rPr>
        <w:footnoteReference w:id="438"/>
      </w:r>
      <w:r>
        <w:t xml:space="preserve"> ». Il est remarquable que Diderot ait prolongé cette suggestion, non pas en intercalant des morceaux musicaux mais en imaginant de mettre en musique le texte de Racine lui-même</w:t>
      </w:r>
      <w:r>
        <w:t xml:space="preserve">. Comme exemple d’extrait </w:t>
      </w:r>
      <w:r>
        <w:t xml:space="preserve">dramatique sur lequel le musicien peut déployer son art, </w:t>
      </w:r>
      <w:r>
        <w:t>l’auteur</w:t>
      </w:r>
      <w:r>
        <w:t xml:space="preserve"> </w:t>
      </w:r>
      <w:r>
        <w:t>des</w:t>
      </w:r>
      <w:r>
        <w:t xml:space="preserve"> </w:t>
      </w:r>
      <w:r>
        <w:rPr>
          <w:i/>
        </w:rPr>
        <w:t>Entretien</w:t>
      </w:r>
      <w:r>
        <w:rPr>
          <w:i/>
        </w:rPr>
        <w:t>s</w:t>
      </w:r>
      <w:r>
        <w:rPr>
          <w:i/>
        </w:rPr>
        <w:t xml:space="preserve"> sur le </w:t>
      </w:r>
      <w:r>
        <w:rPr>
          <w:i/>
        </w:rPr>
        <w:t>F</w:t>
      </w:r>
      <w:r>
        <w:rPr>
          <w:i/>
        </w:rPr>
        <w:t>ils naturel</w:t>
      </w:r>
      <w:r>
        <w:t xml:space="preserve"> </w:t>
      </w:r>
      <w:r>
        <w:t xml:space="preserve">retient en effet </w:t>
      </w:r>
      <w:r>
        <w:t xml:space="preserve">des vers </w:t>
      </w:r>
      <w:r>
        <w:t>pathétiques</w:t>
      </w:r>
      <w:r>
        <w:t xml:space="preserve"> de Clytemnestre, extraits de l</w:t>
      </w:r>
      <w:r>
        <w:t xml:space="preserve">’acte </w:t>
      </w:r>
      <w:r>
        <w:t>V puis de l</w:t>
      </w:r>
      <w:r>
        <w:t xml:space="preserve">’acte </w:t>
      </w:r>
      <w:r>
        <w:t>IV</w:t>
      </w:r>
      <w:r>
        <w:rPr>
          <w:rStyle w:val="Appelnotedebasdep"/>
        </w:rPr>
        <w:footnoteReference w:id="439"/>
      </w:r>
      <w:r>
        <w:t xml:space="preserve">. </w:t>
      </w:r>
      <w:r>
        <w:t>Ce dialogue avec</w:t>
      </w:r>
      <w:r>
        <w:t xml:space="preserve"> la tragédie de Racine frappe par son ampleur et par les effets de variation : Diderot propose des modulations selon les trois styles musicaux qu</w:t>
      </w:r>
      <w:r>
        <w:t>’</w:t>
      </w:r>
      <w:r>
        <w:t xml:space="preserve">il distingue – le style simple, le style figuré et le style intermédiaire. Ce développement sur les interférences entre art dramatique et art musical </w:t>
      </w:r>
      <w:r>
        <w:t>fait écho aux</w:t>
      </w:r>
      <w:r>
        <w:t xml:space="preserve"> pages des </w:t>
      </w:r>
      <w:r>
        <w:rPr>
          <w:i/>
        </w:rPr>
        <w:t xml:space="preserve">Lettres sur les sourds et les muets </w:t>
      </w:r>
      <w:r>
        <w:t>où Diderot imaginait une mise en musique de vers de Virgile et Lucrèce</w:t>
      </w:r>
      <w:r>
        <w:rPr>
          <w:rStyle w:val="Appelnotedebasdep"/>
        </w:rPr>
        <w:footnoteReference w:id="440"/>
      </w:r>
      <w:r>
        <w:t xml:space="preserve">. Il connaît en outre son prolongement dans </w:t>
      </w:r>
      <w:r>
        <w:rPr>
          <w:i/>
        </w:rPr>
        <w:t>Le</w:t>
      </w:r>
      <w:r>
        <w:rPr>
          <w:i/>
        </w:rPr>
        <w:t xml:space="preserve"> </w:t>
      </w:r>
      <w:r>
        <w:rPr>
          <w:i/>
        </w:rPr>
        <w:t>Neveu de Rameau</w:t>
      </w:r>
      <w:r>
        <w:t xml:space="preserve">, où après avoir ironisé sur le projet de « musiquer les </w:t>
      </w:r>
      <w:r>
        <w:rPr>
          <w:i/>
        </w:rPr>
        <w:t>Maximes</w:t>
      </w:r>
      <w:r>
        <w:t xml:space="preserve"> de La </w:t>
      </w:r>
      <w:r>
        <w:t xml:space="preserve">Rochefoucauld ou les </w:t>
      </w:r>
      <w:r>
        <w:rPr>
          <w:i/>
        </w:rPr>
        <w:t>Pensées</w:t>
      </w:r>
      <w:r>
        <w:t xml:space="preserve"> de Pascal », Diderot imagine un pot-pourri de vers raciniens susceptibles d</w:t>
      </w:r>
      <w:r>
        <w:t>’</w:t>
      </w:r>
      <w:r>
        <w:t>être transposés musicalement</w:t>
      </w:r>
      <w:r>
        <w:rPr>
          <w:rStyle w:val="Appelnotedebasdep"/>
        </w:rPr>
        <w:footnoteReference w:id="441"/>
      </w:r>
      <w:r>
        <w:t xml:space="preserve">. Dans les </w:t>
      </w:r>
      <w:r>
        <w:rPr>
          <w:i/>
        </w:rPr>
        <w:t>Entretiens</w:t>
      </w:r>
      <w:r>
        <w:t xml:space="preserve"> comme dans la dissertation musicale du </w:t>
      </w:r>
      <w:r>
        <w:rPr>
          <w:i/>
        </w:rPr>
        <w:t>Neveu</w:t>
      </w:r>
      <w:r>
        <w:t>, c</w:t>
      </w:r>
      <w:r>
        <w:t>’</w:t>
      </w:r>
      <w:r>
        <w:t>est sur le « cri de la nature », le « cri animal de la passion</w:t>
      </w:r>
      <w:r>
        <w:rPr>
          <w:rStyle w:val="Appelnotedebasdep"/>
        </w:rPr>
        <w:footnoteReference w:id="442"/>
      </w:r>
      <w:r>
        <w:t xml:space="preserve"> » que Diderot insiste en se réclamant de Racine.</w:t>
      </w:r>
      <w:r>
        <w:t xml:space="preserve"> Il s’agit de prôner une expressivité pathétique qui renoue avec « une langue originelle des passions</w:t>
      </w:r>
      <w:r>
        <w:rPr>
          <w:rStyle w:val="Appelnotedebasdep"/>
        </w:rPr>
        <w:footnoteReference w:id="443"/>
      </w:r>
      <w:r>
        <w:t xml:space="preserve"> »</w:t>
      </w:r>
      <w:r>
        <w:t xml:space="preserve"> On a souvent relevé que cette </w:t>
      </w:r>
      <w:r>
        <w:t>ébauche d</w:t>
      </w:r>
      <w:r>
        <w:t>’</w:t>
      </w:r>
      <w:r>
        <w:t>un « Paradoxe sur l</w:t>
      </w:r>
      <w:r>
        <w:t>’</w:t>
      </w:r>
      <w:r>
        <w:t>opéra » – pour citer Jacques Scherer</w:t>
      </w:r>
      <w:r>
        <w:rPr>
          <w:rStyle w:val="Appelnotedebasdep"/>
        </w:rPr>
        <w:footnoteReference w:id="444"/>
      </w:r>
      <w:r>
        <w:t xml:space="preserve"> – préfigure le travail de Gluck pour son </w:t>
      </w:r>
      <w:r>
        <w:rPr>
          <w:i/>
        </w:rPr>
        <w:t>Iphigénie</w:t>
      </w:r>
      <w:r>
        <w:t xml:space="preserve"> en 1774. Buford Norman a constaté à cet égard que « les passages choisis par Diderot sont mis en valeur dans le livret de Du</w:t>
      </w:r>
      <w:r>
        <w:t xml:space="preserve"> </w:t>
      </w:r>
      <w:r>
        <w:t>Roullet pour l</w:t>
      </w:r>
      <w:r>
        <w:t>’</w:t>
      </w:r>
      <w:r>
        <w:rPr>
          <w:i/>
        </w:rPr>
        <w:t xml:space="preserve">Iphigénie en Aulide </w:t>
      </w:r>
      <w:r>
        <w:t>de Gluck</w:t>
      </w:r>
      <w:r>
        <w:rPr>
          <w:rStyle w:val="Appelnotedebasdep"/>
        </w:rPr>
        <w:footnoteReference w:id="445"/>
      </w:r>
      <w:r>
        <w:t xml:space="preserve"> ».</w:t>
      </w:r>
    </w:p>
    <w:p>
      <w:pPr>
        <w:ind w:firstLine="283"/>
      </w:pPr>
      <w:r>
        <w:tab/>
      </w:r>
      <w:r>
        <w:t>Voltaire et Diderot sont donc sensibles, sous des formes diverses, à la qualité musicale du texte d’</w:t>
      </w:r>
      <w:r>
        <w:rPr>
          <w:i/>
        </w:rPr>
        <w:t>Iphigénie</w:t>
      </w:r>
      <w:r>
        <w:t>, que Raymond Picard comparera à « une sonate ou un oratorio</w:t>
      </w:r>
      <w:r>
        <w:rPr>
          <w:rStyle w:val="Appelnotedebasdep"/>
        </w:rPr>
        <w:footnoteReference w:id="446"/>
      </w:r>
      <w:r>
        <w:t xml:space="preserve"> ». Cette admiration pour les accents des vers raciniens s’articule avec un éloge de leur puissance tragique. En témoigne leur goût conjoint pour un même hémistiche, qu’on sait être un condensé d’ironie tragique, à la fin du premier échange entre Agamemnon et Iphigénie : « vous y serez, ma fille</w:t>
      </w:r>
      <w:r>
        <w:rPr>
          <w:rStyle w:val="Appelnotedebasdep"/>
        </w:rPr>
        <w:footnoteReference w:id="447"/>
      </w:r>
      <w:r>
        <w:t xml:space="preserve"> ». Luneau de Boisjermain, dont Voltaire cite l’édition d’</w:t>
      </w:r>
      <w:r>
        <w:rPr>
          <w:i/>
        </w:rPr>
        <w:t>Iphigénie</w:t>
      </w:r>
      <w:r>
        <w:t>, relève que « ce mot est sublime, surtout dans la simplicité de ce dialogue vif et plein de sentiment</w:t>
      </w:r>
      <w:r>
        <w:rPr>
          <w:rStyle w:val="Appelnotedebasdep"/>
        </w:rPr>
        <w:footnoteReference w:id="448"/>
      </w:r>
      <w:r>
        <w:t xml:space="preserve"> ». Voltaire y voit un « mot déchirant</w:t>
      </w:r>
      <w:r>
        <w:rPr>
          <w:rStyle w:val="Appelnotedebasdep"/>
        </w:rPr>
        <w:footnoteReference w:id="449"/>
      </w:r>
      <w:r>
        <w:t xml:space="preserve"> » qui ne pouvait qu’être suivi d’un silence. Diderot cite quant à lui cette réplique aux côtés de l’hémistiche « ils s’aimeront toujours » de </w:t>
      </w:r>
      <w:r>
        <w:t>Phèdre</w:t>
      </w:r>
      <w:r>
        <w:t xml:space="preserve"> dans </w:t>
      </w:r>
      <w:r>
        <w:rPr>
          <w:i/>
        </w:rPr>
        <w:t>De la poésie dramatique</w:t>
      </w:r>
      <w:r>
        <w:rPr>
          <w:rStyle w:val="Appelnotedebasdep"/>
        </w:rPr>
        <w:footnoteReference w:id="450"/>
      </w:r>
      <w:r>
        <w:t xml:space="preserve">, et l’associe au plus célèbre vers de Voltaire (« Zaïre, vous pleurez ») dans le </w:t>
      </w:r>
      <w:r>
        <w:rPr>
          <w:i/>
        </w:rPr>
        <w:t>Paradoxe sur le Comédien</w:t>
      </w:r>
      <w:r>
        <w:rPr>
          <w:rStyle w:val="Appelnotedebasdep"/>
        </w:rPr>
        <w:footnoteReference w:id="451"/>
      </w:r>
      <w:r>
        <w:t>. Il y revient dans l’</w:t>
      </w:r>
      <w:r>
        <w:rPr>
          <w:i/>
        </w:rPr>
        <w:t>Essai sur les règnes de Claude et Néron</w:t>
      </w:r>
      <w:r>
        <w:t>, quitte à constater une évolution de sensibilité qui lui fait préférer sur ses vieux jours l’hémistiche « soyons amis, Cinna</w:t>
      </w:r>
      <w:r>
        <w:rPr>
          <w:rStyle w:val="Appelnotedebasdep"/>
        </w:rPr>
        <w:footnoteReference w:id="452"/>
      </w:r>
      <w:r>
        <w:t xml:space="preserve"> ». Si les deux auteurs se réclament de ces mêmes mots, c’est dans des perspectives qui ne sont pas identiques. Voltaire œuvre à montrer la supériorité de cet hémistiche sur les vers d’Euripide dont on le dit imité. Dans l’</w:t>
      </w:r>
      <w:r>
        <w:rPr>
          <w:i/>
        </w:rPr>
        <w:t>Iphigénie</w:t>
      </w:r>
      <w:r>
        <w:t xml:space="preserve"> antique, le mot n’est en effet pas aussi lapidaire et n’est pas celui sur lequel se conclut pathétiquement l’échange. « L’idée est chez Euripide comme le marbre dans la carrière », écrit Voltaire, « et c’est Racine qui a construit le palais</w:t>
      </w:r>
      <w:r>
        <w:rPr>
          <w:rStyle w:val="Appelnotedebasdep"/>
        </w:rPr>
        <w:footnoteReference w:id="453"/>
      </w:r>
      <w:r>
        <w:t xml:space="preserve"> ». Il n’est pas question de rapport aux Anciens quand Diderot se réfère à cette réplique </w:t>
      </w:r>
      <w:r>
        <w:t xml:space="preserve">d’Agamemnon. Dans </w:t>
      </w:r>
      <w:r>
        <w:rPr>
          <w:i/>
        </w:rPr>
        <w:t>De la poésie dramatique</w:t>
      </w:r>
      <w:r>
        <w:t>, il s’agit de célébrer les vers dans lesquels « on met plus de sentiment, et moins de dialectique</w:t>
      </w:r>
      <w:r>
        <w:rPr>
          <w:rStyle w:val="Appelnotedebasdep"/>
        </w:rPr>
        <w:footnoteReference w:id="454"/>
      </w:r>
      <w:r>
        <w:t xml:space="preserve"> ». Quant au </w:t>
      </w:r>
      <w:r>
        <w:rPr>
          <w:i/>
        </w:rPr>
        <w:t>Paradoxe sur le comédien</w:t>
      </w:r>
      <w:r>
        <w:t>, le vers est mobilisé en tant qu’il constitue un défi exemplaire pour l’acteur qui doit le prononcer adéquatement.</w:t>
      </w:r>
    </w:p>
    <w:p>
      <w:pPr>
        <w:ind w:firstLine="283"/>
      </w:pPr>
      <w:r>
        <w:tab/>
      </w:r>
      <w:r>
        <w:t xml:space="preserve">Que ce vers soit spécifiquement </w:t>
      </w:r>
      <w:r>
        <w:t>exalté</w:t>
      </w:r>
      <w:r>
        <w:t xml:space="preserve"> montre l</w:t>
      </w:r>
      <w:r>
        <w:t>’attention</w:t>
      </w:r>
      <w:r>
        <w:t xml:space="preserve"> portée par les deux auteurs à la construction du personnage d</w:t>
      </w:r>
      <w:r>
        <w:t>’</w:t>
      </w:r>
      <w:r>
        <w:t xml:space="preserve">Agamemnon. Écrivant à Sophie Volland, Diderot souligne que la peinture du roi de Mycènes repose sur une équation apparemment insoluble : </w:t>
      </w:r>
    </w:p>
    <w:p>
      <w:pPr>
        <w:pStyle w:val="TEIquote"/>
        <w:spacing w:line="240" w:lineRule="auto"/>
        <w:ind w:left="397"/>
        <w:jc w:val="both"/>
      </w:pPr>
      <w:r>
        <w:rPr>
          <w:sz w:val="22"/>
        </w:rPr>
        <w:t>Le caractère d’Iphigénie était facile à peindre, celui d’Achille et celui d’Ulysse facile, celui de Clytemnestre plus facile encore ; mais celui d’Agamemnon, dont vous ne me dites rien, comment n’y avez-vous pas pensé ? Un père immole sa fille par ambition, et il ne faut pas qu’il soit o</w:t>
      </w:r>
      <w:r>
        <w:rPr>
          <w:sz w:val="22"/>
        </w:rPr>
        <w:t>dieux. Quel problème à résoudre</w:t>
      </w:r>
      <w:r>
        <w:rPr>
          <w:rStyle w:val="Appelnotedebasdep"/>
        </w:rPr>
        <w:footnoteReference w:id="455"/>
      </w:r>
      <w:r>
        <w:rPr>
          <w:sz w:val="22"/>
        </w:rPr>
        <w:t>.</w:t>
      </w:r>
    </w:p>
    <w:p>
      <w:pPr>
        <w:pStyle w:val="TEIparagraphconsecutive"/>
      </w:pPr>
      <w:r>
        <w:t xml:space="preserve">Tout le défi dramaturgique que devait relever le poète est synthétisé par </w:t>
      </w:r>
      <w:r>
        <w:t>le</w:t>
      </w:r>
      <w:r>
        <w:t xml:space="preserve"> </w:t>
      </w:r>
      <w:r>
        <w:rPr>
          <w:i/>
        </w:rPr>
        <w:t>et</w:t>
      </w:r>
      <w:r>
        <w:t xml:space="preserve"> d</w:t>
      </w:r>
      <w:r>
        <w:t>’</w:t>
      </w:r>
      <w:r>
        <w:t xml:space="preserve">opposition : Agamemnon « immole sa fille par ambition </w:t>
      </w:r>
      <w:r>
        <w:rPr>
          <w:i/>
        </w:rPr>
        <w:t>et</w:t>
      </w:r>
      <w:r>
        <w:t xml:space="preserve"> il ne faut pas qu</w:t>
      </w:r>
      <w:r>
        <w:t>’</w:t>
      </w:r>
      <w:r>
        <w:t xml:space="preserve">il soit odieux ». Or, Racine a excellé à concilier ces </w:t>
      </w:r>
      <w:r>
        <w:t>déterminations contraires</w:t>
      </w:r>
      <w:r>
        <w:t>, en mettant en scène les atermoiements d</w:t>
      </w:r>
      <w:r>
        <w:t>’</w:t>
      </w:r>
      <w:r>
        <w:t xml:space="preserve">Agamemnon, en lui opposant </w:t>
      </w:r>
      <w:r>
        <w:t>le fourbe</w:t>
      </w:r>
      <w:r>
        <w:t xml:space="preserve"> Ulysse et en multipliant les circonstances qui le conduisent à accepter l</w:t>
      </w:r>
      <w:r>
        <w:t>’inacceptabl</w:t>
      </w:r>
      <w:r>
        <w:t xml:space="preserve">e. La prédilection de Diderot pour </w:t>
      </w:r>
      <w:r>
        <w:rPr>
          <w:i/>
        </w:rPr>
        <w:t>Iphigénie</w:t>
      </w:r>
      <w:r>
        <w:t xml:space="preserve"> doit beaucoup à l</w:t>
      </w:r>
      <w:r>
        <w:t>’</w:t>
      </w:r>
      <w:r>
        <w:t>art avec lequel Racine a élaboré la figure d</w:t>
      </w:r>
      <w:r>
        <w:t>’</w:t>
      </w:r>
      <w:r>
        <w:t>Agamemnon. Il faut rappeler à cet égard le rôle « quasi obsédant de la figure paternelle</w:t>
      </w:r>
      <w:r>
        <w:rPr>
          <w:rStyle w:val="Appelnotedebasdep"/>
        </w:rPr>
        <w:footnoteReference w:id="456"/>
      </w:r>
      <w:r>
        <w:t xml:space="preserve"> » </w:t>
      </w:r>
      <w:r>
        <w:t>dans l’œuvre de</w:t>
      </w:r>
      <w:r>
        <w:t xml:space="preserve"> Diderot. Nul hasard si la tragédie </w:t>
      </w:r>
      <w:r>
        <w:t xml:space="preserve">à </w:t>
      </w:r>
      <w:r>
        <w:t xml:space="preserve">laquelle revient le plus souvent Diderot est celle qui comporte la figure </w:t>
      </w:r>
      <w:r>
        <w:t xml:space="preserve">la plus marquante </w:t>
      </w:r>
      <w:r>
        <w:t xml:space="preserve">de père racinien, plus étoffée que dans </w:t>
      </w:r>
      <w:r>
        <w:rPr>
          <w:i/>
        </w:rPr>
        <w:t>Phèdre</w:t>
      </w:r>
      <w:r>
        <w:t xml:space="preserve"> et soumise à un conflit tragique plus déchirant que dans </w:t>
      </w:r>
      <w:r>
        <w:rPr>
          <w:i/>
        </w:rPr>
        <w:t>Mithridate</w:t>
      </w:r>
      <w:r>
        <w:t>. L</w:t>
      </w:r>
      <w:r>
        <w:t>’</w:t>
      </w:r>
      <w:r>
        <w:t>originalité d</w:t>
      </w:r>
      <w:r>
        <w:t>’</w:t>
      </w:r>
      <w:r>
        <w:rPr>
          <w:i/>
        </w:rPr>
        <w:t>Iphigénie</w:t>
      </w:r>
      <w:r>
        <w:t xml:space="preserve"> par rapport aux autres pièces de Racine est bien de centrer plus que jamais l</w:t>
      </w:r>
      <w:r>
        <w:t>’</w:t>
      </w:r>
      <w:r>
        <w:t>intrigue sur le lien familial davantage que sur le lien amoureux. Georges Forestier note que la place de l</w:t>
      </w:r>
      <w:r>
        <w:t>’</w:t>
      </w:r>
      <w:r>
        <w:t xml:space="preserve">amour pourrait être accrue dans </w:t>
      </w:r>
      <w:r>
        <w:rPr>
          <w:i/>
        </w:rPr>
        <w:t>Iphigénie</w:t>
      </w:r>
      <w:r>
        <w:t xml:space="preserve"> et que le vrai sujet tragique est « le déchirement d</w:t>
      </w:r>
      <w:r>
        <w:t>’</w:t>
      </w:r>
      <w:r>
        <w:t>Agamemnon</w:t>
      </w:r>
      <w:r>
        <w:rPr>
          <w:rStyle w:val="Appelnotedebasdep"/>
        </w:rPr>
        <w:footnoteReference w:id="457"/>
      </w:r>
      <w:r>
        <w:t xml:space="preserve"> ». Là est </w:t>
      </w:r>
      <w:r>
        <w:t>également</w:t>
      </w:r>
      <w:r>
        <w:t xml:space="preserve"> l</w:t>
      </w:r>
      <w:r>
        <w:t>’</w:t>
      </w:r>
      <w:r>
        <w:t>une des raisons majeures de l</w:t>
      </w:r>
      <w:r>
        <w:t>’</w:t>
      </w:r>
      <w:r>
        <w:t>affection de Voltaire pour</w:t>
      </w:r>
      <w:r>
        <w:rPr>
          <w:i/>
        </w:rPr>
        <w:t xml:space="preserve"> Iphigénie</w:t>
      </w:r>
      <w:r>
        <w:t xml:space="preserve">. Voltaire dramaturge tient </w:t>
      </w:r>
      <w:r>
        <w:t xml:space="preserve">en effet </w:t>
      </w:r>
      <w:r>
        <w:t>la galanterie pour une « faiblesse</w:t>
      </w:r>
      <w:r>
        <w:rPr>
          <w:rStyle w:val="Appelnotedebasdep"/>
        </w:rPr>
        <w:footnoteReference w:id="458"/>
      </w:r>
      <w:r>
        <w:t xml:space="preserve"> » que Corneille </w:t>
      </w:r>
      <w:r>
        <w:t xml:space="preserve">lui-même </w:t>
      </w:r>
      <w:r>
        <w:t>n</w:t>
      </w:r>
      <w:r>
        <w:t>’</w:t>
      </w:r>
      <w:r>
        <w:t xml:space="preserve">a pas su éviter dans ses tragédies. Dans son propre </w:t>
      </w:r>
      <w:r>
        <w:rPr>
          <w:i/>
        </w:rPr>
        <w:t>Œdipe</w:t>
      </w:r>
      <w:r>
        <w:t>, il entendait « effacer les couleurs fades d</w:t>
      </w:r>
      <w:r>
        <w:t>’</w:t>
      </w:r>
      <w:r>
        <w:t>un amour déplacé</w:t>
      </w:r>
      <w:r>
        <w:rPr>
          <w:rStyle w:val="Appelnotedebasdep"/>
        </w:rPr>
        <w:footnoteReference w:id="459"/>
      </w:r>
      <w:r>
        <w:t xml:space="preserve"> ». Il est fier d</w:t>
      </w:r>
      <w:r>
        <w:t>’</w:t>
      </w:r>
      <w:r>
        <w:t>avoir écrit avec</w:t>
      </w:r>
      <w:r>
        <w:rPr>
          <w:i/>
        </w:rPr>
        <w:t xml:space="preserve"> Mérope </w:t>
      </w:r>
      <w:r>
        <w:t xml:space="preserve">une « tragédie sans amour, </w:t>
      </w:r>
      <w:r>
        <w:t>et qui peut-être n</w:t>
      </w:r>
      <w:r>
        <w:t>’</w:t>
      </w:r>
      <w:r>
        <w:t>en est que plus tendre</w:t>
      </w:r>
      <w:r>
        <w:rPr>
          <w:rStyle w:val="Appelnotedebasdep"/>
        </w:rPr>
        <w:footnoteReference w:id="460"/>
      </w:r>
      <w:r>
        <w:t xml:space="preserve"> ». On comprend dès lors pourquoi il porte aux nues </w:t>
      </w:r>
      <w:r>
        <w:rPr>
          <w:i/>
        </w:rPr>
        <w:t>Iphigénie</w:t>
      </w:r>
      <w:r>
        <w:t xml:space="preserve">, pièce qui selon </w:t>
      </w:r>
      <w:r>
        <w:t>Villiers</w:t>
      </w:r>
      <w:r>
        <w:t xml:space="preserve"> « a désabusé le public de l</w:t>
      </w:r>
      <w:r>
        <w:t>’</w:t>
      </w:r>
      <w:r>
        <w:t>erreur où il était qu</w:t>
      </w:r>
      <w:r>
        <w:t>’</w:t>
      </w:r>
      <w:r>
        <w:t>une tragédie ne pouvait se soutenir sans un violent amour</w:t>
      </w:r>
      <w:r>
        <w:rPr>
          <w:rStyle w:val="Appelnotedebasdep"/>
        </w:rPr>
        <w:footnoteReference w:id="461"/>
      </w:r>
      <w:r>
        <w:t xml:space="preserve"> ». Quand Voltaire écrit que « les morceaux les plus frappants d</w:t>
      </w:r>
      <w:r>
        <w:t>’</w:t>
      </w:r>
      <w:r>
        <w:rPr>
          <w:i/>
        </w:rPr>
        <w:t>Iphigénie</w:t>
      </w:r>
      <w:r>
        <w:t xml:space="preserve"> sont ceux où Clytemnestre défend sa fille, et non pas ceux où Achille défend son amante</w:t>
      </w:r>
      <w:r>
        <w:rPr>
          <w:rStyle w:val="Appelnotedebasdep"/>
        </w:rPr>
        <w:footnoteReference w:id="462"/>
      </w:r>
      <w:r>
        <w:t xml:space="preserve"> », il ne fait que rejoindre le jugement de </w:t>
      </w:r>
      <w:r>
        <w:t>Villiers</w:t>
      </w:r>
      <w:r>
        <w:t xml:space="preserve"> dans son</w:t>
      </w:r>
      <w:r>
        <w:rPr>
          <w:i/>
        </w:rPr>
        <w:t xml:space="preserve"> Entretien sur les tragédies de ce temps</w:t>
      </w:r>
      <w:r>
        <w:t>. Non que l</w:t>
      </w:r>
      <w:r>
        <w:t>’</w:t>
      </w:r>
      <w:r>
        <w:t>amour, bien sûr, soit absent</w:t>
      </w:r>
      <w:r>
        <w:t xml:space="preserve"> d’</w:t>
      </w:r>
      <w:r>
        <w:rPr>
          <w:i/>
        </w:rPr>
        <w:t>Iphigénie</w:t>
      </w:r>
      <w:r>
        <w:t>, mais Voltaire admire dans l</w:t>
      </w:r>
      <w:r>
        <w:t>’</w:t>
      </w:r>
      <w:r>
        <w:t xml:space="preserve">Achille de Racine un </w:t>
      </w:r>
      <w:r>
        <w:t>héros</w:t>
      </w:r>
      <w:r>
        <w:t xml:space="preserve"> qui s</w:t>
      </w:r>
      <w:r>
        <w:t>’</w:t>
      </w:r>
      <w:r>
        <w:t xml:space="preserve">émancipe de la galanterie à la française. </w:t>
      </w:r>
      <w:r>
        <w:t xml:space="preserve">Aussi peut-il écrire railleusement : </w:t>
      </w:r>
      <w:r>
        <w:t>« Les étrangers ne pourront pas dire de lui ce qu</w:t>
      </w:r>
      <w:r>
        <w:t>’</w:t>
      </w:r>
      <w:r>
        <w:t>ils disent d</w:t>
      </w:r>
      <w:r>
        <w:t>’Hippolyte</w:t>
      </w:r>
      <w:r>
        <w:t>, de Xipharès, d</w:t>
      </w:r>
      <w:r>
        <w:t>’</w:t>
      </w:r>
      <w:r>
        <w:t>Antiochus, de Ba</w:t>
      </w:r>
      <w:r>
        <w:t xml:space="preserve">jazet même ; ils les appellent, </w:t>
      </w:r>
      <w:r>
        <w:t xml:space="preserve">monsieur Bajazet, monsieur Antiochus, monsieur Xipharès, monsieur </w:t>
      </w:r>
      <w:r>
        <w:t>Hippolyte ;</w:t>
      </w:r>
      <w:r>
        <w:t xml:space="preserve"> et, je l</w:t>
      </w:r>
      <w:r>
        <w:t>’</w:t>
      </w:r>
      <w:r>
        <w:t>avoue, ils n</w:t>
      </w:r>
      <w:r>
        <w:t>’</w:t>
      </w:r>
      <w:r>
        <w:t>ont pas tort</w:t>
      </w:r>
      <w:r>
        <w:rPr>
          <w:rStyle w:val="Appelnotedebasdep"/>
        </w:rPr>
        <w:footnoteReference w:id="463"/>
      </w:r>
      <w:r>
        <w:t xml:space="preserve"> ».</w:t>
      </w:r>
    </w:p>
    <w:p>
      <w:pPr>
        <w:ind w:firstLine="283"/>
      </w:pPr>
      <w:r>
        <w:t>L’hommage à Agamemnon et à Achille se double d’un éloge de la figure de Clytemnestre, « modèle du grand pathétique » selon Voltaire</w:t>
      </w:r>
      <w:r>
        <w:rPr>
          <w:rStyle w:val="Appelnotedebasdep"/>
        </w:rPr>
        <w:footnoteReference w:id="464"/>
      </w:r>
      <w:r>
        <w:t>, qui à propos du vers « vous ne me parlez point, seigneur, de la victime », célèbre un sublime qui ne tient ni « à la déclamation », ni aux « pensées recherchées</w:t>
      </w:r>
      <w:r>
        <w:rPr>
          <w:rStyle w:val="Appelnotedebasdep"/>
        </w:rPr>
        <w:footnoteReference w:id="465"/>
      </w:r>
      <w:r>
        <w:t xml:space="preserve"> ». L’expression de la douleur maternelle évite les pièges de la grandiloquence. Quant à</w:t>
      </w:r>
      <w:r>
        <w:t xml:space="preserve"> é</w:t>
      </w:r>
      <w:r>
        <w:t>riphile, il est remarquable que Voltaire commente peu le « crime de lèse-poétique</w:t>
      </w:r>
      <w:r>
        <w:rPr>
          <w:rStyle w:val="Appelnotedebasdep"/>
        </w:rPr>
        <w:footnoteReference w:id="466"/>
      </w:r>
      <w:r>
        <w:t xml:space="preserve"> » que constitue le dénouement racinien. Il interroge surtout la possibilité d’une empathie pour la fille d’Hélène, en discernant une évolution au sein de la pièce. Si dans le deuxième acte, « l’auteur sait intéresser pour</w:t>
      </w:r>
      <w:r>
        <w:t xml:space="preserve"> é</w:t>
      </w:r>
      <w:r>
        <w:t>riphile elle-même », Racine œuvre à partir du quatrième acte à ce qu’elle soit « oubliée et bientôt haïe</w:t>
      </w:r>
      <w:r>
        <w:rPr>
          <w:rStyle w:val="Appelnotedebasdep"/>
        </w:rPr>
        <w:footnoteReference w:id="467"/>
      </w:r>
      <w:r>
        <w:t xml:space="preserve"> » afin de rendre la conclusion de la pièce supportable. En définitive, Voltaire et Diderot applaudissent en </w:t>
      </w:r>
      <w:r>
        <w:rPr>
          <w:i/>
        </w:rPr>
        <w:t>Iphigénie</w:t>
      </w:r>
      <w:r>
        <w:t xml:space="preserve"> à la fois une diction d’une pureté sans égal et une construction dramaturgique virtuose. Il n’en résulte pas qu’aucune réserve ne soit ponctuellement apportée, par exemple sur le retard d’Eurybate, qui est selon Diderot une trop légère justification de l’arrivée de Clytemnestre et Iphigénie à Aulis. Il arrive du reste que la référence à </w:t>
      </w:r>
      <w:r>
        <w:rPr>
          <w:i/>
        </w:rPr>
        <w:t>Iphigénie</w:t>
      </w:r>
      <w:r>
        <w:t xml:space="preserve"> soit joueuse, comme lorsque pour railler le haut style tragique Diderot imagine Henri IV disant à Sully : « Oui, c’est Henri, c’est ton roi qui t’éveille</w:t>
      </w:r>
      <w:r>
        <w:rPr>
          <w:rStyle w:val="Appelnotedebasdep"/>
        </w:rPr>
        <w:footnoteReference w:id="468"/>
      </w:r>
      <w:r>
        <w:t xml:space="preserve"> ». Diderot détourne ici des vers fameux </w:t>
      </w:r>
      <w:r>
        <w:t>d’Agamemnon comme Des Grieux et Manon ceux d’</w:t>
      </w:r>
      <w:r>
        <w:t>é</w:t>
      </w:r>
      <w:r>
        <w:t>riphile dans une scène du roman de Prévost où ils se livrent à une parodie d’</w:t>
      </w:r>
      <w:r>
        <w:rPr>
          <w:i/>
        </w:rPr>
        <w:t>Iphigénie</w:t>
      </w:r>
      <w:r>
        <w:rPr>
          <w:rStyle w:val="Appelnotedebasdep"/>
        </w:rPr>
        <w:footnoteReference w:id="469"/>
      </w:r>
      <w:r>
        <w:t>.</w:t>
      </w:r>
      <w:r>
        <w:t xml:space="preserve"> Il n’en demeure pas moins que c’est le rapport admiratif qui prime, comme chez Diderot en témoigne par excellence le long développement consacré à la mise en musique d’</w:t>
      </w:r>
      <w:r>
        <w:rPr>
          <w:i/>
        </w:rPr>
        <w:t>Iphigénie</w:t>
      </w:r>
      <w:r>
        <w:t xml:space="preserve">. Dans ces pages des </w:t>
      </w:r>
      <w:r>
        <w:rPr>
          <w:i/>
        </w:rPr>
        <w:t>Entretiens</w:t>
      </w:r>
      <w:r>
        <w:t>, les vers de Racine qu’il sollicite expriment un paroxysme de violence (« Ma fille couronnée / Tend la gorge aux couteaux par son père apprêtés. / Calchas va dans son sang… Barbares, arrêtez</w:t>
      </w:r>
      <w:r>
        <w:rPr>
          <w:rStyle w:val="Appelnotedebasdep"/>
        </w:rPr>
        <w:footnoteReference w:id="470"/>
      </w:r>
      <w:r>
        <w:t xml:space="preserve"> »). De tels extraits suggèrent un autre enjeu, idéologique et non pas seulement esthétique, de la référence à </w:t>
      </w:r>
      <w:r>
        <w:rPr>
          <w:i/>
        </w:rPr>
        <w:t>Iphigénie</w:t>
      </w:r>
      <w:r>
        <w:t xml:space="preserve"> : le scandale du sacrifice sanglant.</w:t>
      </w:r>
    </w:p>
    <w:p>
      <w:pPr>
        <w:pStyle w:val="Titre2"/>
      </w:pPr>
      <w:r>
        <w:rPr>
          <w:b/>
          <w:smallCaps/>
          <w:sz w:val="28"/>
        </w:rPr>
        <w:t>L’ombre de Calchas : le fanatisme en question</w:t>
      </w:r>
    </w:p>
    <w:p>
      <w:pPr>
        <w:ind w:firstLine="283"/>
      </w:pPr>
      <w:r>
        <w:tab/>
      </w:r>
      <w:r>
        <w:t>On ne s’étonne pas que l’ombre de Calchas se profile dans l’art</w:t>
      </w:r>
      <w:r>
        <w:t>icle</w:t>
      </w:r>
      <w:r>
        <w:t xml:space="preserve"> </w:t>
      </w:r>
      <w:r>
        <w:rPr>
          <w:smallCaps/>
        </w:rPr>
        <w:t>Fanatisme</w:t>
      </w:r>
      <w:r>
        <w:t xml:space="preserve"> de </w:t>
      </w:r>
      <w:r>
        <w:rPr>
          <w:i/>
        </w:rPr>
        <w:t>L’Encyclopédie</w:t>
      </w:r>
      <w:r>
        <w:t xml:space="preserve"> : « ce même Achille qui avait arraché Iphigénie au couteau de Calchas, demande le sang de Polyxène</w:t>
      </w:r>
      <w:r>
        <w:rPr>
          <w:rStyle w:val="Appelnotedebasdep"/>
        </w:rPr>
        <w:footnoteReference w:id="471"/>
      </w:r>
      <w:r>
        <w:t xml:space="preserve"> ».</w:t>
      </w:r>
      <w:r>
        <w:t xml:space="preserve"> </w:t>
      </w:r>
      <w:r>
        <w:t xml:space="preserve">Le prêtre </w:t>
      </w:r>
      <w:r>
        <w:t xml:space="preserve">que l’on peut soupçonner, avec </w:t>
      </w:r>
      <w:r>
        <w:t xml:space="preserve">Tony Gheeraert, </w:t>
      </w:r>
      <w:r>
        <w:t xml:space="preserve">de </w:t>
      </w:r>
      <w:r>
        <w:t>« tire</w:t>
      </w:r>
      <w:r>
        <w:t>r</w:t>
      </w:r>
      <w:r>
        <w:t xml:space="preserve"> les ficelles de l’action</w:t>
      </w:r>
      <w:r>
        <w:t xml:space="preserve"> » et d’« instrumentaliser le sacré », </w:t>
      </w:r>
      <w:r>
        <w:t>est en effet « avide de sang</w:t>
      </w:r>
      <w:r>
        <w:rPr>
          <w:rStyle w:val="Appelnotedebasdep"/>
        </w:rPr>
        <w:footnoteReference w:id="472"/>
      </w:r>
      <w:r>
        <w:t xml:space="preserve"> »</w:t>
      </w:r>
      <w:r>
        <w:t xml:space="preserve">. </w:t>
      </w:r>
      <w:r>
        <w:t xml:space="preserve">Il n’est sans doute pas de figure </w:t>
      </w:r>
      <w:r>
        <w:rPr>
          <w:i/>
        </w:rPr>
        <w:t>in absentia</w:t>
      </w:r>
      <w:r>
        <w:t xml:space="preserve"> dans le corpus racinien dont le rôle soit aussi insistant et ambivalent. </w:t>
      </w:r>
      <w:r>
        <w:t xml:space="preserve">Voltaire n’a pas manqué d’épingler la monstruosité de Calchas, </w:t>
      </w:r>
      <w:r>
        <w:t xml:space="preserve">dans le chant </w:t>
      </w:r>
      <w:r>
        <w:t xml:space="preserve">V de la </w:t>
      </w:r>
      <w:r>
        <w:rPr>
          <w:i/>
        </w:rPr>
        <w:t>Henriade</w:t>
      </w:r>
      <w:r>
        <w:t xml:space="preserve"> : « Il vient, le Fanatisme e</w:t>
      </w:r>
      <w:r>
        <w:t>s</w:t>
      </w:r>
      <w:r>
        <w:t>t son horrible nom […] C’est lui qui, de Calchas ouvrant</w:t>
      </w:r>
      <w:r>
        <w:t xml:space="preserve"> la bouche impie / Demanda par sa voix la mort d’Iphigénie</w:t>
      </w:r>
      <w:r>
        <w:rPr>
          <w:rStyle w:val="Appelnotedebasdep"/>
        </w:rPr>
        <w:footnoteReference w:id="473"/>
      </w:r>
      <w:r>
        <w:t xml:space="preserve"> ».</w:t>
      </w:r>
      <w:r>
        <w:t xml:space="preserve"> Le devin aurait une place de choix dans l’histoire des atrocités commises au nom du Ciel. </w:t>
      </w:r>
      <w:r>
        <w:t>Dans l’</w:t>
      </w:r>
      <w:r>
        <w:rPr>
          <w:i/>
        </w:rPr>
        <w:t>Histoire de Jenni</w:t>
      </w:r>
      <w:r>
        <w:t xml:space="preserve">, </w:t>
      </w:r>
      <w:r>
        <w:t>Voltaire</w:t>
      </w:r>
      <w:r>
        <w:t xml:space="preserve"> ironise</w:t>
      </w:r>
      <w:r>
        <w:t xml:space="preserve"> moyennant un adverbe</w:t>
      </w:r>
      <w:r>
        <w:t xml:space="preserve"> : « Le </w:t>
      </w:r>
      <w:r>
        <w:t>fanatique</w:t>
      </w:r>
      <w:r>
        <w:t xml:space="preserve"> égorgera pieusement [Iphigénie] sur l’autel, et croira que Jupiter lui en a beaucoup d’obligation</w:t>
      </w:r>
      <w:r>
        <w:rPr>
          <w:rStyle w:val="Appelnotedebasdep"/>
        </w:rPr>
        <w:footnoteReference w:id="474"/>
      </w:r>
      <w:r>
        <w:t xml:space="preserve"> ». Aussi est-on frappé par le curieux silence de Voltaire sur la question quand il commente longuement l</w:t>
      </w:r>
      <w:r>
        <w:t>a tragédie de Racine dans l’article</w:t>
      </w:r>
      <w:r>
        <w:t xml:space="preserve"> </w:t>
      </w:r>
      <w:r>
        <w:rPr>
          <w:smallCaps/>
        </w:rPr>
        <w:t xml:space="preserve">Art </w:t>
      </w:r>
      <w:r>
        <w:rPr>
          <w:smallCaps/>
        </w:rPr>
        <w:t>Dramatique</w:t>
      </w:r>
      <w:r>
        <w:t>. Alors que son examen d’</w:t>
      </w:r>
      <w:r>
        <w:rPr>
          <w:i/>
        </w:rPr>
        <w:t>Athalie</w:t>
      </w:r>
      <w:r>
        <w:t xml:space="preserve"> commence par des invectives contre Joad, « factieux, insolent, enthousiaste, inflexible, sanguinaire</w:t>
      </w:r>
      <w:r>
        <w:rPr>
          <w:rStyle w:val="Appelnotedebasdep"/>
        </w:rPr>
        <w:footnoteReference w:id="475"/>
      </w:r>
      <w:r>
        <w:t xml:space="preserve"> », il ne dit mot du fanatisme de Calchas dans </w:t>
      </w:r>
      <w:r>
        <w:rPr>
          <w:i/>
        </w:rPr>
        <w:t>Iphigénie</w:t>
      </w:r>
      <w:r>
        <w:t xml:space="preserve">. Les éditeurs de Kehl </w:t>
      </w:r>
      <w:r>
        <w:t>ont réprouvé ce silence du pourfendeur de l’Infâme : ils introduisent une longue note reprochant à cette « admirable tragédie » ne pas mettre plus clairement en cause « la fourberie des oracles et le fanatisme sanguinaire des prêtres païens</w:t>
      </w:r>
      <w:r>
        <w:rPr>
          <w:rStyle w:val="Appelnotedebasdep"/>
        </w:rPr>
        <w:footnoteReference w:id="476"/>
      </w:r>
      <w:r>
        <w:t xml:space="preserve"> ». Voilà donc Voltaire à qui l’on reproche d’être insuffisamment voltairien. Est-ce à dire qu’il lit seulement </w:t>
      </w:r>
      <w:r>
        <w:rPr>
          <w:i/>
        </w:rPr>
        <w:t>Iphigénie</w:t>
      </w:r>
      <w:r>
        <w:t xml:space="preserve"> en esthète et non en idéologue ? Ce serait omettre un détail qui n’en est pas un : la citation </w:t>
      </w:r>
      <w:r>
        <w:t xml:space="preserve">qu’il fait de Lucrèce après son examen du premier acte de la tragédie. Il ne prélève en effet pas les vers dont se réclame Racine dans sa préface, mais ceux qui suivent et qui constituent un réquisitoire contre la superstition : « </w:t>
      </w:r>
      <w:r>
        <w:rPr>
          <w:i/>
        </w:rPr>
        <w:t>tantum relligio potuit suadere malorum</w:t>
      </w:r>
      <w:r>
        <w:rPr>
          <w:rStyle w:val="Appelnotedebasdep"/>
        </w:rPr>
        <w:footnoteReference w:id="477"/>
      </w:r>
      <w:r>
        <w:t xml:space="preserve"> ». Ce patronage lucrétien </w:t>
      </w:r>
      <w:r>
        <w:t>révèle</w:t>
      </w:r>
      <w:r>
        <w:t xml:space="preserve"> assez l’opinion que le défenseur de Calas</w:t>
      </w:r>
      <w:r>
        <w:t xml:space="preserve"> se fait de l’oracle de Calchas</w:t>
      </w:r>
      <w:r>
        <w:t>. Voltaire a beau ne pas avoir fait une lecture militante d’</w:t>
      </w:r>
      <w:r>
        <w:rPr>
          <w:i/>
        </w:rPr>
        <w:t>Iphigénie</w:t>
      </w:r>
      <w:r>
        <w:t>, il</w:t>
      </w:r>
      <w:r>
        <w:t xml:space="preserve"> en ouvre discrètement la voie.</w:t>
      </w:r>
    </w:p>
    <w:p>
      <w:pPr>
        <w:ind w:firstLine="283"/>
      </w:pPr>
      <w:r>
        <w:t xml:space="preserve">En 1782, l’auteur d’une lettre de </w:t>
      </w:r>
      <w:r>
        <w:rPr>
          <w:i/>
        </w:rPr>
        <w:t>L’Année littéraire</w:t>
      </w:r>
      <w:r>
        <w:t xml:space="preserve"> cite le même vers de Lucrèce sur les maux de la religion puis écrit : « si de nos jours Voltaire eût fait une </w:t>
      </w:r>
      <w:r>
        <w:rPr>
          <w:i/>
        </w:rPr>
        <w:t>Iphigénie</w:t>
      </w:r>
      <w:r>
        <w:t>, quel rôle le prêtre Calchas n’eût-il pas joué dans la pièce, que d’invectives brillantes contre les oracles, que de fières déclamations contre le fanatisme</w:t>
      </w:r>
      <w:r>
        <w:rPr>
          <w:rStyle w:val="Appelnotedebasdep"/>
        </w:rPr>
        <w:footnoteReference w:id="478"/>
      </w:r>
      <w:r>
        <w:t xml:space="preserve"> ». Faut-il donc rêver à une </w:t>
      </w:r>
      <w:r>
        <w:rPr>
          <w:i/>
        </w:rPr>
        <w:t>Iphigénie</w:t>
      </w:r>
      <w:r>
        <w:t xml:space="preserve"> voltairienne ? En réalité, la France des Lumières en a offert une, de la plume d’un épigone de Voltaire, Guim</w:t>
      </w:r>
      <w:r>
        <w:t xml:space="preserve">ond de la Touche. Dans son </w:t>
      </w:r>
      <w:r>
        <w:rPr>
          <w:i/>
        </w:rPr>
        <w:t>Iphigénie</w:t>
      </w:r>
      <w:r>
        <w:t xml:space="preserve"> de 1757, il s’inspire de l’esthétique de </w:t>
      </w:r>
      <w:r>
        <w:rPr>
          <w:i/>
        </w:rPr>
        <w:t>Mérope</w:t>
      </w:r>
      <w:r>
        <w:t xml:space="preserve"> et de </w:t>
      </w:r>
      <w:r>
        <w:rPr>
          <w:i/>
        </w:rPr>
        <w:t>Mahomet</w:t>
      </w:r>
      <w:r>
        <w:t xml:space="preserve"> pour concilier la matière euripidienne avec un réquisitoire contre les prêtres et la superstition. S’il reprend localement des vers de Racine, c’est dans le cadre d’une offensive très voltairienne contre l’Infâme. Encore ne s’agit-il pas d’une </w:t>
      </w:r>
      <w:r>
        <w:rPr>
          <w:i/>
        </w:rPr>
        <w:t>Iphigénie à Aulis</w:t>
      </w:r>
      <w:r>
        <w:t xml:space="preserve">, mais de « l’autre </w:t>
      </w:r>
      <w:r>
        <w:rPr>
          <w:i/>
        </w:rPr>
        <w:t>Iphigénie</w:t>
      </w:r>
      <w:r>
        <w:rPr>
          <w:rStyle w:val="Appelnotedebasdep"/>
        </w:rPr>
        <w:footnoteReference w:id="479"/>
      </w:r>
      <w:r>
        <w:t xml:space="preserve"> </w:t>
      </w:r>
      <w:r>
        <w:t xml:space="preserve">» sur laquelle Racine avait envisagé d’écrire : </w:t>
      </w:r>
      <w:r>
        <w:rPr>
          <w:i/>
        </w:rPr>
        <w:t>Iphigénie en Tauride</w:t>
      </w:r>
      <w:r>
        <w:t xml:space="preserve">. C’est l’Iphigénie sacrifiante plutôt que sacrifiée qui semble avoir pu se prêter particulièrement, au </w:t>
      </w:r>
      <w:r>
        <w:rPr>
          <w:smallCaps/>
        </w:rPr>
        <w:t>xviii</w:t>
      </w:r>
      <w:r>
        <w:rPr>
          <w:vertAlign w:val="superscript"/>
        </w:rPr>
        <w:t>e</w:t>
      </w:r>
      <w:r>
        <w:t xml:space="preserve"> siècle, aux tirades militantes. Voltaire a beau s’être montré sévère envers cette pièce, que Diderot a pour sa part accueillie froidement, la tragédie de Guimond de la Touche est l’exemple d’une authentique </w:t>
      </w:r>
      <w:r>
        <w:rPr>
          <w:i/>
        </w:rPr>
        <w:t>Iphigénie</w:t>
      </w:r>
      <w:r>
        <w:t xml:space="preserve"> des Lumières</w:t>
      </w:r>
      <w:r>
        <w:rPr>
          <w:rStyle w:val="Appelnotedebasdep"/>
        </w:rPr>
        <w:footnoteReference w:id="480"/>
      </w:r>
      <w:r>
        <w:t xml:space="preserve">. </w:t>
      </w:r>
    </w:p>
    <w:p>
      <w:pPr>
        <w:ind w:firstLine="283"/>
      </w:pPr>
      <w:r>
        <w:tab/>
      </w:r>
      <w:r>
        <w:t xml:space="preserve">Chez Diderot, </w:t>
      </w:r>
      <w:r>
        <w:t xml:space="preserve">l’inflexibilité sanguinaire de Calchas est volontiers épinglée. Il est révélateur qu’il </w:t>
      </w:r>
      <w:r>
        <w:t>annote un hémistiche de Lemierre (« Calchas même est touché ») en déclarant : « faux. Le prêtre est toujours dur comme ses dieux</w:t>
      </w:r>
      <w:r>
        <w:rPr>
          <w:rStyle w:val="Appelnotedebasdep"/>
        </w:rPr>
        <w:footnoteReference w:id="481"/>
      </w:r>
      <w:r>
        <w:t xml:space="preserve"> ».</w:t>
      </w:r>
      <w:r>
        <w:t xml:space="preserve"> </w:t>
      </w:r>
      <w:r>
        <w:t xml:space="preserve">Le prêtre </w:t>
      </w:r>
      <w:r>
        <w:t>assoiffé</w:t>
      </w:r>
      <w:r>
        <w:t xml:space="preserve"> de sang ne saurait être accessible à la compassion.</w:t>
      </w:r>
      <w:r>
        <w:t xml:space="preserve"> </w:t>
      </w:r>
      <w:r>
        <w:t xml:space="preserve">Aussi ne s’étonne-t-on pas que </w:t>
      </w:r>
      <w:r>
        <w:t xml:space="preserve">le </w:t>
      </w:r>
      <w:r>
        <w:t>vers</w:t>
      </w:r>
      <w:r>
        <w:t xml:space="preserve"> railleur d’Achille </w:t>
      </w:r>
      <w:r>
        <w:t xml:space="preserve">sur lequel se conclut l’acte III </w:t>
      </w:r>
      <w:r>
        <w:t xml:space="preserve">– « </w:t>
      </w:r>
      <w:r>
        <w:t>C</w:t>
      </w:r>
      <w:r>
        <w:t xml:space="preserve">et oracle est plus sûr que </w:t>
      </w:r>
      <w:r>
        <w:t>celui</w:t>
      </w:r>
      <w:r>
        <w:t xml:space="preserve"> de Calchas » – </w:t>
      </w:r>
      <w:r>
        <w:t xml:space="preserve">soit cité par Diderot. Mangogul s’en réclame parodiquement à la fin du chapitre LI des </w:t>
      </w:r>
      <w:r>
        <w:rPr>
          <w:i/>
        </w:rPr>
        <w:t>Bijoux indiscrets</w:t>
      </w:r>
      <w:r>
        <w:t>, ce qui lui vaut cette réponse de la favorite : « comment ! Vous possédez votre Racine comme un acteur</w:t>
      </w:r>
      <w:r>
        <w:rPr>
          <w:rStyle w:val="Appelnotedebasdep"/>
        </w:rPr>
        <w:footnoteReference w:id="482"/>
      </w:r>
      <w:r>
        <w:t xml:space="preserve"> ».</w:t>
      </w:r>
      <w:r>
        <w:t xml:space="preserve"> </w:t>
      </w:r>
      <w:r>
        <w:t xml:space="preserve">Dans les écrits de théorie théâtrale où il mobilise la pièce de Racine, Diderot revient toujours à la scène </w:t>
      </w:r>
      <w:r>
        <w:t>–</w:t>
      </w:r>
      <w:r>
        <w:t xml:space="preserve"> fantasmée puisque le dramaturge élabore un </w:t>
      </w:r>
      <w:r>
        <w:t>dénouement</w:t>
      </w:r>
      <w:r>
        <w:t xml:space="preserve"> alternatif – de l’immolation de l’héroïne. Ce qui le frappe est bien l’image de l’innocente « conduite vers un autel sur lequel on doit l’immoler</w:t>
      </w:r>
      <w:r>
        <w:rPr>
          <w:rStyle w:val="Appelnotedebasdep"/>
        </w:rPr>
        <w:footnoteReference w:id="483"/>
      </w:r>
      <w:r>
        <w:t xml:space="preserve"> ». C’est à ce titre que Suzanne, présentée comme une « jeune victime </w:t>
      </w:r>
      <w:r>
        <w:t>mourante qu’on portait à l’autel</w:t>
      </w:r>
      <w:r>
        <w:rPr>
          <w:rStyle w:val="Appelnotedebasdep"/>
        </w:rPr>
        <w:footnoteReference w:id="484"/>
      </w:r>
      <w:r>
        <w:t xml:space="preserve"> » est dans </w:t>
      </w:r>
      <w:r>
        <w:rPr>
          <w:i/>
        </w:rPr>
        <w:t xml:space="preserve">La </w:t>
      </w:r>
      <w:r>
        <w:rPr>
          <w:i/>
        </w:rPr>
        <w:t>Religieuse</w:t>
      </w:r>
      <w:r>
        <w:t xml:space="preserve"> une descendante d’</w:t>
      </w:r>
      <w:r>
        <w:rPr>
          <w:i/>
        </w:rPr>
        <w:t>Iphigénie</w:t>
      </w:r>
      <w:r>
        <w:t xml:space="preserve">. Diderot souligne cet insoutenable scandale du sacrifice en même temps qu’il est frappé par sa puissance esthétique. </w:t>
      </w:r>
      <w:r>
        <w:t>Dans</w:t>
      </w:r>
      <w:r>
        <w:t xml:space="preserve"> l’article « Composition, en peinture », de </w:t>
      </w:r>
      <w:r>
        <w:rPr>
          <w:i/>
        </w:rPr>
        <w:t>l’Encyclopédie</w:t>
      </w:r>
      <w:r>
        <w:t xml:space="preserve">, il </w:t>
      </w:r>
      <w:r>
        <w:t xml:space="preserve">isole ainsi l’instant de la mise à mort en insistant sur sa valeur spectaculaire : </w:t>
      </w:r>
      <w:r>
        <w:t>« Dans le moment où Calchas lève le couteau sur le sein d’Iphigénie, l’horreur, la compassion, la douleur, doivent se montrer au plus haut degré sur les visages des assistants</w:t>
      </w:r>
      <w:r>
        <w:rPr>
          <w:rStyle w:val="Appelnotedebasdep"/>
        </w:rPr>
        <w:footnoteReference w:id="485"/>
      </w:r>
      <w:r>
        <w:t xml:space="preserve"> ». Que Calchas </w:t>
      </w:r>
      <w:r>
        <w:t>soit l’</w:t>
      </w:r>
      <w:r>
        <w:t xml:space="preserve">emblème du fanatisme, c’est ce qu’illustre un autre article de </w:t>
      </w:r>
      <w:r>
        <w:t>l’</w:t>
      </w:r>
      <w:r>
        <w:rPr>
          <w:i/>
        </w:rPr>
        <w:t>Encyclopédie</w:t>
      </w:r>
      <w:r>
        <w:t xml:space="preserve">, celui que Diderot consacre </w:t>
      </w:r>
      <w:r>
        <w:t>au traumatisme de la Saint-</w:t>
      </w:r>
      <w:r>
        <w:t>Barthélemy. C’est en effet le souvenir du sacrifice d’</w:t>
      </w:r>
      <w:r>
        <w:rPr>
          <w:i/>
        </w:rPr>
        <w:t>Iphigénie</w:t>
      </w:r>
      <w:r>
        <w:t xml:space="preserve"> qu’évoque ce massacre : « je n’ai pas la for</w:t>
      </w:r>
      <w:r>
        <w:t>ce d’en dire davantage. Lorsqu’</w:t>
      </w:r>
      <w:r>
        <w:t>Agamemnon vit entrer sa fille dans la forêt où elle devait être immolée, il se couvrit le visage du pan de sa robe</w:t>
      </w:r>
      <w:r>
        <w:rPr>
          <w:rStyle w:val="Appelnotedebasdep"/>
        </w:rPr>
        <w:footnoteReference w:id="486"/>
      </w:r>
      <w:r>
        <w:t xml:space="preserve"> ». Par cette interruption qui, comme le souligne Michel Delon, « a ici un but militant</w:t>
      </w:r>
      <w:r>
        <w:rPr>
          <w:rStyle w:val="Appelnotedebasdep"/>
        </w:rPr>
        <w:footnoteReference w:id="487"/>
      </w:r>
      <w:r>
        <w:t xml:space="preserve"> », Diderot renoue avec un débat </w:t>
      </w:r>
      <w:r>
        <w:t xml:space="preserve">esthétique </w:t>
      </w:r>
      <w:r>
        <w:t>ancien, et sur lequel Voltaire se prononce différemment : le</w:t>
      </w:r>
      <w:r>
        <w:t xml:space="preserve"> commentaire du</w:t>
      </w:r>
      <w:r>
        <w:t xml:space="preserve"> voile de Timanthe.</w:t>
      </w:r>
    </w:p>
    <w:p>
      <w:pPr>
        <w:pStyle w:val="Titre3"/>
      </w:pPr>
      <w:r>
        <w:rPr>
          <w:b/>
          <w:smallCaps/>
          <w:sz w:val="26"/>
        </w:rPr>
        <w:t>L’ineffable de la douleur : (dé)voiler Agamemnon</w:t>
      </w:r>
    </w:p>
    <w:p>
      <w:pPr>
        <w:ind w:firstLine="283"/>
      </w:pPr>
      <w:r>
        <w:tab/>
      </w:r>
      <w:r>
        <w:t>On sait combien</w:t>
      </w:r>
      <w:r>
        <w:t xml:space="preserve"> le voile dont le peintre Timanthe a, dans sa représentation du sacrifice d’Iphigénie, couvert pudiquement le visage d’Agamemnon, a suscité une ample tradition d’exégèse</w:t>
      </w:r>
      <w:r>
        <w:rPr>
          <w:rStyle w:val="Appelnotedebasdep"/>
        </w:rPr>
        <w:footnoteReference w:id="488"/>
      </w:r>
      <w:r>
        <w:t xml:space="preserve">. </w:t>
      </w:r>
      <w:r>
        <w:t xml:space="preserve">Nous ne reviendrons pas sur la présence fondatrice de ce motif chez Euripide, sur les commentaires dont il a fait l’objet </w:t>
      </w:r>
      <w:r>
        <w:t>chez</w:t>
      </w:r>
      <w:r>
        <w:t xml:space="preserve"> Pline et Quintilien, ni sur l’éch</w:t>
      </w:r>
      <w:r>
        <w:t xml:space="preserve">o que lui donne Racine à l’acte </w:t>
      </w:r>
      <w:r>
        <w:t>V, en articulant deux significations du voile (le voile qui empêche de voir, le voile qui empêche d’être vu) : « le triste Agamemnon, qui n’ose l’avouer / Pour détourner ses yeux des meurtres qu’il présage / Ou pour cacher ses pleurs, s’est voilé le visage</w:t>
      </w:r>
      <w:r>
        <w:rPr>
          <w:rStyle w:val="Appelnotedebasdep"/>
        </w:rPr>
        <w:footnoteReference w:id="489"/>
      </w:r>
      <w:r>
        <w:t xml:space="preserve"> ». Cette </w:t>
      </w:r>
      <w:r>
        <w:t>figuration de la douleur par la négative</w:t>
      </w:r>
      <w:r>
        <w:t xml:space="preserve"> a donné lieu à de vifs débats au milieu du </w:t>
      </w:r>
      <w:r>
        <w:rPr>
          <w:smallCaps/>
        </w:rPr>
        <w:t>xviii</w:t>
      </w:r>
      <w:r>
        <w:rPr>
          <w:vertAlign w:val="superscript"/>
        </w:rPr>
        <w:t>e</w:t>
      </w:r>
      <w:r>
        <w:t xml:space="preserve"> siècle lorsque Van</w:t>
      </w:r>
      <w:r>
        <w:t xml:space="preserve"> </w:t>
      </w:r>
      <w:r>
        <w:t xml:space="preserve">Loo </w:t>
      </w:r>
      <w:r>
        <w:t>contrevient en 1757 aux</w:t>
      </w:r>
      <w:r>
        <w:t xml:space="preserve"> principes esthétiques de Timanthe pour </w:t>
      </w:r>
      <w:r>
        <w:rPr>
          <w:i/>
        </w:rPr>
        <w:t>donner à voir</w:t>
      </w:r>
      <w:r>
        <w:t xml:space="preserve"> le visage désespéré d’Agamemnon. Un partage se fait</w:t>
      </w:r>
      <w:r>
        <w:t xml:space="preserve"> alors</w:t>
      </w:r>
      <w:r>
        <w:t xml:space="preserve"> jour entre les partisans du voile et ceux du dévoilement. D</w:t>
      </w:r>
      <w:r>
        <w:t>ans cette « querelle du voile</w:t>
      </w:r>
      <w:r>
        <w:rPr>
          <w:rStyle w:val="Appelnotedebasdep"/>
        </w:rPr>
        <w:footnoteReference w:id="490"/>
      </w:r>
      <w:r>
        <w:t xml:space="preserve"> »</w:t>
      </w:r>
      <w:r>
        <w:t xml:space="preserve">, Voltaire et Diderot </w:t>
      </w:r>
      <w:r>
        <w:t xml:space="preserve">adoptent des positions distinctes. </w:t>
      </w:r>
    </w:p>
    <w:p>
      <w:pPr>
        <w:ind w:firstLine="283"/>
      </w:pPr>
      <w:r>
        <w:t>Comme Caylus, Voltaire se montre</w:t>
      </w:r>
      <w:r>
        <w:t xml:space="preserve"> favorable au parti pris de Van </w:t>
      </w:r>
      <w:r>
        <w:t xml:space="preserve">Loo, c’est-à-dire au dévoilement du visage. Critiquant le voile de Timanthe à partir d’une double prosopopée (celle du peintre exposant son choix, celle de connaisseurs du </w:t>
      </w:r>
      <w:r>
        <w:rPr>
          <w:smallCaps/>
        </w:rPr>
        <w:t>xviii</w:t>
      </w:r>
      <w:r>
        <w:rPr>
          <w:vertAlign w:val="superscript"/>
        </w:rPr>
        <w:t>e</w:t>
      </w:r>
      <w:r>
        <w:t xml:space="preserve"> siècle </w:t>
      </w:r>
      <w:r>
        <w:t xml:space="preserve">le </w:t>
      </w:r>
      <w:r>
        <w:t>contestant</w:t>
      </w:r>
      <w:r>
        <w:t xml:space="preserve">), il ne se contente pas de regretter l’effet selon lui </w:t>
      </w:r>
      <w:r>
        <w:t xml:space="preserve">« </w:t>
      </w:r>
      <w:r>
        <w:t>fâcheux</w:t>
      </w:r>
      <w:r>
        <w:t xml:space="preserve"> »</w:t>
      </w:r>
      <w:r>
        <w:t xml:space="preserve"> d’un voile qui heurte la vraisemblance et le bon goût. Il estime que ce visage dissimulé est « un trait d’esprit et non pas un trait de </w:t>
      </w:r>
      <w:r>
        <w:t>peintre</w:t>
      </w:r>
      <w:r>
        <w:rPr>
          <w:rStyle w:val="Appelnotedebasdep"/>
        </w:rPr>
        <w:footnoteReference w:id="491"/>
      </w:r>
      <w:r>
        <w:t xml:space="preserve"> ». L’artifice de Timanthe relèverait d’une vaine </w:t>
      </w:r>
      <w:r>
        <w:t>ingéniosité</w:t>
      </w:r>
      <w:r>
        <w:t xml:space="preserve"> qui manque son objet. </w:t>
      </w:r>
      <w:r>
        <w:t xml:space="preserve">Il est révélateur que les deux textes dans lesquels il s’inscrit en faux contre le voile de Timanthe soient l’un l’article des </w:t>
      </w:r>
      <w:r>
        <w:rPr>
          <w:i/>
        </w:rPr>
        <w:t>Questions sur l’Encyclopédie</w:t>
      </w:r>
      <w:r>
        <w:t xml:space="preserve"> sur les Anciens et les Modernes, l’autre un fragment sur l’imagination. L’enjeu est en effet pour Voltaire de réfuter la prétendue supériorité des Anciens, en préférant à l’Agamemnon</w:t>
      </w:r>
      <w:r>
        <w:t xml:space="preserve"> du peintre grec l’œuvre d’un moderne, Rubens, qui n’a pas renoncé à </w:t>
      </w:r>
      <w:r>
        <w:t xml:space="preserve">exprimer les </w:t>
      </w:r>
      <w:r>
        <w:t>affects sur le visage de Marie de Médicis</w:t>
      </w:r>
      <w:r>
        <w:rPr>
          <w:rStyle w:val="Appelnotedebasdep"/>
        </w:rPr>
        <w:footnoteReference w:id="492"/>
      </w:r>
      <w:r>
        <w:t>.</w:t>
      </w:r>
      <w:r>
        <w:t xml:space="preserve"> Par ailleurs, c’est bien une théorie de l’imagination qui sous-tend ces analyses, destinées à invalider la corrélation entre la </w:t>
      </w:r>
      <w:r>
        <w:rPr>
          <w:i/>
        </w:rPr>
        <w:t>réticence</w:t>
      </w:r>
      <w:r>
        <w:t xml:space="preserve"> au sens classique (l’omission volontaire) et le sublime. Voltaire défend les pouvoirs de l’expression picturale et la nécessité, pour l’artiste, de représenter les conflits les plus intimes au lieu de les dérober à la vue. </w:t>
      </w:r>
    </w:p>
    <w:p>
      <w:pPr>
        <w:ind w:firstLine="283"/>
      </w:pPr>
      <w:r>
        <w:t xml:space="preserve">Au sujet de ce visage voilé, le discours de Diderot ne coïncide pas avec celui de Voltaire. Dans le </w:t>
      </w:r>
      <w:r>
        <w:rPr>
          <w:i/>
        </w:rPr>
        <w:t>Salon de 1767</w:t>
      </w:r>
      <w:r>
        <w:t>, Diderot cite élogieusement l’œuvre de Timant</w:t>
      </w:r>
      <w:r>
        <w:t>h</w:t>
      </w:r>
      <w:r>
        <w:t>e à propos de « l’art de fixer l’imagination à l’endroit où l’on veut</w:t>
      </w:r>
      <w:r>
        <w:rPr>
          <w:rStyle w:val="Appelnotedebasdep"/>
        </w:rPr>
        <w:footnoteReference w:id="493"/>
      </w:r>
      <w:r>
        <w:t xml:space="preserve"> ». Diderot cautionne ainsi une esthétique de l’ineffable à laquelle Voltaire </w:t>
      </w:r>
      <w:r>
        <w:t>ne souscrit pas</w:t>
      </w:r>
      <w:r>
        <w:t>. Non que Diderot célèbre sans réserves le parti pris du peintre grec</w:t>
      </w:r>
      <w:r>
        <w:t xml:space="preserve"> : d</w:t>
      </w:r>
      <w:r>
        <w:t xml:space="preserve">ans ses </w:t>
      </w:r>
      <w:r>
        <w:rPr>
          <w:i/>
        </w:rPr>
        <w:t>Pensées détachées sur la peinture</w:t>
      </w:r>
      <w:r>
        <w:t>, il y voit un « artifice ingénieux</w:t>
      </w:r>
      <w:r>
        <w:rPr>
          <w:rStyle w:val="Appelnotedebasdep"/>
        </w:rPr>
        <w:footnoteReference w:id="494"/>
      </w:r>
      <w:r>
        <w:t xml:space="preserve"> » mais</w:t>
      </w:r>
      <w:r>
        <w:t xml:space="preserve"> qu’il faut se garder d’imiter. L</w:t>
      </w:r>
      <w:r>
        <w:t xml:space="preserve">e voile de Timanthe serait un admirable hapax qui ne doit pas servir de modèle à d’autres œuvres. Là où Voltaire imagine le discours de Timanthe et de ses détracteurs, Diderot développe </w:t>
      </w:r>
      <w:r>
        <w:t xml:space="preserve">dans sa </w:t>
      </w:r>
      <w:r>
        <w:rPr>
          <w:i/>
        </w:rPr>
        <w:t>Lettre à Madame Riccoboni</w:t>
      </w:r>
      <w:r>
        <w:t xml:space="preserve"> </w:t>
      </w:r>
      <w:r>
        <w:t xml:space="preserve">une autre fiction : il se suppose à la place du peintre. « </w:t>
      </w:r>
      <w:r>
        <w:rPr>
          <w:i/>
        </w:rPr>
        <w:t xml:space="preserve">Si j’avais eu ce sujet à peindre </w:t>
      </w:r>
      <w:r>
        <w:t>», déclare-t-il, « j’aurais groupé Agamemnon avec Ulysse, et celui-ci lui aurait dérobé avec un de ses bras le spectacle du sacrifice</w:t>
      </w:r>
      <w:r>
        <w:rPr>
          <w:rStyle w:val="Appelnotedebasdep"/>
        </w:rPr>
        <w:footnoteReference w:id="495"/>
      </w:r>
      <w:r>
        <w:t xml:space="preserve"> ». Sans suggérer un dévoilement, Diderot propose un usage alternatif du voile. </w:t>
      </w:r>
      <w:r>
        <w:t>Outre</w:t>
      </w:r>
      <w:r>
        <w:t xml:space="preserve"> la double figure du père et de la fille, il </w:t>
      </w:r>
      <w:r>
        <w:t>imagine</w:t>
      </w:r>
      <w:r>
        <w:t xml:space="preserve"> l’intervention d’un tiers. Diderot est en somme partisan du voile à condition de le motiver psychologiquement et non simplement esthétiquement. Comme le souligne Michel Delon, « Diderot propose de renouveler l’invention de Timanthe, en la psychologisant</w:t>
      </w:r>
      <w:r>
        <w:rPr>
          <w:rStyle w:val="Appelnotedebasdep"/>
        </w:rPr>
        <w:footnoteReference w:id="496"/>
      </w:r>
      <w:r>
        <w:t xml:space="preserve"> ». Cette ligne de fracture entre Voltaire et Diderot</w:t>
      </w:r>
      <w:r>
        <w:t>,</w:t>
      </w:r>
      <w:r>
        <w:t xml:space="preserve"> à propos d’un épisode sur lequel </w:t>
      </w:r>
      <w:r>
        <w:t xml:space="preserve">ils n’ont cessé de méditer, </w:t>
      </w:r>
      <w:r>
        <w:t xml:space="preserve">révèle chez eux une façon distincte </w:t>
      </w:r>
      <w:r>
        <w:t>d’envisager</w:t>
      </w:r>
      <w:r>
        <w:t xml:space="preserve"> les rapports entre représentation, expression</w:t>
      </w:r>
      <w:r>
        <w:t xml:space="preserve"> et passion</w:t>
      </w:r>
      <w:r>
        <w:t xml:space="preserve">. </w:t>
      </w:r>
    </w:p>
    <w:p>
      <w:pPr>
        <w:ind w:firstLine="283"/>
      </w:pPr>
      <w:r>
        <w:tab/>
      </w:r>
      <w:r>
        <w:t xml:space="preserve">Le dialogue approfondi qu’ont entretenu Voltaire et Diderot avec la pièce de Racine </w:t>
      </w:r>
      <w:r>
        <w:t>–</w:t>
      </w:r>
      <w:r>
        <w:t>et plus largement le mythe d’</w:t>
      </w:r>
      <w:r>
        <w:rPr>
          <w:i/>
        </w:rPr>
        <w:t>Iphigénie</w:t>
      </w:r>
      <w:r>
        <w:rPr>
          <w:i/>
        </w:rPr>
        <w:t xml:space="preserve"> </w:t>
      </w:r>
      <w:r>
        <w:t>–</w:t>
      </w:r>
      <w:r>
        <w:t xml:space="preserve"> excède ainsi la question de la </w:t>
      </w:r>
      <w:r>
        <w:t>perfection métrique, ou de la construction des caractères</w:t>
      </w:r>
      <w:r>
        <w:t xml:space="preserve">. </w:t>
      </w:r>
      <w:r>
        <w:t xml:space="preserve">Il s’agit aussi de penser la signification politique d’une </w:t>
      </w:r>
      <w:r>
        <w:t>intrigue</w:t>
      </w:r>
      <w:r>
        <w:t xml:space="preserve"> réinterprétée dans le contexte de « l’humanisme militant des Lumières</w:t>
      </w:r>
      <w:r>
        <w:rPr>
          <w:rStyle w:val="Appelnotedebasdep"/>
        </w:rPr>
        <w:footnoteReference w:id="497"/>
      </w:r>
      <w:r>
        <w:t xml:space="preserve"> ». </w:t>
      </w:r>
      <w:r>
        <w:t xml:space="preserve">De façon conjointe, le </w:t>
      </w:r>
      <w:r>
        <w:t xml:space="preserve">sacrifice d’Iphigénie </w:t>
      </w:r>
      <w:r>
        <w:t>nourrit un débat</w:t>
      </w:r>
      <w:r>
        <w:t xml:space="preserve">, </w:t>
      </w:r>
      <w:r>
        <w:t>en prise avec l’actualité picturale</w:t>
      </w:r>
      <w:r>
        <w:t>, sur le sublime et l’ineffable.</w:t>
      </w:r>
      <w:r>
        <w:t xml:space="preserve"> Les appréciations éthique, idéologique et esthétique convergent : la figure d’Agamemnon est célébrée aussi bien pour sa force pathétique que pour l’exemple qu’elle offre des pouvoirs de la superstition et, enfin, la réflexion qu’elle permet sur les limites de la représentation. </w:t>
      </w:r>
      <w:r>
        <w:t xml:space="preserve">L’effort de renouvellement des canons théâtraux a impliqué, pour Voltaire et pour Diderot, de se mesurer à ce « chef-d’œuvre de la scène » qu’est </w:t>
      </w:r>
      <w:r>
        <w:rPr>
          <w:i/>
        </w:rPr>
        <w:t>Iphigénie</w:t>
      </w:r>
      <w:r>
        <w:t>.</w:t>
      </w:r>
    </w:p>
    <w:p>
      <w:r>
        <w:br w:type="page"/>
      </w:r>
    </w:p>
    <w:p>
      <w:pPr>
        <w:pStyle w:val="Titre1"/>
      </w:pPr>
      <w:r>
        <w:rPr>
          <w:sz w:val="32"/>
        </w:rPr>
        <w:t>Apostille</w:t>
      </w:r>
    </w:p>
    <w:p>
      <w:pPr>
        <w:pStyle w:val="Titre2"/>
      </w:pPr>
      <w:r>
        <w:rPr>
          <w:sz w:val="28"/>
        </w:rPr>
        <w:t>D’</w:t>
      </w:r>
      <w:r>
        <w:rPr>
          <w:i/>
          <w:sz w:val="28"/>
        </w:rPr>
        <w:t>Iphigénie</w:t>
      </w:r>
      <w:r>
        <w:rPr>
          <w:sz w:val="28"/>
        </w:rPr>
        <w:t xml:space="preserve"> à </w:t>
      </w:r>
      <w:r>
        <w:rPr>
          <w:i/>
          <w:sz w:val="28"/>
        </w:rPr>
        <w:t>Phèdre</w:t>
      </w:r>
      <w:r>
        <w:rPr>
          <w:sz w:val="28"/>
        </w:rPr>
        <w:t>. Pour un Racine queer.</w:t>
      </w:r>
    </w:p>
    <w:p>
      <w:pPr>
        <w:ind w:firstLine="283"/>
      </w:pPr>
      <w:r>
        <w:t>En général, le confident attire peu l’attention. Qui, par exemple, irait accorder de l’intérêt à Arcas ? Présent dès l’ouverture d’</w:t>
      </w:r>
      <w:r>
        <w:rPr>
          <w:i/>
        </w:rPr>
        <w:t>Iphigénie</w:t>
      </w:r>
      <w:r>
        <w:t>, il apparaît d’abord au spectateur comme un prétexte, simple commodité au service de l’exposition : sa seule fonction semble de fournir au roi une oreille afin de recueillir ses secrets. Mais s’est-on déjà demandé pourquoi, parmi ses hommes, Agamemnon décide précisément de réveiller Arcas au premier vers ? Si le roi se confie, c’est parce qu’il a besoin qu’Arcas soit son allié. Et s’il souhaite précisément qu’Arcas soit de son côté, c’est parce que son serviteur est un fidèle de la reine : il est le « cher Arcas » de Clytemnestre</w:t>
      </w:r>
      <w:r>
        <w:rPr>
          <w:rStyle w:val="Appelnotedebasdep"/>
        </w:rPr>
        <w:footnoteReference w:id="498"/>
      </w:r>
      <w:r>
        <w:t>. Au crépuscule de l’aube, le roi sait qu’il peut compter sur lui pour l’aider à sauver sa fille. Mais les raisons qui poussent Agamemnon à « éveiller » son serviteur sont les mêmes qui conduiront ce dernier à désobéir à son monarque au milieu de l’acte III, après qu’Agamemnon, persuadé par le sinueux Ulysse, se sera décidé finalement à livrer Iphigénie aux Grecs : « Il l’attend à l’Autel pour la sacrifier</w:t>
      </w:r>
      <w:r>
        <w:rPr>
          <w:rStyle w:val="Appelnotedebasdep"/>
        </w:rPr>
        <w:footnoteReference w:id="499"/>
      </w:r>
      <w:r>
        <w:t xml:space="preserve"> ». Sans le revirement d’Arcas, qui, fidèle à Clytemnestre davantage qu’à Agamemnon, révèle le complot à la reine, à sa fille et à Achille, la tragédie se fût achevée après seulement trois actes par la mort de la princesse. Arcas fait ainsi figure d’agent double, responsable de la principale péripétie qui prépare de loin un dénouement heureux pour Iphigénie, mais il n’en est pas moins un traître qui méprise les ordres de son roi (« Ah ! Malheureux Arcas, tu m’as trahi</w:t>
      </w:r>
      <w:r>
        <w:rPr>
          <w:rStyle w:val="Appelnotedebasdep"/>
        </w:rPr>
        <w:footnoteReference w:id="500"/>
      </w:r>
      <w:r>
        <w:t xml:space="preserve"> »), et peut-être la voix des dieux s’ils protègent la conspiration.</w:t>
      </w:r>
    </w:p>
    <w:p>
      <w:pPr>
        <w:ind w:firstLine="283"/>
      </w:pPr>
      <w:r>
        <w:t>Qui est donc Arcas, sur qui repose le principal revirement de la pièce ? Que nous dit son attitude des ambiguïtés de la tragédie, voire de la nature même du tragique racinien ?</w:t>
      </w:r>
    </w:p>
    <w:p>
      <w:pPr>
        <w:ind w:firstLine="283"/>
      </w:pPr>
      <w:r>
        <w:rPr>
          <w:b/>
        </w:rPr>
        <w:t xml:space="preserve">I. </w:t>
      </w:r>
      <w:r>
        <w:rPr>
          <w:b/>
        </w:rPr>
        <w:t>C</w:t>
      </w:r>
      <w:r>
        <w:rPr>
          <w:b/>
        </w:rPr>
        <w:t>onstellation lesbienne</w:t>
      </w:r>
    </w:p>
    <w:p>
      <w:pPr>
        <w:ind w:firstLine="283"/>
      </w:pPr>
      <w:r>
        <w:t>La mythologie nous dépeint Arcas comme le premier roi d’Arcadie</w:t>
      </w:r>
      <w:r>
        <w:rPr>
          <w:rStyle w:val="Appelnotedebasdep"/>
        </w:rPr>
        <w:footnoteReference w:id="501"/>
      </w:r>
      <w:r>
        <w:t xml:space="preserve">, et Ovide nous le présente comme le fils de Callisto. Il est, dans la pièce, le premier personnage à porter le nom d’un être impossible, né d’amours contre nature : Arcas est le fruit du viol de sa mère séduite par Jupiter qui avait pris la forme de Diane, et il vint au monde alors que sa mère était déjà changée en </w:t>
      </w:r>
      <w:r>
        <w:t>ourse</w:t>
      </w:r>
      <w:r>
        <w:rPr>
          <w:rStyle w:val="Appelnotedebasdep"/>
        </w:rPr>
        <w:footnoteReference w:id="502"/>
      </w:r>
      <w:r>
        <w:t>. Plus tard, pour éviter qu’Arcas ne tue sa mère par erreur lors d’un accident de chasse, Jupiter les sauve tous deux par un catastérisme. Si Callisto devint la Grande Ourse (Ursa Major), le destin du fils est plus incertain</w:t>
      </w:r>
      <w:r>
        <w:rPr>
          <w:rStyle w:val="Appelnotedebasdep"/>
        </w:rPr>
        <w:footnoteReference w:id="503"/>
      </w:r>
      <w:r>
        <w:t xml:space="preserve">. Dans les </w:t>
      </w:r>
      <w:r>
        <w:rPr>
          <w:i/>
        </w:rPr>
        <w:t>Fastes</w:t>
      </w:r>
      <w:r>
        <w:t>, le poète, qui reprend plus brièvement le même récit, associe Arcas au Bouvier</w:t>
      </w:r>
      <w:r>
        <w:rPr>
          <w:rStyle w:val="Appelnotedebasdep"/>
        </w:rPr>
        <w:footnoteReference w:id="504"/>
      </w:r>
      <w:r>
        <w:t>. Mais Isidore de Séville identifie le Bouvier à la constellation de la Petite Ourse</w:t>
      </w:r>
      <w:r>
        <w:rPr>
          <w:rStyle w:val="Appelnotedebasdep"/>
        </w:rPr>
        <w:footnoteReference w:id="505"/>
      </w:r>
      <w:r>
        <w:t>, et donne naissance à la version moderne et courante du mythe</w:t>
      </w:r>
      <w:r>
        <w:t xml:space="preserve">. Isidore ne se contente pas de citer deux versions : il les rend interchangeables : Arcas est le Bouvier, </w:t>
      </w:r>
      <w:r>
        <w:rPr>
          <w:i/>
        </w:rPr>
        <w:t>ou bien</w:t>
      </w:r>
      <w:r>
        <w:t xml:space="preserve"> il est l’Ourse. Dans cette seconde hypothèse, l</w:t>
      </w:r>
      <w:r>
        <w:t xml:space="preserve">e chasseur viril, fils du roi des dieux, finit sa course mythologique enveloppé dans un nom de femelle, et rejoint sa mère dans une gémellité astrale où la différence des sexes s’efface au profit d’une affirmation de l’espèce animale. Mais en réalité le texte flotte. </w:t>
      </w:r>
      <w:r>
        <w:t xml:space="preserve">Pour l’esprit médiéval et classique, qui lit Isidore comme une autorité encyclopédique, Arcas est </w:t>
      </w:r>
      <w:r>
        <w:rPr>
          <w:i/>
        </w:rPr>
        <w:t>à la fois</w:t>
      </w:r>
      <w:r>
        <w:t xml:space="preserve"> le Gardien masculin et l’Ourse féminine, chasseur et proie, indistinctement. Le choix du nom d’</w:t>
      </w:r>
      <w:r>
        <w:t xml:space="preserve">Arcas par Racine ne saurait donc être indifférent : au seuil de la pièce, le dramaturge installe un personnage marqué par l’ambiguïté, lié de près à la figure de Diane, et traversé par un trouble du genre qui répond à ses revirements au plan dramatique. </w:t>
      </w:r>
    </w:p>
    <w:p>
      <w:pPr>
        <w:ind w:firstLine="283"/>
      </w:pPr>
      <w:r>
        <w:t>Enfant hors-norme d’amours lesbiennes mêlées d’animalité, Arcas se trouve ainsi mis incidemment en relation avec la prise par Achille de l’île de Lesbos, alliée de Troie. Cette opération, qui précéda le déclenchement de la guerre, est relatée par Homère</w:t>
      </w:r>
      <w:r>
        <w:rPr>
          <w:rStyle w:val="Appelnotedebasdep"/>
        </w:rPr>
        <w:footnoteReference w:id="506"/>
      </w:r>
      <w:r>
        <w:t>, mais c’est probablement chez Parthénios de Nicée que Racine a trouvé le modèle de son Ériphile. Dans ses</w:t>
      </w:r>
      <w:r>
        <w:t xml:space="preserve"> </w:t>
      </w:r>
      <w:r>
        <w:t xml:space="preserve">Περὶ Ἐρωτικῶν Παθημάτων, en effet, Parthénios raconte l’histoire d’une Lesbienne, Peisidique. Alors qu’Achille assiégeait sa ville, Peisidique tomba amoureuse du Péléide et décida de lui livrer sa cité. Achille accepta le marché, conquit Lesbos, puis, indigné par la trahison de la jeune femme, </w:t>
      </w:r>
      <w:r>
        <w:t>laissa ses soldats la lapider</w:t>
      </w:r>
      <w:r>
        <w:rPr>
          <w:rStyle w:val="Appelnotedebasdep"/>
        </w:rPr>
        <w:footnoteReference w:id="507"/>
      </w:r>
      <w:r>
        <w:t>.</w:t>
      </w:r>
      <w:r>
        <w:t xml:space="preserve"> </w:t>
      </w:r>
      <w:r>
        <w:t>Le public de Racine n’ignorait pas que Lesbos était l’île de Sapho, poétesse de Mytilène, célèbre pour ses amitiés féminines. Les sens modernes du terme « lesbienne » étaient bien attestés au temps de Racine</w:t>
      </w:r>
      <w:r>
        <w:t>. I</w:t>
      </w:r>
      <w:r>
        <w:t xml:space="preserve">ls figurent dans les </w:t>
      </w:r>
      <w:r>
        <w:rPr>
          <w:i/>
        </w:rPr>
        <w:t>Vies des Dames</w:t>
      </w:r>
      <w:r>
        <w:t xml:space="preserve"> </w:t>
      </w:r>
      <w:r>
        <w:rPr>
          <w:i/>
        </w:rPr>
        <w:t>galantes</w:t>
      </w:r>
      <w:r>
        <w:t xml:space="preserve"> de Brantôme éditées en 1666</w:t>
      </w:r>
      <w:r>
        <w:rPr>
          <w:i/>
        </w:rPr>
        <w:t xml:space="preserve"> </w:t>
      </w:r>
      <w:r>
        <w:t>: «</w:t>
      </w:r>
      <w:r>
        <w:t xml:space="preserve"> </w:t>
      </w:r>
      <w:r>
        <w:t>On dit que Sapho de Lesbos a esté une fort bonne maistresse en ce mestier, voire, dit-on, qu’elle l’a inventé, et que depuis les dames lesbiennes l’ont imitée en cela et continué jusques aujourd’huy</w:t>
      </w:r>
      <w:r>
        <w:rPr>
          <w:rStyle w:val="Appelnotedebasdep"/>
        </w:rPr>
        <w:footnoteReference w:id="508"/>
      </w:r>
      <w:r>
        <w:t xml:space="preserve"> </w:t>
      </w:r>
      <w:r>
        <w:t>». Le fait que Racine désigne Achille comme «</w:t>
      </w:r>
      <w:r>
        <w:t xml:space="preserve"> </w:t>
      </w:r>
      <w:r>
        <w:t>Vainqueur de Lesbos</w:t>
      </w:r>
      <w:r>
        <w:rPr>
          <w:rStyle w:val="Appelnotedebasdep"/>
        </w:rPr>
        <w:footnoteReference w:id="509"/>
      </w:r>
      <w:r>
        <w:t xml:space="preserve"> </w:t>
      </w:r>
      <w:r>
        <w:t>» et des «</w:t>
      </w:r>
      <w:r>
        <w:t xml:space="preserve"> </w:t>
      </w:r>
      <w:r>
        <w:t>tristes Lesbiens</w:t>
      </w:r>
      <w:r>
        <w:rPr>
          <w:rStyle w:val="Appelnotedebasdep"/>
        </w:rPr>
        <w:footnoteReference w:id="510"/>
      </w:r>
      <w:r>
        <w:t xml:space="preserve"> </w:t>
      </w:r>
      <w:r>
        <w:t>» active donc, en 1674, une connotation sexuelle, le nom de l’île fonctionnant dès cette époque comme métonymie de l’homosexualité féminine.</w:t>
      </w:r>
      <w:r>
        <w:rPr>
          <w:rStyle w:val="Appelnotedebasdep"/>
        </w:rPr>
        <w:footnoteReference w:id="511"/>
      </w:r>
      <w:r>
        <w:t xml:space="preserve"> Les références à Lesbos sont nombreuses dans </w:t>
      </w:r>
      <w:r>
        <w:rPr>
          <w:i/>
        </w:rPr>
        <w:t>Iphigénie</w:t>
      </w:r>
      <w:r>
        <w:t xml:space="preserve"> et la cité est associée à la naissance de l’amour («</w:t>
      </w:r>
      <w:r>
        <w:t xml:space="preserve"> </w:t>
      </w:r>
      <w:r>
        <w:t>Je l’aimais à Lesbos</w:t>
      </w:r>
      <w:r>
        <w:rPr>
          <w:rStyle w:val="Appelnotedebasdep"/>
        </w:rPr>
        <w:footnoteReference w:id="512"/>
      </w:r>
      <w:r>
        <w:t xml:space="preserve"> </w:t>
      </w:r>
      <w:r>
        <w:t>»).  Le glissement du terme «</w:t>
      </w:r>
      <w:r>
        <w:t xml:space="preserve"> </w:t>
      </w:r>
      <w:r>
        <w:t>Lesbienne</w:t>
      </w:r>
      <w:r>
        <w:t xml:space="preserve"> </w:t>
      </w:r>
      <w:r>
        <w:t>» du pur gentilé vers le stigmate de la passion hétéroclite est précisément ce qui permet à Racine de jouer sur l’implicite érotique grec sans enfreindre la bienséance de la tragédie.</w:t>
      </w:r>
    </w:p>
    <w:p>
      <w:pPr>
        <w:ind w:firstLine="283"/>
      </w:pPr>
      <w:r>
        <w:t xml:space="preserve">Les </w:t>
      </w:r>
      <w:r>
        <w:t xml:space="preserve">« </w:t>
      </w:r>
      <w:r>
        <w:t>tristes Lesbiens</w:t>
      </w:r>
      <w:r>
        <w:t xml:space="preserve"> </w:t>
      </w:r>
      <w:r>
        <w:t xml:space="preserve">» conquis par Achille sont-ils le pendant masculin des lesbiennes ? Dans un tel contexte, il ne saurait être indifférent que Racine mentionne à plusieurs reprises le nom de Patrocle, fidèle ami du Péléide, mais ici totalement inutile à l’action : « </w:t>
      </w:r>
      <w:r>
        <w:rPr>
          <w:i/>
        </w:rPr>
        <w:t>Patrocle et moi</w:t>
      </w:r>
      <w:r>
        <w:t>, Seigneur, nous irons vous venger</w:t>
      </w:r>
      <w:r>
        <w:rPr>
          <w:rStyle w:val="Appelnotedebasdep"/>
        </w:rPr>
        <w:footnoteReference w:id="513"/>
      </w:r>
      <w:r>
        <w:t xml:space="preserve"> ». En nommant ce célèbre parèdre, Racine suggère que l’amour sincère </w:t>
      </w:r>
      <w:r>
        <w:t xml:space="preserve">d’Achille pour la fille d'Agamemnon ne l’empêche pas de nourrir d’autres affections plus troubles. La nature érotique de la relation entre Patrocle et Achille est, de fait, une évidence pour </w:t>
      </w:r>
      <w:r>
        <w:t xml:space="preserve">toute </w:t>
      </w:r>
      <w:r>
        <w:t xml:space="preserve">l’Antiquité. Le personnage de Phèdre, dans </w:t>
      </w:r>
      <w:r>
        <w:rPr>
          <w:i/>
        </w:rPr>
        <w:t>Le Banquet</w:t>
      </w:r>
      <w:r>
        <w:t>, célèbre ainsi la belle passion qui unissait les deux cousins</w:t>
      </w:r>
      <w:r>
        <w:rPr>
          <w:i/>
        </w:rPr>
        <w:t xml:space="preserve"> </w:t>
      </w:r>
      <w:r>
        <w:t xml:space="preserve">: « ἐτόλμησεν ἑλέσθαι βοηθήσας </w:t>
      </w:r>
      <w:r>
        <w:rPr>
          <w:i/>
        </w:rPr>
        <w:t>τῷ ἐραστῇ Πατρόκλῳ</w:t>
      </w:r>
      <w:r>
        <w:t xml:space="preserve"> καὶ τιμωρήσας, il [Achille] osa choisir de secourir </w:t>
      </w:r>
      <w:r>
        <w:rPr>
          <w:i/>
        </w:rPr>
        <w:t>son amant</w:t>
      </w:r>
      <w:r>
        <w:t xml:space="preserve"> (</w:t>
      </w:r>
      <w:r>
        <w:rPr>
          <w:i/>
        </w:rPr>
        <w:t>erastē</w:t>
      </w:r>
      <w:r>
        <w:t>) Patrocle et de le venger</w:t>
      </w:r>
      <w:r>
        <w:rPr>
          <w:rStyle w:val="Appelnotedebasdep"/>
        </w:rPr>
        <w:footnoteReference w:id="514"/>
      </w:r>
      <w:r>
        <w:t xml:space="preserve"> ». Cette amitié particulière sert d’exemple paradigmatique au Phèdre de Platon pour prouver la puissance de l’amour comme moteur de vertu, « κυριώτατον εἶναι εἰς ἀρετῆς καὶ εὐδαιμονίας κτῆσιν</w:t>
      </w:r>
      <w:r>
        <w:rPr>
          <w:rStyle w:val="Appelnotedebasdep"/>
        </w:rPr>
        <w:footnoteReference w:id="515"/>
      </w:r>
      <w:r>
        <w:t xml:space="preserve"> ». En composant </w:t>
      </w:r>
      <w:r>
        <w:rPr>
          <w:i/>
        </w:rPr>
        <w:t>Iphigénie</w:t>
      </w:r>
      <w:r>
        <w:t>, Racine n’avait rien oublié des leçons platoniciennes. Faut-il rappeler qu’il avait non seulement lu attentivement ce dialogue, mais qu’il l’avait commenté, et que nous en avons même gardé quelques notes</w:t>
      </w:r>
      <w:r>
        <w:rPr>
          <w:rStyle w:val="Appelnotedebasdep"/>
        </w:rPr>
        <w:footnoteReference w:id="516"/>
      </w:r>
      <w:r>
        <w:t xml:space="preserve"> ? À l’opposé de toutes les amours toxiques qui contaminent son théâtre, le dramaturge a tenu à faire figurer, dans les lointains d’</w:t>
      </w:r>
      <w:r>
        <w:rPr>
          <w:i/>
        </w:rPr>
        <w:t>Iphigénie</w:t>
      </w:r>
      <w:r>
        <w:t xml:space="preserve">, une passion homosexuelle, belle et vertueuse. L'encouragement mutuel des deux héros à la vaillance dans la tragédie de 1674 est l'écho discret d’une passion que la tradition ancienne a toujours idéalisée. C'est donc en parfaite connaissance de cause que Racine nous dépeint un Achille </w:t>
      </w:r>
      <w:r>
        <w:rPr>
          <w:i/>
        </w:rPr>
        <w:t>queer</w:t>
      </w:r>
      <w:r>
        <w:t>, dont l'identité se déploie dans une dualité féconde : un héros moralement anobli par son lien intime avec Patrocle, tout en étant parfaitement digne de devenir l’époux de la pure Iphigénie.</w:t>
      </w:r>
    </w:p>
    <w:p>
      <w:pPr>
        <w:pStyle w:val="Titre2"/>
      </w:pPr>
      <w:r>
        <w:rPr>
          <w:b/>
          <w:sz w:val="28"/>
        </w:rPr>
        <w:t>II. Œnone amoureuse</w:t>
      </w:r>
    </w:p>
    <w:p>
      <w:pPr>
        <w:ind w:firstLine="283"/>
      </w:pPr>
      <w:r>
        <w:t xml:space="preserve">L’ombre de Sapho </w:t>
      </w:r>
      <w:r>
        <w:t xml:space="preserve">lesbienne </w:t>
      </w:r>
      <w:r>
        <w:t xml:space="preserve">ne plane pas seulement sur </w:t>
      </w:r>
      <w:r>
        <w:rPr>
          <w:i/>
        </w:rPr>
        <w:t>Iphigénie</w:t>
      </w:r>
      <w:r>
        <w:t xml:space="preserve">. En cette même année 1674, Boileau publie le </w:t>
      </w:r>
      <w:r>
        <w:rPr>
          <w:i/>
        </w:rPr>
        <w:t xml:space="preserve">Traité du sublime </w:t>
      </w:r>
      <w:r>
        <w:t xml:space="preserve">; or, celui-ci comporte une traduction du fragment 31 de la poétesse de Mytilène, que Longin est seul à nous avoir conservé : </w:t>
      </w:r>
    </w:p>
    <w:p>
      <w:pPr>
        <w:pStyle w:val="TEIquote"/>
        <w:spacing w:line="240" w:lineRule="auto"/>
        <w:ind w:left="397"/>
        <w:jc w:val="both"/>
      </w:pPr>
      <w:r>
        <w:rPr>
          <w:sz w:val="22"/>
        </w:rPr>
        <w:t>Je sens de veine en veine une subtile flammе</w:t>
      </w:r>
      <w:r>
        <w:rPr>
          <w:sz w:val="22"/>
        </w:rPr>
        <w:br/>
      </w:r>
      <w:r>
        <w:rPr>
          <w:sz w:val="22"/>
        </w:rPr>
        <w:t>Courir par tout mon corps, si tost que je te vois :</w:t>
      </w:r>
      <w:r>
        <w:rPr>
          <w:sz w:val="22"/>
        </w:rPr>
        <w:br/>
      </w:r>
      <w:r>
        <w:rPr>
          <w:sz w:val="22"/>
        </w:rPr>
        <w:t>Et dans les doux transports, où s’égare mon ame,</w:t>
      </w:r>
      <w:r>
        <w:rPr>
          <w:sz w:val="22"/>
        </w:rPr>
        <w:br/>
      </w:r>
      <w:r>
        <w:rPr>
          <w:sz w:val="22"/>
        </w:rPr>
        <w:t>Je ne sçaurois trouver de langue, ni de voix.</w:t>
      </w:r>
      <w:r>
        <w:rPr>
          <w:sz w:val="22"/>
        </w:rPr>
        <w:br/>
      </w:r>
      <w:r>
        <w:rPr>
          <w:sz w:val="22"/>
        </w:rPr>
        <w:br/>
      </w:r>
      <w:r>
        <w:rPr>
          <w:sz w:val="22"/>
        </w:rPr>
        <w:t>Un nuage confus se répand sur ma veue,</w:t>
      </w:r>
      <w:r>
        <w:rPr>
          <w:sz w:val="22"/>
        </w:rPr>
        <w:br/>
      </w:r>
      <w:r>
        <w:rPr>
          <w:sz w:val="22"/>
        </w:rPr>
        <w:t>Je n’entends plus, je tombe en de douces langueurs,</w:t>
      </w:r>
      <w:r>
        <w:rPr>
          <w:sz w:val="22"/>
        </w:rPr>
        <w:br/>
      </w:r>
      <w:r>
        <w:rPr>
          <w:sz w:val="22"/>
        </w:rPr>
        <w:t>Et pasle, sans haleine, interdite, éperduë,</w:t>
      </w:r>
      <w:r>
        <w:rPr>
          <w:sz w:val="22"/>
        </w:rPr>
        <w:br/>
      </w:r>
      <w:r>
        <w:rPr>
          <w:sz w:val="22"/>
        </w:rPr>
        <w:t>Un frisson me saisit, je tremble, je me meurs.</w:t>
      </w:r>
      <w:r>
        <w:rPr>
          <w:sz w:val="22"/>
          <w:vertAlign w:val="superscript"/>
        </w:rPr>
        <w:t xml:space="preserve"> </w:t>
      </w:r>
      <w:r>
        <w:rPr>
          <w:rStyle w:val="Appelnotedebasdep"/>
        </w:rPr>
        <w:footnoteReference w:id="517"/>
      </w:r>
    </w:p>
    <w:p>
      <w:pPr>
        <w:pStyle w:val="TEIparagraphconsecutive"/>
      </w:pPr>
      <w:r>
        <w:t xml:space="preserve">Longepierre, avant Joan DeJean, n’a pas manqué de noter l’influence probable de cette traduction du fragment 31 sur </w:t>
      </w:r>
      <w:r>
        <w:rPr>
          <w:i/>
        </w:rPr>
        <w:t>Phèdre</w:t>
      </w:r>
      <w:r>
        <w:rPr>
          <w:rStyle w:val="Appelnotedebasdep"/>
        </w:rPr>
        <w:footnoteReference w:id="518"/>
      </w:r>
      <w:r>
        <w:rPr>
          <w:i/>
        </w:rPr>
        <w:t xml:space="preserve"> </w:t>
      </w:r>
      <w:r>
        <w:t xml:space="preserve">: outre la description des manifestations physiques de la passion, le </w:t>
      </w:r>
      <w:r>
        <w:t xml:space="preserve">dramaturge emprunte à Sapho traduit par Boileau le lexique caractéristique de l’amour </w:t>
      </w:r>
      <w:r>
        <w:t>propres à la fille de Minos</w:t>
      </w:r>
      <w:r>
        <w:t>, comme les « veines », les « transports » et jusqu’au « nuage confus</w:t>
      </w:r>
      <w:r>
        <w:rPr>
          <w:rStyle w:val="Appelnotedebasdep"/>
        </w:rPr>
        <w:footnoteReference w:id="519"/>
      </w:r>
      <w:r>
        <w:t xml:space="preserve"> ».</w:t>
      </w:r>
    </w:p>
    <w:p>
      <w:pPr>
        <w:ind w:firstLine="283"/>
      </w:pPr>
      <w:r>
        <w:t>Est-il indifférent que ce soit à Œnone que Phèdre adresse des vers inspirés par Sapho ? En réalité, l</w:t>
      </w:r>
      <w:r>
        <w:t xml:space="preserve">a relation entre Œnone et Phèdre ne saurait se lire seulement comme un lien entre une nourrice et sa maîtresse, comme c’était le cas chez Sénèque ou dans </w:t>
      </w:r>
      <w:r>
        <w:rPr>
          <w:i/>
        </w:rPr>
        <w:t>Hippolyte porte-couronne</w:t>
      </w:r>
      <w:r>
        <w:t>. L’importance de la servante et l’affection qui l’unit à sa maîtresse est plus complexe, et contribue à faire de la suivante un personnage elle aussi pleinement tragique.</w:t>
      </w:r>
      <w:r>
        <w:t xml:space="preserve"> </w:t>
      </w:r>
      <w:r>
        <w:t>La première apparition de Phèdre s’ouvre sur un trouble lié à une intimité physique rare chez Racine. Œnone n’est pas seulement la confidente qui écoute : elle manipule le corps de la reine, le pare, l’orne et l’étreint (« Tantôt à vous parer vous excitiez nos mains</w:t>
      </w:r>
      <w:r>
        <w:rPr>
          <w:rStyle w:val="Appelnotedebasdep"/>
        </w:rPr>
        <w:footnoteReference w:id="520"/>
      </w:r>
      <w:r>
        <w:t xml:space="preserve"> ») jusqu’à « importuner » sa maîtresse par ses soins</w:t>
      </w:r>
      <w:r>
        <w:rPr>
          <w:rStyle w:val="Appelnotedebasdep"/>
        </w:rPr>
        <w:footnoteReference w:id="521"/>
      </w:r>
      <w:r>
        <w:t>. Quelques instants plus tard, pour arracher son secret à Phèdre, Œnone brise la distance protocolaire et recourt au contact direct : « Par vos faibles genoux que je tiens embrassés</w:t>
      </w:r>
      <w:r>
        <w:rPr>
          <w:rStyle w:val="Appelnotedebasdep"/>
        </w:rPr>
        <w:footnoteReference w:id="522"/>
      </w:r>
      <w:r>
        <w:t xml:space="preserve"> »</w:t>
      </w:r>
      <w:r>
        <w:rPr>
          <w:b/>
        </w:rPr>
        <w:t xml:space="preserve">. </w:t>
      </w:r>
      <w:r>
        <w:t>C’est ce toucher qui fait aussitôt capituler Phèdre (« Tu le veux. Lève-toi</w:t>
      </w:r>
      <w:r>
        <w:rPr>
          <w:rStyle w:val="Appelnotedebasdep"/>
        </w:rPr>
        <w:footnoteReference w:id="523"/>
      </w:r>
      <w:r>
        <w:t xml:space="preserve"> »). Là où Euripide mettait en scène une relation utilitaire et asymétrique, Racine invente une symbiose passionnelle et exclusive à travers plusieurs adaptations majeures qui tirent la pièce vers l’homoérotisme et la transgression de genre.</w:t>
      </w:r>
    </w:p>
    <w:p>
      <w:pPr>
        <w:ind w:firstLine="283"/>
      </w:pPr>
      <w:r>
        <w:t>D’abord, l’onomastique amoureuse : chez Euripide, la confidente ne porte pas de nom et n’est désignée que par sa fonction : « la nourrice</w:t>
      </w:r>
      <w:r>
        <w:rPr>
          <w:rStyle w:val="Appelnotedebasdep"/>
        </w:rPr>
        <w:footnoteReference w:id="524"/>
      </w:r>
      <w:r>
        <w:t xml:space="preserve"> ». Elle incarne la sagesse populaire, le pragmatisme cynique et l’attachement nourricier. C’est Racine qui décide de la baptiser, et de l’appeler Œnone, c’est-à-dire qu’il lui donne le nom d’une célèbre amoureuse des </w:t>
      </w:r>
      <w:r>
        <w:rPr>
          <w:i/>
        </w:rPr>
        <w:t>Héroïdes</w:t>
      </w:r>
      <w:r>
        <w:t>, nymphe du mont Ida, première épouse de Pâris, que le prince-berger abandonne pour Hélène</w:t>
      </w:r>
      <w:r>
        <w:rPr>
          <w:rStyle w:val="Appelnotedebasdep"/>
        </w:rPr>
        <w:footnoteReference w:id="525"/>
      </w:r>
      <w:r>
        <w:t>. En donnant à la confidente de Phèdre le nom d’une amante délaissée et désespérée, Racine déplace d’emblée le personnage du registre maternel vers le registre élégiaque et passionnel. Œnone n’est plus seulement celle qui allaite : elle rappelle par son nom une femme morte d’amour.</w:t>
      </w:r>
      <w:r>
        <w:rPr>
          <w:rStyle w:val="Appelnotedebasdep"/>
        </w:rPr>
        <w:footnoteReference w:id="526"/>
      </w:r>
    </w:p>
    <w:p>
      <w:pPr>
        <w:ind w:firstLine="283"/>
      </w:pPr>
      <w:r>
        <w:t>Deuxième déplacement : le pacte d’exclusivité et le vocabulaire de la passion. Chez Euripide, la Nourrice veut soigner Phèdre par pur bon sens physiologique. Lorsqu’elle découvre le mal, elle est d’abord horrifiée, puis se ravise en entremetteuse pragmatique. Chez Racine, la relation est décrite non pas dans le lexique du service, mais dans celui de la passion totale, exigeant en retour une forme de fidélité. Œnone explique qu’elle a rompu toutes ses attaches naturelles et hétérosexuelles (patrie, mariage, maternité) pour se vouer exclusivement à une autre femme à laquelle elle est absolument attachée. L’aveu de ce renoncement total ressemble à s’y méprendre à un reproche d’amante délaissée :</w:t>
      </w:r>
    </w:p>
    <w:p>
      <w:pPr>
        <w:ind w:firstLine="283"/>
      </w:pPr>
      <w:r>
        <w:t>Cruelle, quand ma foi vous a-t-elle déçue ?</w:t>
      </w:r>
      <w:r>
        <w:br/>
      </w:r>
      <w:r>
        <w:t>Songez-vous qu’en naissant mes bras vous ont reçue ?</w:t>
      </w:r>
      <w:r>
        <w:br/>
      </w:r>
      <w:r>
        <w:t>Mon Pays, mes Enfants, pour vous j’ai tout quitté</w:t>
      </w:r>
      <w:r>
        <w:rPr>
          <w:b/>
        </w:rPr>
        <w:t>.</w:t>
      </w:r>
      <w:r>
        <w:br/>
      </w:r>
      <w:r>
        <w:t>Réserviez-vous ce prix à ma fidélité ?</w:t>
      </w:r>
      <w:r>
        <w:rPr>
          <w:rStyle w:val="Appelnotedebasdep"/>
        </w:rPr>
        <w:footnoteReference w:id="527"/>
      </w:r>
    </w:p>
    <w:p>
      <w:pPr>
        <w:ind w:firstLine="283"/>
      </w:pPr>
      <w:r>
        <w:t>Face au silence persistant de Phèdre, Œnone menace de se suicider par « dépit », instituant un pacte de mort partagée où elle exige de précéder la reine dans le gouffre infernal :</w:t>
      </w:r>
    </w:p>
    <w:p>
      <w:pPr>
        <w:ind w:firstLine="283"/>
      </w:pPr>
      <w:r>
        <w:t>Mon âme chez les morts descendra la première ;</w:t>
      </w:r>
      <w:r>
        <w:br/>
      </w:r>
      <w:r>
        <w:t>Mille chemins ouverts y conduisent nos pas,</w:t>
      </w:r>
      <w:r>
        <w:br/>
      </w:r>
      <w:r>
        <w:t>Et mon juste dépit choisira les plus courts</w:t>
      </w:r>
      <w:r>
        <w:rPr>
          <w:rStyle w:val="Appelnotedebasdep"/>
        </w:rPr>
        <w:footnoteReference w:id="528"/>
      </w:r>
      <w:r>
        <w:t>.</w:t>
      </w:r>
    </w:p>
    <w:p>
      <w:pPr>
        <w:ind w:firstLine="283"/>
      </w:pPr>
      <w:r>
        <w:t xml:space="preserve">Lorsque le retour de Thésée est annoncé, la passion d’Œnone atteint son </w:t>
      </w:r>
      <w:r>
        <w:rPr>
          <w:i/>
        </w:rPr>
        <w:t>climax</w:t>
      </w:r>
      <w:r>
        <w:t>. La calomnie n’est pas seulement chez Racine stratégie politique, c’est le moment où Œnone jalouse décide la perte de son rival : « Mais puisque je vous perds sans ce triste remède, / Votre vie est pour moi d’un prix à qui tout cède : / Je parlerai</w:t>
      </w:r>
      <w:r>
        <w:rPr>
          <w:rStyle w:val="Appelnotedebasdep"/>
        </w:rPr>
        <w:footnoteReference w:id="529"/>
      </w:r>
      <w:r>
        <w:t xml:space="preserve"> ». Sa dernière tirade peut être lue comme une ultime</w:t>
      </w:r>
      <w:r>
        <w:t xml:space="preserve"> </w:t>
      </w:r>
      <w:r>
        <w:t>déclaration, de la part de celle qui, dès la scène 3 de l’acte I, se désignait déjà elle-même à la première personne du pluriel :</w:t>
      </w:r>
    </w:p>
    <w:p>
      <w:pPr>
        <w:ind w:firstLine="283"/>
      </w:pPr>
      <w:r>
        <w:t>Vous aimez. On ne peut vaincre sa destinée.</w:t>
      </w:r>
      <w:r>
        <w:br/>
      </w:r>
      <w:r>
        <w:t>Par un charme fatal vous fûtes entraînée.</w:t>
      </w:r>
      <w:r>
        <w:br/>
      </w:r>
      <w:r>
        <w:rPr>
          <w:i/>
        </w:rPr>
        <w:t>Est-ce donc un prodige inouï parmi nous ?</w:t>
      </w:r>
      <w:r>
        <w:rPr>
          <w:i/>
        </w:rPr>
        <w:br/>
      </w:r>
      <w:r>
        <w:rPr>
          <w:i/>
        </w:rPr>
        <w:t>L’amour n’a-t-il encor triomphé que de vous ?</w:t>
      </w:r>
      <w:r>
        <w:rPr>
          <w:i/>
        </w:rPr>
        <w:br/>
      </w:r>
      <w:r>
        <w:t>La faiblesse aux humains n’est que trop naturelle.</w:t>
      </w:r>
      <w:r>
        <w:br/>
      </w:r>
      <w:r>
        <w:t>Mortelle subissez le sort d’une mortelle.</w:t>
      </w:r>
      <w:r>
        <w:rPr>
          <w:rStyle w:val="Appelnotedebasdep"/>
        </w:rPr>
        <w:footnoteReference w:id="530"/>
      </w:r>
    </w:p>
    <w:p>
      <w:pPr>
        <w:ind w:firstLine="283"/>
      </w:pPr>
      <w:r>
        <w:t xml:space="preserve">Phèdre, loin d’entendre l’ultime aveu d’un amour inconditionnel, quel qu’en soit la nature, renvoie sa servante. Comme Hermione repoussant Oreste, Phèdre est incapable de reconnaître dans Œnone celle qui, pour lui complaire, l’a trop bien servie : en lui obéissant, la nourrice amoureuse est devenue à ses yeux un « monstre exécrable » qu’elle chasse loin d’elle, ne lui laissant d’autre issue que la mort – preuve que la suivante était aussi un personnage tragique. Son suicide dans les flots, rapporté par Panope, et dont les sources grecque et latine ne disaient rien, est la conclusion logique de cette passion dévorante. Privée du regard et de l’intimité de Phèdre, Œnone ne peut survivre : </w:t>
      </w:r>
    </w:p>
    <w:p>
      <w:pPr>
        <w:ind w:firstLine="283"/>
      </w:pPr>
      <w:r>
        <w:t>Déjà de sa présence avec honte chassée</w:t>
      </w:r>
      <w:r>
        <w:br/>
      </w:r>
      <w:r>
        <w:t>Dans la profonde mer Œnone s'est lancée.</w:t>
      </w:r>
      <w:r>
        <w:br/>
      </w:r>
      <w:r>
        <w:t>On ne sait point d'où part ce dessein furieux.</w:t>
      </w:r>
      <w:r>
        <w:br/>
      </w:r>
      <w:r>
        <w:t>Et les flots pour jamais l'ont ravie à nos yeux.</w:t>
      </w:r>
      <w:r>
        <w:rPr>
          <w:vertAlign w:val="superscript"/>
        </w:rPr>
        <w:t xml:space="preserve"> </w:t>
      </w:r>
      <w:r>
        <w:rPr>
          <w:rStyle w:val="Appelnotedebasdep"/>
        </w:rPr>
        <w:footnoteReference w:id="531"/>
      </w:r>
    </w:p>
    <w:p>
      <w:pPr>
        <w:ind w:firstLine="283"/>
      </w:pPr>
      <w:r>
        <w:t xml:space="preserve">Œnone sort de son rôle de nourrice pour s’abîmer dans un geste dicté par le </w:t>
      </w:r>
      <w:r>
        <w:rPr>
          <w:i/>
        </w:rPr>
        <w:t>furor</w:t>
      </w:r>
      <w:r>
        <w:t xml:space="preserve">, et qui n’appartient qu’à la passion la plus erratique, mais aussi la plus conventionnelle : le suicide par « dépit », promis dès la première apparition de la suivante sur scène. La mort de la nourrice </w:t>
      </w:r>
      <w:r>
        <w:t>constitue le dernier déplacement majeur de Racine par rapport à ses sources, mais aussi le plus signifiant. Œnone ne meurt pas d’un trépas infâmant, par le fer ou la corde :  le dramaturge français lui accorde non seulement le topos romanesque du suicide amoureux, mais la mort même de Sapho. L’amante congédiée va se jeter dans les flots marins, comme la poétesse de Mytilène s’était jetée par amour du haut d’un rocher</w:t>
      </w:r>
      <w:r>
        <w:rPr>
          <w:rStyle w:val="Appelnotedebasdep"/>
        </w:rPr>
        <w:footnoteReference w:id="532"/>
      </w:r>
      <w:r>
        <w:t>. Racine clôt ainsi l’arc narratif d’Œnone en lui offrant la mort canonique de la célèbre Lesbienne.</w:t>
      </w:r>
    </w:p>
    <w:p>
      <w:pPr>
        <w:ind w:firstLine="283"/>
      </w:pPr>
      <w:r>
        <w:t xml:space="preserve">En passant d’Euripide à Racine, la figure de la confidente subit donc une mutation radicale. Elle cesse d’être une entité maternelle et prosaïque pour devenir un agent de la passion noire, victime elle-même d’un amour qui la consume. Racine la dote d’un nom ovidien et d’une fureur possessive, lui délègue l’action virile et l’achève par un suicide aquatique évoquant le saut de Leucade. </w:t>
      </w:r>
    </w:p>
    <w:p>
      <w:pPr>
        <w:pStyle w:val="Titre2"/>
      </w:pPr>
      <w:r>
        <w:rPr>
          <w:b/>
          <w:sz w:val="28"/>
        </w:rPr>
        <w:t>II</w:t>
      </w:r>
      <w:r>
        <w:rPr>
          <w:b/>
          <w:sz w:val="28"/>
        </w:rPr>
        <w:t>I</w:t>
      </w:r>
      <w:r>
        <w:rPr>
          <w:b/>
          <w:sz w:val="28"/>
        </w:rPr>
        <w:t xml:space="preserve">. Thésée </w:t>
      </w:r>
      <w:r>
        <w:rPr>
          <w:b/>
          <w:sz w:val="28"/>
        </w:rPr>
        <w:t>tératogène</w:t>
      </w:r>
    </w:p>
    <w:p>
      <w:pPr>
        <w:ind w:firstLine="283"/>
      </w:pPr>
      <w:r>
        <w:t xml:space="preserve">Les relations saphiques entre Diane et ses nymphes d’une part, et d’autre part l’île de Lesbos, avec ses mœurs et sa poétesse fameuse, constituent donc deux fils qui unissent étroitement </w:t>
      </w:r>
      <w:r>
        <w:rPr>
          <w:i/>
        </w:rPr>
        <w:t>Iphigénie</w:t>
      </w:r>
      <w:r>
        <w:t xml:space="preserve"> à </w:t>
      </w:r>
      <w:r>
        <w:rPr>
          <w:i/>
        </w:rPr>
        <w:t>Phèdre</w:t>
      </w:r>
      <w:r>
        <w:t xml:space="preserve">. Il convient d’ajouter un troisième jalon : Thésée. Le roi d’Athènes, s’il est un des protagonistes de </w:t>
      </w:r>
      <w:r>
        <w:rPr>
          <w:i/>
        </w:rPr>
        <w:t>Phèdre</w:t>
      </w:r>
      <w:r>
        <w:t>, figure aussi à l’arrière-plan d’</w:t>
      </w:r>
      <w:r>
        <w:rPr>
          <w:i/>
        </w:rPr>
        <w:t>Iphigénie</w:t>
      </w:r>
      <w:r>
        <w:t>, et déjà sous les traits du « Volage adorateur de mille objets divers</w:t>
      </w:r>
      <w:r>
        <w:rPr>
          <w:rStyle w:val="Appelnotedebasdep"/>
        </w:rPr>
        <w:footnoteReference w:id="533"/>
      </w:r>
      <w:r>
        <w:t xml:space="preserve"> » que stigmatisera la reine dans la dernière tragédie profane du dramaturge. Dans les deux pièces, nous découvrons Thésée travers un épisode sombre de sa légende : celui de l’enlèvement d’Hélène. Racine présente ici comme un mariage secret cet événement que la tradition décrivait comme un rapt suivi d’un viol :</w:t>
      </w:r>
    </w:p>
    <w:p>
      <w:pPr>
        <w:ind w:firstLine="283"/>
      </w:pPr>
      <w:r>
        <w:t>Avant qu’un nœud fatal l’unît à votre Frère,</w:t>
      </w:r>
      <w:r>
        <w:br/>
      </w:r>
      <w:r>
        <w:t>Thésée avait osé l’enlever à son Père.</w:t>
      </w:r>
      <w:r>
        <w:br/>
      </w:r>
      <w:r>
        <w:t>Vous savez, et Calchas mille fois vous l’a dit,</w:t>
      </w:r>
      <w:r>
        <w:br/>
      </w:r>
      <w:r>
        <w:t>Qu’un Hymen clandestin mit ce Prince en son lit,</w:t>
      </w:r>
      <w:r>
        <w:br/>
      </w:r>
      <w:r>
        <w:t>Et qu’il en eut pour gage une jeune Princesse,</w:t>
      </w:r>
      <w:r>
        <w:br/>
      </w:r>
      <w:r>
        <w:t>Que sa Mère a cachée au reste de la Grèce.</w:t>
      </w:r>
      <w:r>
        <w:rPr>
          <w:rStyle w:val="Appelnotedebasdep"/>
        </w:rPr>
        <w:footnoteReference w:id="534"/>
      </w:r>
    </w:p>
    <w:p>
      <w:pPr>
        <w:ind w:firstLine="283"/>
      </w:pPr>
      <w:r>
        <w:t>Hippolyte reviendra sur cet enlèvement, de manière plus conforme aux descriptions des mythographes : il évoquera simplement « Hélène à ses parents à Sparte dérobée</w:t>
      </w:r>
      <w:r>
        <w:rPr>
          <w:rStyle w:val="Appelnotedebasdep"/>
        </w:rPr>
        <w:footnoteReference w:id="535"/>
      </w:r>
      <w:r>
        <w:t xml:space="preserve"> » sans parler d’un éventuel mariage. L’absence de Thésée au début de </w:t>
      </w:r>
      <w:r>
        <w:rPr>
          <w:i/>
        </w:rPr>
        <w:t>Phèdre</w:t>
      </w:r>
      <w:r>
        <w:t xml:space="preserve"> est une conséquence directe de ce kidnapping, comme l’explique Plutarque dans sa </w:t>
      </w:r>
      <w:r>
        <w:rPr>
          <w:i/>
        </w:rPr>
        <w:t>Vie de Thésée</w:t>
      </w:r>
      <w:r>
        <w:t>. L’historien y raconte en effet que Thésée et Pirithoüs s’étaient lancé un double défi : celui-ci devait enlever Proserpine et celui-là Hélène</w:t>
      </w:r>
      <w:r>
        <w:rPr>
          <w:rStyle w:val="Appelnotedebasdep"/>
        </w:rPr>
        <w:footnoteReference w:id="536"/>
      </w:r>
      <w:r>
        <w:t xml:space="preserve">. Le croisement des sources suggère, comme l’a montré Serge Lavoine, que les deux </w:t>
      </w:r>
      <w:r>
        <w:t>compagnons avaient l’intention de « pédiquer » respectivement Hélène et Proserpine.</w:t>
      </w:r>
      <w:r>
        <w:rPr>
          <w:rStyle w:val="Appelnotedebasdep"/>
        </w:rPr>
        <w:footnoteReference w:id="537"/>
      </w:r>
      <w:r>
        <w:t xml:space="preserve">  Plusieurs textes antiques l’attestent pour Thésée : Athénée mentionne ces mœurs spartiates dans ses </w:t>
      </w:r>
      <w:r>
        <w:rPr>
          <w:i/>
        </w:rPr>
        <w:t>Deipnosophistes</w:t>
      </w:r>
      <w:r>
        <w:t>, où il cite un jugement d’Hagnon de Tarse</w:t>
      </w:r>
      <w:r>
        <w:rPr>
          <w:rStyle w:val="Appelnotedebasdep"/>
        </w:rPr>
        <w:footnoteReference w:id="538"/>
      </w:r>
      <w:r>
        <w:t xml:space="preserve">, tandis que Photios, dans son </w:t>
      </w:r>
      <w:r>
        <w:rPr>
          <w:i/>
        </w:rPr>
        <w:t>Lexique</w:t>
      </w:r>
      <w:r>
        <w:t>,</w:t>
      </w:r>
      <w:r>
        <w:t xml:space="preserve"> cite un fragment d’Aristote pour expliquer le terme </w:t>
      </w:r>
      <w:r>
        <w:rPr>
          <w:i/>
        </w:rPr>
        <w:t>Kusolakōn</w:t>
      </w:r>
      <w:r>
        <w:t xml:space="preserve"> (littéralement « cul laconien »), et donne le viol d’Hélène par Thésée comme exemple  : « C’est ainsi [par une relation anale] que Thésée s’est servi d’Hélène, selon Aristote</w:t>
      </w:r>
      <w:r>
        <w:rPr>
          <w:rStyle w:val="Appelnotedebasdep"/>
        </w:rPr>
        <w:footnoteReference w:id="539"/>
      </w:r>
      <w:r>
        <w:t xml:space="preserve"> ». Thésée a réussi le rapt mais, dans la logique racinienne, une enfant est née : Iphigénie-Ériphile, fille maudite entre toutes, en raison du secret abominable de sa conception – une « pédication manquée », selon Serge Lavoine. Si Arcas est né d’une union lesbienne, Ériphile est l’enfant d’une sodomie. Clytemnestre ne se fait pas faute de rappeler cet enlèvement, en termes explicitement sexuels, </w:t>
      </w:r>
      <w:r>
        <w:t>lorsqu’elle évoque l’</w:t>
      </w:r>
      <w:r>
        <w:t xml:space="preserve"> </w:t>
      </w:r>
      <w:r>
        <w:t>«</w:t>
      </w:r>
      <w:r>
        <w:t xml:space="preserve"> </w:t>
      </w:r>
      <w:r>
        <w:t>Hymen clandestin</w:t>
      </w:r>
      <w:r>
        <w:t xml:space="preserve"> </w:t>
      </w:r>
      <w:r>
        <w:t>» et la jeune princesse cachée au reste de la Grèce</w:t>
      </w:r>
      <w:r>
        <w:rPr>
          <w:rStyle w:val="Appelnotedebasdep"/>
        </w:rPr>
        <w:footnoteReference w:id="540"/>
      </w:r>
      <w:r>
        <w:t>. Chez Racine, le terme peut s’entendre au sens figuré de mariage, mais aussi, comme l’a montré récemment Jennifer Eun-Jung, au sens anatomique, et donc renvoyer à la transgression sexuelle qui présida à la naissance de la princesse.</w:t>
      </w:r>
      <w:r>
        <w:rPr>
          <w:rStyle w:val="Appelnotedebasdep"/>
        </w:rPr>
        <w:footnoteReference w:id="541"/>
      </w:r>
      <w:r>
        <w:t xml:space="preserve"> Dès lors, pour qui sait les entendre, et malgré les contraintes de la morale et des bienséances, les allusions à l’homosexualité, à la sodomie, et à l’inversion ou l’hybridation des genres deviennent structurantes : autant de déviances qui s’ajoutent aux horreurs accompganant l’histoire des Atrides, ponctuée déjà d’anthropophagie et d’infanticide.</w:t>
      </w:r>
    </w:p>
    <w:p>
      <w:pPr>
        <w:ind w:firstLine="283"/>
      </w:pPr>
      <w:r>
        <w:t xml:space="preserve">Thésée, comme personnage hautement transgressif, apparaît donc comme un des fils essentiels reliant </w:t>
      </w:r>
      <w:r>
        <w:rPr>
          <w:i/>
        </w:rPr>
        <w:t>Iphigénie</w:t>
      </w:r>
      <w:r>
        <w:t xml:space="preserve"> à </w:t>
      </w:r>
      <w:r>
        <w:rPr>
          <w:i/>
        </w:rPr>
        <w:t>Phèdre</w:t>
      </w:r>
      <w:r>
        <w:t xml:space="preserve"> : la même zone d’ombre de son passé, lié au rapt d’Hélène, détermine directement l’action des deux pièces. Dans les deux dernières tragédies profanes, le roi d’Athènes n’a rien d’un don juan hétérosexuel classique. Il forme avec Pirithoüs un couple inséparable (« je n’avais qu’un ami</w:t>
      </w:r>
      <w:r>
        <w:rPr>
          <w:rStyle w:val="Appelnotedebasdep"/>
        </w:rPr>
        <w:footnoteReference w:id="542"/>
      </w:r>
      <w:r>
        <w:t xml:space="preserve"> »), uni dans la quête d’une sexualité fortement déviante et sacrilège (violer une fille de Zeus encore enfant, ou « déshonorer la couche » du </w:t>
      </w:r>
      <w:r>
        <w:t xml:space="preserve">« </w:t>
      </w:r>
      <w:r>
        <w:t>dieu des morts</w:t>
      </w:r>
      <w:r>
        <w:t xml:space="preserve"> »</w:t>
      </w:r>
      <w:r>
        <w:t>, sur fond de sodomie). Après le pacte passé avec Pirithoüs, Thésée n’est plus ce héros civilisateur dont le récit des exploits par Théramène réjouissait le jeune Hippolyte</w:t>
      </w:r>
      <w:r>
        <w:rPr>
          <w:rStyle w:val="Appelnotedebasdep"/>
        </w:rPr>
        <w:footnoteReference w:id="543"/>
      </w:r>
      <w:r>
        <w:t xml:space="preserve"> </w:t>
      </w:r>
      <w:r>
        <w:t>: il est lui-même devenu le monstre, violeur et pédophile, agent du chaos ; rien d’étonnant à ce que nous le voyions donner naissance aux monstres (il engendre Ériphile), les nourrir (il donne de la chair humaine en guise de « pâture » aux cavales du roi d’Épire</w:t>
      </w:r>
      <w:r>
        <w:rPr>
          <w:rStyle w:val="Appelnotedebasdep"/>
        </w:rPr>
        <w:footnoteReference w:id="544"/>
      </w:r>
      <w:r>
        <w:t>) ou les invoquer (il appelle le monstre marin meurtrier d’Hippolyte)</w:t>
      </w:r>
      <w:r>
        <w:rPr>
          <w:rStyle w:val="Appelnotedebasdep"/>
        </w:rPr>
        <w:footnoteReference w:id="545"/>
      </w:r>
      <w:r>
        <w:t>.</w:t>
      </w:r>
    </w:p>
    <w:p>
      <w:pPr>
        <w:pStyle w:val="Titre3"/>
      </w:pPr>
      <w:r>
        <w:rPr>
          <w:b/>
          <w:sz w:val="26"/>
        </w:rPr>
        <w:t xml:space="preserve">IV. La </w:t>
      </w:r>
      <w:r>
        <w:rPr>
          <w:b/>
          <w:sz w:val="26"/>
        </w:rPr>
        <w:t>performance de genre</w:t>
      </w:r>
      <w:r>
        <w:rPr>
          <w:b/>
          <w:sz w:val="26"/>
        </w:rPr>
        <w:t xml:space="preserve"> comme exigence tragique</w:t>
      </w:r>
    </w:p>
    <w:p>
      <w:pPr>
        <w:ind w:firstLine="283"/>
      </w:pPr>
      <w:r>
        <w:t>La méditation de Platon et en particulier du discours d’Aristophane sur l’androgyne, qu’il qualifie de « belle fable » dans ses notes</w:t>
      </w:r>
      <w:r>
        <w:rPr>
          <w:rStyle w:val="Appelnotedebasdep"/>
        </w:rPr>
        <w:footnoteReference w:id="546"/>
      </w:r>
      <w:r>
        <w:t xml:space="preserve">, avait préparé de longue date Racine à la peinture d’amours homosexuelles, en particulier féminines. Toutefois, le lesbianisme ne consiste pas seulement, pour </w:t>
      </w:r>
      <w:r>
        <w:t xml:space="preserve">Brantôme, dans l’amour des femmes entre elles, « </w:t>
      </w:r>
      <w:r>
        <w:rPr>
          <w:i/>
        </w:rPr>
        <w:t>donne con donne</w:t>
      </w:r>
      <w:r>
        <w:rPr>
          <w:rStyle w:val="Appelnotedebasdep"/>
        </w:rPr>
        <w:footnoteReference w:id="547"/>
      </w:r>
      <w:r>
        <w:t xml:space="preserve"> » : les lesbiennes sont aussi, et peut-être surtout, des femmes qui agissent « ainsi que les hommes mesmes</w:t>
      </w:r>
      <w:r>
        <w:rPr>
          <w:rStyle w:val="Appelnotedebasdep"/>
        </w:rPr>
        <w:footnoteReference w:id="548"/>
      </w:r>
      <w:r>
        <w:t xml:space="preserve"> », insiste-t-il à plusieurs reprises. Or, Ériphile, comme double inversé d’Iphigénie, apparaît de ce point de vue aussi « lesbienne », c’est-à-dire dotée d’une agentivité farouche. Loin de se cantonner à la passivité plaintive traditionnellement dévolue aux princesses captives, elle devient le véritable moteur de l’action destructrice en refusant de pleurer seule et de mourir sans vengeance. Comme le souligne Serge Lavoine, Ériphile endosse un véritable « rôle ‘achilléen’ » en fantasmant de « [s’]armer » elle-même contre sa rivale</w:t>
      </w:r>
      <w:r>
        <w:rPr>
          <w:rStyle w:val="Appelnotedebasdep"/>
        </w:rPr>
        <w:footnoteReference w:id="549"/>
      </w:r>
      <w:r>
        <w:t>. Cette virilisation se manifeste par sa complaisance à manier une rhétorique guerrière et sanglante (par exemple lorsqu’elle invoque le «</w:t>
      </w:r>
      <w:r>
        <w:t xml:space="preserve"> </w:t>
      </w:r>
      <w:r>
        <w:t>bras ensanglanté</w:t>
      </w:r>
      <w:r>
        <w:t xml:space="preserve"> </w:t>
      </w:r>
      <w:r>
        <w:t>» de son ravisseur</w:t>
      </w:r>
      <w:r>
        <w:rPr>
          <w:rStyle w:val="Appelnotedebasdep"/>
        </w:rPr>
        <w:footnoteReference w:id="550"/>
      </w:r>
      <w:r>
        <w:t>), mais aussi par son refus de subir. C’est elle qui, s’emparant des leviers de l’intrigue, décide de précipiter le drame en livrant le secret de la fuite : « À Calchas je vais tout découvrir</w:t>
      </w:r>
      <w:r>
        <w:rPr>
          <w:rStyle w:val="Appelnotedebasdep"/>
        </w:rPr>
        <w:footnoteReference w:id="551"/>
      </w:r>
      <w:r>
        <w:t xml:space="preserve"> ». En usurpant le monopole masculin du complot, de la trahison et de la violence, Ériphile s’affirme comme le double inversé et masculin d’Iphigénie,</w:t>
      </w:r>
      <w:r>
        <w:t xml:space="preserve"> qui de son côté incarne l</w:t>
      </w:r>
      <w:r>
        <w:t>es valeurs de la féminité. L’apogée de cette appropriation phallique éclate d’ailleurs lors de son suicide final : en prenant le « sacré couteau</w:t>
      </w:r>
      <w:r>
        <w:rPr>
          <w:rStyle w:val="Appelnotedebasdep"/>
        </w:rPr>
        <w:footnoteReference w:id="552"/>
      </w:r>
      <w:r>
        <w:t xml:space="preserve"> », et en interdisant au prêtre de l’approcher pour s’immoler elle-même (« Le sang de ces héros dont tu me fais descendre / Sans tes profanes mains saura bien se répandre</w:t>
      </w:r>
      <w:r>
        <w:rPr>
          <w:rStyle w:val="Appelnotedebasdep"/>
        </w:rPr>
        <w:footnoteReference w:id="553"/>
      </w:r>
      <w:r>
        <w:t xml:space="preserve"> »), </w:t>
      </w:r>
      <w:r>
        <w:t>Ériphile</w:t>
      </w:r>
      <w:r>
        <w:t xml:space="preserve"> confisque aux hommes l’œuvre divine du sacrifice, scellant par l’effusion de son propre sang sa nature originellement transgressive.</w:t>
      </w:r>
    </w:p>
    <w:p>
      <w:pPr>
        <w:ind w:firstLine="283"/>
      </w:pPr>
      <w:r>
        <w:t xml:space="preserve">Dans la réécriture racinienne de </w:t>
      </w:r>
      <w:r>
        <w:rPr>
          <w:i/>
        </w:rPr>
        <w:t>Phèdre</w:t>
      </w:r>
      <w:r>
        <w:t>, la passion d’Œnone pour sa maîtresse s’accompagne d’une agentivité d’essence virile, également transgressive, et plus accusée que dans les modèles antiques dont s’inspire le dramaturge. Là où la Nourrice anonyme d’Euripide restait cantonnée à la sphère domestique, et mue par un prosaïque instinct de conservation, Racine délègue à sa confidente l’action politique puis destructrice. C’est elle en effet qui propose d’abord des analyses dynastiques, évalue les chances, conseille à la reine des plans pour que le trône d’Athènes revienne à son fils</w:t>
      </w:r>
      <w:r>
        <w:rPr>
          <w:rStyle w:val="Appelnotedebasdep"/>
        </w:rPr>
        <w:footnoteReference w:id="554"/>
      </w:r>
      <w:r>
        <w:t>, tandis que Phèdre demeure figée dans la torpeur de l’alcôve et ne peut que s’abandonner aux conseils de sa servante.</w:t>
      </w:r>
      <w:r>
        <w:rPr>
          <w:rStyle w:val="Appelnotedebasdep"/>
        </w:rPr>
        <w:footnoteReference w:id="555"/>
      </w:r>
      <w:r>
        <w:t xml:space="preserve"> Dans le couple fusionnel qu’elles forment, c’est Œnone qui agit «</w:t>
      </w:r>
      <w:r>
        <w:t xml:space="preserve"> </w:t>
      </w:r>
      <w:r>
        <w:t>ainsi que les hommes mesmes</w:t>
      </w:r>
      <w:r>
        <w:t xml:space="preserve"> </w:t>
      </w:r>
      <w:r>
        <w:t>» : elle conçoit la stratégie, forge le mensonge, franchit le seuil de l’espace public et patriarcal de l’État pour affronter le souverain et prononcer la calomnie juridique contre Hippolyte</w:t>
      </w:r>
      <w:r>
        <w:rPr>
          <w:rStyle w:val="Appelnotedebasdep"/>
        </w:rPr>
        <w:footnoteReference w:id="556"/>
      </w:r>
      <w:r>
        <w:t xml:space="preserve">. Cette confiscation de l’action s’incarne d’ailleurs </w:t>
      </w:r>
      <w:r>
        <w:t>matériellement sur la scène par la manipulation d’un objet symbolique : l’épée d’Hippolyte. Si Phèdre a saisi l’arme dans une pulsion suicidaire</w:t>
      </w:r>
      <w:r>
        <w:rPr>
          <w:rStyle w:val="Appelnotedebasdep"/>
        </w:rPr>
        <w:footnoteReference w:id="557"/>
      </w:r>
      <w:r>
        <w:t>, c’est Œnone qui en perçoit l’utilité politique</w:t>
      </w:r>
      <w:r>
        <w:rPr>
          <w:rStyle w:val="Appelnotedebasdep"/>
        </w:rPr>
        <w:footnoteReference w:id="558"/>
      </w:r>
      <w:r>
        <w:t xml:space="preserve">. En transformant ce symbole phallique et martial en pièce à conviction, la nourrice émascule symboliquement le prince pour s’approprier son pouvoir. En s’emparant ainsi du monopole masculin de la parole publique, du complot et de la violence politique, et en devenant littéralement le bras armé de la reine, Œnone outrepasse son statut de </w:t>
      </w:r>
      <w:r>
        <w:t>confidente</w:t>
      </w:r>
      <w:r>
        <w:t xml:space="preserve"> et protège l’objet de sa passion exclusive. Elle manifeste par là une autorité virile qui contraste avec l’inertie morbide et passivement féminine de sa maîtresse.</w:t>
      </w:r>
    </w:p>
    <w:p>
      <w:pPr>
        <w:ind w:firstLine="283"/>
      </w:pPr>
      <w:r>
        <w:t xml:space="preserve">On pourrait étendre </w:t>
      </w:r>
      <w:r>
        <w:t xml:space="preserve">ces analyses </w:t>
      </w:r>
      <w:r>
        <w:t xml:space="preserve">à d’autres figures sexuellement ambiguës de l’œuvre racinienne. Dans </w:t>
      </w:r>
      <w:r>
        <w:rPr>
          <w:i/>
        </w:rPr>
        <w:t>Britannicus</w:t>
      </w:r>
      <w:r>
        <w:t>, la transgression de genre s’incarne dans le personnage d’Agrippine, que Roland Barthes n’hésitait pas à classer parmi les figures de « Pères » de la horde racinienne</w:t>
      </w:r>
      <w:r>
        <w:rPr>
          <w:rStyle w:val="Appelnotedebasdep"/>
        </w:rPr>
        <w:footnoteReference w:id="559"/>
      </w:r>
      <w:r>
        <w:t xml:space="preserve">. Loin </w:t>
      </w:r>
      <w:r>
        <w:t>de représenter</w:t>
      </w:r>
      <w:r>
        <w:t xml:space="preserve"> la mère nourricière ou l’épouse reléguée dans l’ombre du gynécée, Agrippine revendique le statut de génitrice de l’Empire et d’architecte de l’État. Son usurpation des prérogatives masculines est à la fois politique et spatiale : elle prétend s’asseoir sur le trône à côté de son fils</w:t>
      </w:r>
      <w:r>
        <w:rPr>
          <w:rStyle w:val="Appelnotedebasdep"/>
        </w:rPr>
        <w:footnoteReference w:id="560"/>
      </w:r>
      <w:r>
        <w:t>, guider la main du souverain, et donner audience aux ambassadeurs cachée derrière un voile.</w:t>
      </w:r>
    </w:p>
    <w:p>
      <w:pPr>
        <w:ind w:firstLine="283"/>
      </w:pPr>
      <w:r>
        <w:t>[…] Lorsqu’il se reposait sur moi de tout l’État,</w:t>
      </w:r>
      <w:r>
        <w:br/>
      </w:r>
      <w:r>
        <w:t>Que mon ordre au Palais assemblait le Sénat,</w:t>
      </w:r>
      <w:r>
        <w:br/>
      </w:r>
      <w:r>
        <w:t>Et que derrière un voile, invisible, et présente</w:t>
      </w:r>
      <w:r>
        <w:br/>
      </w:r>
      <w:r>
        <w:t>J’étais de ce grand Corps l’Âme toute-puissante.</w:t>
      </w:r>
      <w:r>
        <w:rPr>
          <w:rStyle w:val="Appelnotedebasdep"/>
        </w:rPr>
        <w:footnoteReference w:id="561"/>
      </w:r>
    </w:p>
    <w:p>
      <w:pPr>
        <w:ind w:firstLine="283"/>
      </w:pPr>
      <w:r>
        <w:t>En confisquant l’</w:t>
      </w:r>
      <w:r>
        <w:rPr>
          <w:i/>
        </w:rPr>
        <w:t>auctoritas</w:t>
      </w:r>
      <w:r>
        <w:t xml:space="preserve"> suprême, Agrippine se dénature pour s’arroger un rôle phallique de commandement qui supplante toute féminité. La véritable crise tragique de la pièce ne réside d’ailleurs pas tant dans la rivalité amoureuse autour de Junie que dans ce conflit de virilité féroce entre une mère qui s’est faite patriarche et un fils qui cherche à s’émanciper de cette tutelle castratrice. Néron ne devient le tyran qu’au moment où il parvient à abattre ce double masculin pour la renvoyer violemment à son impuissance biologique et sociale de mère. Agrippine n’est pas conviée au banquet funeste : dès lors qu’elle se trouve destituée de son rôle viril et confinée de nouveau dans l’espace domestique et l’attente passive</w:t>
      </w:r>
      <w:r>
        <w:rPr>
          <w:rStyle w:val="Appelnotedebasdep"/>
        </w:rPr>
        <w:footnoteReference w:id="562"/>
      </w:r>
      <w:r>
        <w:t>, la loi patriarcale romaine triomphe sur l’anomalie que représentait cette femme agissant « ainsi que les hommes mesmes ».</w:t>
      </w:r>
    </w:p>
    <w:p>
      <w:pPr>
        <w:ind w:firstLine="283"/>
      </w:pPr>
      <w:r>
        <w:t xml:space="preserve">Dans </w:t>
      </w:r>
      <w:r>
        <w:rPr>
          <w:i/>
        </w:rPr>
        <w:t>Bajazet</w:t>
      </w:r>
      <w:r>
        <w:t>, la subversion des rôles de genre atteint son paroxysme avec Roxane, qui pulvérise le système de la « galanterie » tel que l’a théorisé Alain Viala</w:t>
      </w:r>
      <w:r>
        <w:rPr>
          <w:rStyle w:val="Appelnotedebasdep"/>
        </w:rPr>
        <w:footnoteReference w:id="563"/>
      </w:r>
      <w:r>
        <w:t xml:space="preserve">. Là où l’esthétique galante du </w:t>
      </w:r>
      <w:r>
        <w:rPr>
          <w:smallCaps/>
        </w:rPr>
        <w:t>xvii</w:t>
      </w:r>
      <w:r>
        <w:rPr>
          <w:vertAlign w:val="superscript"/>
        </w:rPr>
        <w:t>e</w:t>
      </w:r>
      <w:r>
        <w:t xml:space="preserve"> siècle codifiait la soumission respectueuse de l’amant à sa dame,</w:t>
      </w:r>
      <w:r>
        <w:t xml:space="preserve"> </w:t>
      </w:r>
      <w:r>
        <w:t xml:space="preserve">euphémisant ainsi la violence du désir et maintenant l’illusion d’un pouvoir féminin idéalisé, Roxane déchire ce voile poétique pour en exhiber l’envers brutal. Investie du pouvoir absolu par procuration du Sultan, </w:t>
      </w:r>
      <w:r>
        <w:t>elle s’approprie la posture cynique du prédateur viril et du tyran politique. Face à elle, Bajazet est ravalé au rang de proie féminisée : reclus dans l’espace clos du sérail, objectivé, il est contraint à la dissimulation, à la pudeur forcée et à l’esquive verbale, qui sont les armes traditionnelles des captives tragiques (à l’instar d’une Andromaque face à Pyrrhus ou d’une Junie face à Néron)</w:t>
      </w:r>
      <w:r>
        <w:rPr>
          <w:rStyle w:val="Appelnotedebasdep"/>
        </w:rPr>
        <w:footnoteReference w:id="564"/>
      </w:r>
      <w:r>
        <w:t>. Roxane exerce sur lui un chantage sexuel et dynastique, exigeant l’amour en échange de la vie et du trône. En confisquant les attributs phalliques du pouvoir (l’initiative de l’injonction amoureuse, le commandement des muets, et le droit de vie et de mort scellé par le fulgurant « Sortez</w:t>
      </w:r>
      <w:r>
        <w:rPr>
          <w:rStyle w:val="Appelnotedebasdep"/>
        </w:rPr>
        <w:footnoteReference w:id="565"/>
      </w:r>
      <w:r>
        <w:t xml:space="preserve"> »), la Sultane agit de bout en bout « ainsi que les hommes mesmes ». En faisant exploser le code galant, Racine met à nu la violence transactionnelle du désir et érige Roxane en une figure monstrueusement virile, dont la dénaturation annonce, comme pour Athalie, l’écrasement inéluctable dès que le véritable dépositaire du pouvoir patriarcal fera de nouveau valoir sa loi. </w:t>
      </w:r>
    </w:p>
    <w:p>
      <w:pPr>
        <w:ind w:firstLine="283"/>
      </w:pPr>
      <w:r>
        <w:t>Dans la dernière tragédie de Racine, l’usurpation du pouvoir absolu repose sur une entreprise plus radicale encore de virilisation de l’héroïne éponyme. Pour s’asseoir sur le trône de David et incarner la figure du Monarque patriarcal, la reine a dû anéantir en elle toute trace de féminité, à commencer par l’instinct maternel, comme le montre le massacre de ses propres petits-enfants</w:t>
      </w:r>
      <w:r>
        <w:rPr>
          <w:rStyle w:val="Appelnotedebasdep"/>
        </w:rPr>
        <w:footnoteReference w:id="566"/>
      </w:r>
      <w:r>
        <w:t>. Il a fallu qu’elle s’érige en monstre, c’est-à-dire en femme virile hybride, cruelle et froide, pour s’approprier l’autorité politique d’un roi et asseoir efficacement son pouvoir : « Sur d’éclatants succès ma puissance établie / A fait jusqu’aux deux Mers respecter Athalie.</w:t>
      </w:r>
      <w:r>
        <w:rPr>
          <w:rStyle w:val="Appelnotedebasdep"/>
        </w:rPr>
        <w:footnoteReference w:id="567"/>
      </w:r>
      <w:r>
        <w:t xml:space="preserve"> » Si son règne s’effondre, c’est au moment précis où, après le songe, son armure masculine se fissure. C’est l’irruption de l’irrationnel, avec le retour fantasmatique de la lignée maternelle (« Ma mère Jézabel devant moi s’est montrée</w:t>
      </w:r>
      <w:r>
        <w:rPr>
          <w:rStyle w:val="Appelnotedebasdep"/>
        </w:rPr>
        <w:footnoteReference w:id="568"/>
      </w:r>
      <w:r>
        <w:t xml:space="preserve"> ») et le trouble inexpliqué, presque tendre, face au jeune Joas (« J’admirais sa douceur, son air noble et modeste</w:t>
      </w:r>
      <w:r>
        <w:rPr>
          <w:rStyle w:val="Appelnotedebasdep"/>
        </w:rPr>
        <w:footnoteReference w:id="569"/>
      </w:r>
      <w:r>
        <w:t xml:space="preserve"> »), qui vien</w:t>
      </w:r>
      <w:r>
        <w:t>nen</w:t>
      </w:r>
      <w:r>
        <w:t>t paralyser sa volonté de fer et la condamner à mort (« J’ai senti tout à coup un homicide acier / Que le traître en mon sein a plongé tout entier</w:t>
      </w:r>
      <w:r>
        <w:rPr>
          <w:rStyle w:val="Appelnotedebasdep"/>
        </w:rPr>
        <w:footnoteReference w:id="570"/>
      </w:r>
      <w:r>
        <w:t xml:space="preserve"> »). Le prêtre Mathan diagnostique cette régression fatale avec une lucidité misogyne implacable : « Elle flotte, elle hésite ; en un mot, elle est femme</w:t>
      </w:r>
      <w:r>
        <w:rPr>
          <w:rStyle w:val="Appelnotedebasdep"/>
        </w:rPr>
        <w:footnoteReference w:id="571"/>
      </w:r>
      <w:r>
        <w:t xml:space="preserve"> ». Dès lors que la cuirasse de l’homme d’État se fêle pour laisser affleurer la vulnérabilité et la pitié d’une nature féminine à laquelle l’assigne son siècle, la perte de la reine est consommée et sa ruine, scellée. </w:t>
      </w:r>
      <w:r>
        <w:rPr>
          <w:i/>
        </w:rPr>
        <w:t>Athalie</w:t>
      </w:r>
      <w:r>
        <w:t xml:space="preserve"> est une tragédie du genre. Aussitôt qu’elle cesse d’être un monstre et redevient femme, </w:t>
      </w:r>
      <w:r>
        <w:t xml:space="preserve">la fille d’Achab est écrasée par </w:t>
      </w:r>
      <w:r>
        <w:t xml:space="preserve">la loi des Pères. Athalie témoigne une dernière fois du paradoxe tragique des femmes de pouvoir chez Racine : pour survivre dans un monde marqué par la violence martiale, celui de Thésée et d’Achille, la femme n’a d’autre ressource que de devenir un </w:t>
      </w:r>
      <w:r>
        <w:rPr>
          <w:i/>
        </w:rPr>
        <w:t>monstre</w:t>
      </w:r>
      <w:r>
        <w:t xml:space="preserve"> androgyne sexuellement indifférencié. Mais dès qu’elle redevient femme, dès que la faiblesse </w:t>
      </w:r>
      <w:r>
        <w:rPr>
          <w:i/>
        </w:rPr>
        <w:t>naturelle</w:t>
      </w:r>
      <w:r>
        <w:t xml:space="preserve"> fait retour, comme Athalie face à Joas, elle se condamne à mort.</w:t>
      </w:r>
    </w:p>
    <w:p>
      <w:pPr>
        <w:ind w:firstLine="283"/>
      </w:pPr>
      <w:r>
        <w:rPr>
          <w:b/>
        </w:rPr>
        <w:t xml:space="preserve">V. </w:t>
      </w:r>
      <w:r>
        <w:rPr>
          <w:b/>
        </w:rPr>
        <w:t>L’ombre de Tirésias</w:t>
      </w:r>
    </w:p>
    <w:p>
      <w:pPr>
        <w:ind w:firstLine="283"/>
      </w:pPr>
      <w:r>
        <w:t xml:space="preserve">Si </w:t>
      </w:r>
      <w:r>
        <w:rPr>
          <w:i/>
        </w:rPr>
        <w:t>Iphigénie</w:t>
      </w:r>
      <w:r>
        <w:t xml:space="preserve"> et </w:t>
      </w:r>
      <w:r>
        <w:rPr>
          <w:i/>
        </w:rPr>
        <w:t>Phèdre</w:t>
      </w:r>
      <w:r>
        <w:t xml:space="preserve"> déploient un réseau complexe d’anomalies sexuelles et généalogiques, il est un silence, aux origines mêmes de la dramaturgie racinienne, qui éclaire cette poétique de l’hybride : l’absence de Tirésias dans sa première tragédie, </w:t>
      </w:r>
      <w:r>
        <w:rPr>
          <w:i/>
        </w:rPr>
        <w:t>La Thébaïde ou les Frères ennemis</w:t>
      </w:r>
      <w:r>
        <w:t>. Dans le mythe des Labdacides, Tirésias est la figure par excellence de la fluidité de genre. Ayant connu les deux sexes, simultanément homme et femme, humain aveugle et prophète divin, il incarne le comble de la transgression biologique et ontologique</w:t>
      </w:r>
      <w:r>
        <w:rPr>
          <w:rStyle w:val="Appelnotedebasdep"/>
        </w:rPr>
        <w:footnoteReference w:id="572"/>
      </w:r>
      <w:r>
        <w:t xml:space="preserve">. Or, Racine choisit précisément d’effacer ce personnage essentiel de la scène. Cette éviction n’est pas une simple commodité dramaturgique : Tirésias est gommé de l’espace visible parce qu’il est, sans doute, trop visiblement </w:t>
      </w:r>
      <w:r>
        <w:rPr>
          <w:i/>
        </w:rPr>
        <w:t>queer</w:t>
      </w:r>
      <w:r>
        <w:t xml:space="preserve"> pour paraître sur la scène « classique ». Son corps androgyne exhiberait de manière trop littérale et organique une indifférenciation que la bienséance exige de voiler.</w:t>
      </w:r>
    </w:p>
    <w:p>
      <w:pPr>
        <w:ind w:firstLine="283"/>
      </w:pPr>
      <w:r>
        <w:t>Pourtant, cette mise à l’écart scénique ne supprime en rien la puissance du personnage. Tirésias devient une présence fantôme, une force de l’ombre qui régit l’intrigue depuis le hors-scène. C’est lui qui délivre les oracles et scelle le destin des frères ennemis</w:t>
      </w:r>
      <w:r>
        <w:rPr>
          <w:rStyle w:val="Appelnotedebasdep"/>
        </w:rPr>
        <w:footnoteReference w:id="573"/>
      </w:r>
      <w:r>
        <w:t xml:space="preserve">. Le </w:t>
      </w:r>
      <w:r>
        <w:rPr>
          <w:i/>
        </w:rPr>
        <w:t>queer</w:t>
      </w:r>
      <w:r>
        <w:t>, repoussé dans les marges de l’invisible, n’en demeure pas moins le moteur de la fatalité. S’il détient une telle autorité sur la chute de Thèbes, c’est parce qu’il est le dépositaire du péché originel de la lignée. Comme le souligne Serge Lavoine dans sa lecture de la malédiction œdipienne, la « protohistoire » des Labdacides s’ouvre sur une transgression sexuelle majeure : le viol du jeune Chrysippe par Laïos, suivi par, déjà, une funeste « pédication manquée » avec Jocaste</w:t>
      </w:r>
      <w:r>
        <w:rPr>
          <w:rStyle w:val="Appelnotedebasdep"/>
        </w:rPr>
        <w:footnoteReference w:id="574"/>
      </w:r>
      <w:r>
        <w:t xml:space="preserve">. À cet égard, le rapprochement opéré par Lavoine entre Laïos et Thésée est saisissant. Tous deux partagent un même profil de prédateurs sexuels s’adonnant au rapt et à la sodomie (avec Chrysippe pour l’un, avec Hélène ou Proserpine aux côtés de Pirithoüs pour l’autre). Tirésias, par sa propre hybridité, est le miroir prophétique de ces amours « contre-nature ». C’est ici que Racine opère un coup de force : le dramaturge, qui ne peut représenter la monstruosité charnelle (le corps intersexe de Tirésias ou les viols sodomites de Laïos et Thésée), transfère l’anomalie de la chair vers le sang. La difformité n’est plus anatomique, elle devient morale et dynastique ; elle se mue, dans </w:t>
      </w:r>
      <w:r>
        <w:rPr>
          <w:i/>
        </w:rPr>
        <w:t>La Thébaïde</w:t>
      </w:r>
      <w:r>
        <w:t xml:space="preserve">, en une « haine » fratricide et viscérale qui déchire Étéocle et Polynice, et, dans </w:t>
      </w:r>
      <w:r>
        <w:rPr>
          <w:i/>
        </w:rPr>
        <w:t>Iphigénie</w:t>
      </w:r>
      <w:r>
        <w:t>, dans la menace de l’infanticide.</w:t>
      </w:r>
    </w:p>
    <w:p>
      <w:pPr>
        <w:ind w:firstLine="283"/>
      </w:pPr>
      <w:r>
        <w:t xml:space="preserve">En réalité, le </w:t>
      </w:r>
      <w:r>
        <w:rPr>
          <w:i/>
        </w:rPr>
        <w:t>queer</w:t>
      </w:r>
      <w:r>
        <w:t xml:space="preserve"> Tirésias, repoussé dans les marges, fait retour de façon insidieuse dans </w:t>
      </w:r>
      <w:r>
        <w:rPr>
          <w:i/>
        </w:rPr>
        <w:t>Britannicus</w:t>
      </w:r>
      <w:r>
        <w:t xml:space="preserve">. Dans la troisième </w:t>
      </w:r>
      <w:r>
        <w:rPr>
          <w:i/>
        </w:rPr>
        <w:t>Métamorphose</w:t>
      </w:r>
      <w:r>
        <w:t xml:space="preserve"> d’Ovide, c’est en effet Tirésias qui prononce la prophétie concernant le jeune Narcisse : il vivra vieux « </w:t>
      </w:r>
      <w:r>
        <w:rPr>
          <w:i/>
        </w:rPr>
        <w:t xml:space="preserve">si se non </w:t>
      </w:r>
      <w:r>
        <w:rPr>
          <w:i/>
        </w:rPr>
        <w:t>noverit</w:t>
      </w:r>
      <w:r>
        <w:t xml:space="preserve">, </w:t>
      </w:r>
      <w:r>
        <w:t>s’il</w:t>
      </w:r>
      <w:r>
        <w:t xml:space="preserve"> ne se connaît pas lui-même</w:t>
      </w:r>
      <w:r>
        <w:rPr>
          <w:rStyle w:val="Appelnotedebasdep"/>
        </w:rPr>
        <w:footnoteReference w:id="575"/>
      </w:r>
      <w:r>
        <w:t xml:space="preserve"> ». Or, dans la tragédie de 1669, Racine opère un transfert de parole : c’est le gouverneur nommé Narcisse, lui-même interlope par sa nature d’affranchi et fluide au sens où il erre entre Britannicus et Néron, qui s’approprie la voix du devin transgenre. Interrogeant son âme damnée sur les désirs troubles qui commencent à poindre chez Britannicus (« Si jeune encore </w:t>
      </w:r>
      <w:r>
        <w:rPr>
          <w:i/>
        </w:rPr>
        <w:t xml:space="preserve">se </w:t>
      </w:r>
      <w:r>
        <w:rPr>
          <w:i/>
        </w:rPr>
        <w:t>connaît-il lui-même</w:t>
      </w:r>
      <w:r>
        <w:t xml:space="preserve"> ? / D’un regard enchanteur connaît-il le poison ? »), Narcisse répond sans hésiter : « N'en doutez point, il l'aime »</w:t>
      </w:r>
      <w:r>
        <w:rPr>
          <w:rStyle w:val="Appelnotedebasdep"/>
        </w:rPr>
        <w:footnoteReference w:id="576"/>
      </w:r>
      <w:r>
        <w:t xml:space="preserve"> . Par cette ironie tragique, Tirésias n’est plus sur scène, mais il parle à travers l’affranchi</w:t>
      </w:r>
      <w:r>
        <w:rPr>
          <w:rStyle w:val="Appelnotedebasdep"/>
        </w:rPr>
        <w:footnoteReference w:id="577"/>
      </w:r>
      <w:r>
        <w:t>. Le fantôme du devin s’incarne ainsi dans la figure du confident toxique, et c’est celui-ci qui devient l’agent d’une violence et d’une perversion « disséminées » dans les replis de la cour.</w:t>
      </w:r>
    </w:p>
    <w:p>
      <w:pPr>
        <w:ind w:firstLine="283"/>
      </w:pPr>
      <w:r>
        <w:t xml:space="preserve">Cette stratégie de l’intermédiaire sexuellement ambigu, agissant dans l’ombre pour infléchir le destin dicté par les dieux, trouvera un écho dans </w:t>
      </w:r>
      <w:r>
        <w:rPr>
          <w:i/>
        </w:rPr>
        <w:t>Iphigénie</w:t>
      </w:r>
      <w:r>
        <w:t>, avec le personnage d’Arcas. Si Tirésias est le prophète hors-scène né d’une métamorphose mythologique, Arcas, nous l’avons vu, est le confident sur scène né des amours lesbiennes de Callisto et de Zeus-Diane. Tous deux portent dans leur identité ou leur ascendance le sceau du trouble dans le genre. Et tous deux, l’un en dictant l’oracle depuis son antre invisible, l’autre en trahissant le secret d’Agamemnon, détiennent le pouvoir de faire basculer la tragédie. Chez Racine, ceux qui font l’histoire sont précisément ceux que l’histoire (et la norme) tentent de tenir à la marge.</w:t>
      </w:r>
    </w:p>
    <w:p>
      <w:pPr>
        <w:ind w:firstLine="283"/>
      </w:pPr>
      <w:r>
        <w:t xml:space="preserve">Cette injonction fatale au (non-)savoir de soi noue un fil entre </w:t>
      </w:r>
      <w:r>
        <w:rPr>
          <w:i/>
        </w:rPr>
        <w:t>Britannicus</w:t>
      </w:r>
      <w:r>
        <w:t xml:space="preserve"> et </w:t>
      </w:r>
      <w:r>
        <w:rPr>
          <w:i/>
        </w:rPr>
        <w:t>Iphigénie</w:t>
      </w:r>
      <w:r>
        <w:t>. Car cette prophétie, usurpée par Narcisse à Tirésias, est très exactement celle qui pèse sur Ériphile, la captive « lesbienne » : « Un Oracle effrayant [...] / Me dit, que sans péril je ne me puis connaître</w:t>
      </w:r>
      <w:r>
        <w:rPr>
          <w:rStyle w:val="Appelnotedebasdep"/>
        </w:rPr>
        <w:footnoteReference w:id="578"/>
      </w:r>
      <w:r>
        <w:t xml:space="preserve"> ». De Laïos à Ériphile, de Tirésias à Calchas, le motif œdipien de la connaissance de soi est systématiquement lié, chez Racine, à la découverte d’une identité sexuelle ou généalogique transgressive. Se connaître, pour Ériphile, c’est se découvrir le « fruit amer » d’une violence sexuelle hétéroclite, et se vouer à une rivalité virile et destructrice.</w:t>
      </w:r>
    </w:p>
    <w:p>
      <w:pPr>
        <w:ind w:firstLine="283"/>
      </w:pPr>
      <w:r>
        <w:t xml:space="preserve">Dès lors, la fonction structurelle des intermédiaires et des confidents prend tout son sens. Si le pouvoir officiel tente de maintenir l’illusion d’une hétéronormativité et d’une légitimité claires, ce sont les subalternes qui injectent le </w:t>
      </w:r>
      <w:r>
        <w:rPr>
          <w:i/>
        </w:rPr>
        <w:t>queer</w:t>
      </w:r>
      <w:r>
        <w:t xml:space="preserve"> dans les veines de la tragédie et viennent miner les identités héroïques. Narcisse, l’affranchi ambigu qui manipule l’empereur ; Œnone, l’amante éconduite qui assume l’agentivité de la reine ; et bien sûr, Arcas, agent double né des amours lesbiennes de Zeus et de Callisto. Tous portent dans leur identité, leur classe ou leur ascendance le sceau de l’hybride. Tenus à la lisière de l’action par leur statut, ils sont pourtant ceux qui délivrent les oracles, forgent les mensonges et trahissent les secrets. C’est leur relégation dans les marges qui les rend propres à dévoiler le cœur du tragique racinien : l’indifférenciation et la dénaturation comme moteurs du chaos.</w:t>
      </w:r>
    </w:p>
    <w:p>
      <w:pPr>
        <w:ind w:firstLine="283"/>
      </w:pPr>
      <w:r>
        <w:rPr>
          <w:b/>
        </w:rPr>
        <w:t>Conclusion</w:t>
      </w:r>
    </w:p>
    <w:p>
      <w:pPr>
        <w:ind w:firstLine="283"/>
      </w:pPr>
      <w:r>
        <w:t xml:space="preserve">Joan DeJean, dans son ouvrage fondateur </w:t>
      </w:r>
      <w:r>
        <w:rPr>
          <w:i/>
        </w:rPr>
        <w:t xml:space="preserve">Sapho. Les fictions du désir, </w:t>
      </w:r>
      <w:r>
        <w:t xml:space="preserve">estimait que Boileau, dans le </w:t>
      </w:r>
      <w:r>
        <w:rPr>
          <w:i/>
        </w:rPr>
        <w:t>Traité du sublime</w:t>
      </w:r>
      <w:r>
        <w:t xml:space="preserve">, et Racine, dans </w:t>
      </w:r>
      <w:r>
        <w:rPr>
          <w:i/>
        </w:rPr>
        <w:t>Phèdre</w:t>
      </w:r>
      <w:r>
        <w:t xml:space="preserve">, désamorçaient le pouvoir subversif de Sapho, en tentant de normaliser le désir féminin. Racine donne </w:t>
      </w:r>
      <w:r>
        <w:t xml:space="preserve">à son héroïne saphique </w:t>
      </w:r>
      <w:r>
        <w:t>une voix splendide, mais il l’enferme dans une trajectoire de péril et de châtiment, comme si la scène classique ne pouvait l’accueillir qu’à condition de le convertir en catastrophe régulatrice</w:t>
      </w:r>
      <w:r>
        <w:rPr>
          <w:rStyle w:val="Appelnotedebasdep"/>
        </w:rPr>
        <w:footnoteReference w:id="579"/>
      </w:r>
      <w:r>
        <w:t xml:space="preserve">. Cette lecture est séduisante et convaincante à bien des égards. Pourtant, si Racine perçoit la menace que représentent les amours hors-normes, se contente-t-il seulement de les émousser et de les neutraliser ? Les affections qu’il nous donne à voir n’ont rien de normatif. La passion de Phèdre pour Hippolyte, bien qu’hétérosexuelle, est un inceste, tandis que le lien entre Patrocle et Achille, de nature homosexuelle, n’est pas condamné. Il n’est pas sûr que Racine ait été sans nuance l’agent zélé du patriarcat hétéronormé, et il est certain que les formes aberrantes du désir figurent au cœur de son théâtre sans qu’il se soit nécessairement employé toujours à les conjurer. Le rapport aux orientations sexuelles hétérodoxes est tout particulièrement central dans </w:t>
      </w:r>
      <w:r>
        <w:rPr>
          <w:i/>
        </w:rPr>
        <w:t xml:space="preserve">Iphigénie </w:t>
      </w:r>
      <w:r>
        <w:t xml:space="preserve">et </w:t>
      </w:r>
      <w:r>
        <w:rPr>
          <w:i/>
        </w:rPr>
        <w:t>Phèdre</w:t>
      </w:r>
      <w:r>
        <w:t xml:space="preserve">, tragédies de toutes les transgressions. Dans l’univers racinien, le désir agit comme un acide qui dissout toutes les frontières, qu’elles soient générationnelles, sociales, ou sexuelles. Le propre du désir tragique est d’ignorer non seulement les tabous familiaux comme l’inceste, mais aussi les limites entre les genres : Achille et Patrocle, Thésée et Pirithoüs, Diane et Callisto, Phèdre et Œnone, autant de couples homoérotiques dont la présence sur scène, ou suggérée à l’arrière-plan, structure en profondeur les deux dernières tragédies profanes de Racine. La passion ne bascule d’ailleurs pas de l’homosexualité à l’hétérosexualité : elle devient plutôt une force fluide qui inonde et corrompt. Agamemnon veut la mort de sa fille qu’il aime, Phèdre aime un garçon qui est le double de son père Thésée, Achille est intime de Patrocle </w:t>
      </w:r>
      <w:r>
        <w:rPr>
          <w:i/>
        </w:rPr>
        <w:t>et</w:t>
      </w:r>
      <w:r>
        <w:t xml:space="preserve"> amoureux d’Iphigénie, tandis qu’Œnone désire Phèdre d’un amour foncièrement impur, à la fois maternel, servile et érotique. Vouloir étiqueter ces flux au sein de classifications figées appauvrirait l’œuvre et nous empêcherait de percevoir la véritable nature du tragique racinien, qui se caractérise précisément par une vertigineuse liquéfaction des catégories.</w:t>
      </w:r>
      <w:r>
        <w:rPr>
          <w:b/>
        </w:rPr>
        <w:t xml:space="preserve"> </w:t>
      </w:r>
      <w:r>
        <w:t>Le monde tragique de Racine est traversé par une crise d’indifférenciation généralisée dans laquelle, si l’on veut, on peut voir un résultat de la concupiscence</w:t>
      </w:r>
      <w:r>
        <w:rPr>
          <w:b/>
        </w:rPr>
        <w:t xml:space="preserve"> </w:t>
      </w:r>
      <w:r>
        <w:t xml:space="preserve">: dans cette </w:t>
      </w:r>
      <w:r>
        <w:rPr>
          <w:i/>
        </w:rPr>
        <w:t>massa perditionis</w:t>
      </w:r>
      <w:r>
        <w:t xml:space="preserve">, le désir ne connaît plus son objet « naturel ». </w:t>
      </w:r>
      <w:r>
        <w:t>On l’a vu avec Achille, l</w:t>
      </w:r>
      <w:r>
        <w:t xml:space="preserve">a fluidité racinienne </w:t>
      </w:r>
      <w:r>
        <w:t>tient exceptionnellement d’</w:t>
      </w:r>
      <w:r>
        <w:t xml:space="preserve">une libération au sens où elle </w:t>
      </w:r>
      <w:r>
        <w:t xml:space="preserve">peut </w:t>
      </w:r>
      <w:r>
        <w:t>rel</w:t>
      </w:r>
      <w:r>
        <w:t>ever</w:t>
      </w:r>
      <w:r>
        <w:t xml:space="preserve"> d’un </w:t>
      </w:r>
      <w:r>
        <w:rPr>
          <w:i/>
        </w:rPr>
        <w:t>gender fluid</w:t>
      </w:r>
      <w:r>
        <w:t xml:space="preserve"> émancipateur</w:t>
      </w:r>
      <w:r>
        <w:t>. Mais le cas d’Achille est unique. Le plus souvent, la fluidité est la marque d’</w:t>
      </w:r>
      <w:r>
        <w:t>une dénaturation. Le monde tragique est en proie à un désordre généralisé (« Cet heureux temps n’est plus. Tout a changé de face</w:t>
      </w:r>
      <w:r>
        <w:rPr>
          <w:rStyle w:val="Appelnotedebasdep"/>
        </w:rPr>
        <w:footnoteReference w:id="580"/>
      </w:r>
      <w:r>
        <w:t xml:space="preserve"> ») qui prend la forme d’un effondrement de toutes les frontières rassurantes du cosmos ordonné et de la civilisation : les parents et les enfants, l’ombre et la lumière, les crimes et les châtiments, le bien et le mal, les hommes et les femmes, les mortels et les dieux, les humains et les bêtes, les innocents et les coupables, toutes ces catégories binaires qui donnent au monde un semblant de stabilité apparente se défont et se délitent. Le tragique est un retour à une indistinction primitive où les principes même qui président à la vie et à la mort se trouvent bousculés. Dans </w:t>
      </w:r>
      <w:r>
        <w:rPr>
          <w:i/>
        </w:rPr>
        <w:t>Iphigénie</w:t>
      </w:r>
      <w:r>
        <w:t xml:space="preserve">, la tragédie se déploie parce que l’ordre généalogique est pourri par des origines « contre-nature ». </w:t>
      </w:r>
      <w:r>
        <w:t xml:space="preserve">Le cas d’Ériphile, née d’une « pédication manquée », fruit d’une confusion des orifices et de leurs usages, apparaît ici emblématique d’une étrangeté fondée sur l’hésitation ontologique : la fille d’Hélène et de Thésée est une erreur de la nature, un produit du vice, en un mot un monstre qui subit </w:t>
      </w:r>
      <w:r>
        <w:rPr>
          <w:i/>
        </w:rPr>
        <w:t>in fine</w:t>
      </w:r>
      <w:r>
        <w:t xml:space="preserve"> l’élimination cathartique. Au demeurant, elle n’est pas la seule à pouvoir se prévaloir d’une naissance hétéroclite, sa mère étant née d’amours zoophiles et Clytemnestre elle-même étant sortie d’un œuf, pour ne rien dire de Pasiphaé amoureuse d’un taureau</w:t>
      </w:r>
      <w:r>
        <w:rPr>
          <w:rStyle w:val="Appelnotedebasdep"/>
        </w:rPr>
        <w:footnoteReference w:id="581"/>
      </w:r>
      <w:r>
        <w:t xml:space="preserve">. C’est en raison de ces confusions et de ces hybridations que le théâtre de Racine est à ce point envahi par les monstres, c’est-à-dire par des êtres impossibles à catégoriser. Pour le dire autrement : c’est parce que les identités sont fluides qu’elles sont tératologiques. Thésée glisse du rapt pédophile avec Hélène au pacte homosocial avec Pirithoüs, enfin au mariage avec Phèdre, tandis qu’Arcas flotte entre le chasseur et la Petite Ourse, le mâle et la femelle, le prédateur et la proie – le serviteur fidèle et le traître à son roi. À la tératologie généalogique s’ajoute le spectre de Lesbos et le souvenir de Sapho, c’est-à-dire, là encore, d’un érotisme de la fusion et de la confusion. </w:t>
      </w:r>
    </w:p>
    <w:p>
      <w:pPr>
        <w:ind w:firstLine="283"/>
      </w:pPr>
      <w:r>
        <w:t xml:space="preserve">Si l’on définit le </w:t>
      </w:r>
      <w:r>
        <w:rPr>
          <w:i/>
        </w:rPr>
        <w:t>queer</w:t>
      </w:r>
      <w:r>
        <w:t xml:space="preserve"> non pas comme un synonyme d’homosexualité, mais dans son sens originel de bizarre, d’une marche de travers qui fait dérailler la norme, alors la scène racinienne est profondément </w:t>
      </w:r>
      <w:r>
        <w:rPr>
          <w:i/>
        </w:rPr>
        <w:t xml:space="preserve">queer </w:t>
      </w:r>
      <w:r>
        <w:t>: les personnages y sont des êtres ambigus, équivoques, désorientés, inadaptés au monde, et aux prises avec des identités multiples</w:t>
      </w:r>
      <w:r>
        <w:rPr>
          <w:rStyle w:val="Appelnotedebasdep"/>
        </w:rPr>
        <w:footnoteReference w:id="582"/>
      </w:r>
      <w:r>
        <w:t xml:space="preserve">. Arcas est </w:t>
      </w:r>
      <w:r>
        <w:rPr>
          <w:i/>
        </w:rPr>
        <w:t>queer</w:t>
      </w:r>
      <w:r>
        <w:t xml:space="preserve"> parce que son être même est une impossibilité, de sa naissance à sa métamorphose ; Thésée « laconien » est </w:t>
      </w:r>
      <w:r>
        <w:rPr>
          <w:i/>
        </w:rPr>
        <w:t>queer</w:t>
      </w:r>
      <w:r>
        <w:t xml:space="preserve"> parce que son désir efface par la violence la différence des sexes ; Œnone amante est </w:t>
      </w:r>
      <w:r>
        <w:rPr>
          <w:i/>
        </w:rPr>
        <w:t>queer</w:t>
      </w:r>
      <w:r>
        <w:t xml:space="preserve"> parce que son lien avec Phèdre sort des catégories du service pour entrer dans une fusion qui court-circuite tout le système affectif, social et familial. Achille est </w:t>
      </w:r>
      <w:r>
        <w:rPr>
          <w:i/>
        </w:rPr>
        <w:t xml:space="preserve">queer </w:t>
      </w:r>
      <w:r>
        <w:t xml:space="preserve">parce qu’il est épris d’une femme et attaché à un homme. Le </w:t>
      </w:r>
      <w:r>
        <w:rPr>
          <w:i/>
        </w:rPr>
        <w:t>queer</w:t>
      </w:r>
      <w:r>
        <w:t xml:space="preserve"> est la matière monstrueuse même des dernières pièces profanes de Racine. Le terme employé ici ne doit pas être pris comme une simple étiquette d’orientation sexuelle, mais dans son sens théorique fort d’une déstabilisation des normes causée par les tourments et les aspirations désordonnés de la chair et des corps, qu’aucune régulation politique ne saurait intégrer. Le </w:t>
      </w:r>
      <w:r>
        <w:rPr>
          <w:i/>
        </w:rPr>
        <w:t>queer</w:t>
      </w:r>
      <w:r>
        <w:t>, c’est cette zone d’indifférenciation terrifiante qui définit l’espace tragique</w:t>
      </w:r>
      <w:r>
        <w:rPr>
          <w:rStyle w:val="Appelnotedebasdep"/>
        </w:rPr>
        <w:footnoteReference w:id="583"/>
      </w:r>
      <w:r>
        <w:t xml:space="preserve">. L’horreur chez Racine naît du fait qu’aucune norme ne tient. Les conditions, </w:t>
      </w:r>
      <w:r>
        <w:t>les genres et les lois se mêlent dans le sang du sacrifice sur les rivages d’Aulis ou, sur ceux de Trézène, dans les replis tortueux d’un monstre chimérique, incarnation suprême de la fluidité destructrice</w:t>
      </w:r>
      <w:r>
        <w:rPr>
          <w:rStyle w:val="Appelnotedebasdep"/>
        </w:rPr>
        <w:footnoteReference w:id="584"/>
      </w:r>
      <w:r>
        <w:t>. L</w:t>
      </w:r>
      <w:r>
        <w:t xml:space="preserve">e </w:t>
      </w:r>
      <w:r>
        <w:rPr>
          <w:i/>
        </w:rPr>
        <w:t>queer</w:t>
      </w:r>
      <w:r>
        <w:t xml:space="preserve"> racinien, c’est l’obscurité d’un désir </w:t>
      </w:r>
      <w:r>
        <w:rPr>
          <w:i/>
        </w:rPr>
        <w:t>innommable</w:t>
      </w:r>
      <w:r>
        <w:t xml:space="preserve">, parce que </w:t>
      </w:r>
      <w:r>
        <w:t>ni le mariage, ni la loi, ni la raison ne le peuvent ordonner</w:t>
      </w:r>
      <w:r>
        <w:t xml:space="preserve">. Une lecture augustinienne y verrait le résultat de la Chute et de sa conséquence, le péché, défini comme un principe de décomposition provoquant l’effondrement de toutes les lois naturelles. Si l’univers des dernières tragédies profanes de Racine est aussi crûment </w:t>
      </w:r>
      <w:r>
        <w:rPr>
          <w:i/>
        </w:rPr>
        <w:t>queer</w:t>
      </w:r>
      <w:r>
        <w:t xml:space="preserve">, c’est que le </w:t>
      </w:r>
      <w:r>
        <w:rPr>
          <w:i/>
        </w:rPr>
        <w:t>queer</w:t>
      </w:r>
      <w:r>
        <w:t xml:space="preserve"> est l’essence même du monde déchu</w:t>
      </w:r>
      <w:r>
        <w:t>. La véritable audace de Racine a été de peindre ce monde, notre monde, celui où l’épanchement du désir laisse l’humanité face à l’effroi de sa propre indétermination.</w:t>
      </w:r>
    </w:p>
    <w:p>
      <w:r>
        <w:br w:type="page"/>
      </w:r>
    </w:p>
    <w:p>
      <w:pPr>
        <w:ind w:firstLine="283"/>
      </w:pPr>
      <w:r>
        <w:rPr>
          <w:b/>
        </w:rPr>
        <w:t>Entretien avec Stéphane Braunschweig. Verbatim.</w:t>
      </w:r>
    </w:p>
    <w:p>
      <w:pPr>
        <w:ind w:firstLine="283"/>
      </w:pPr>
      <w:r>
        <w:rPr>
          <w:i/>
        </w:rPr>
        <w:t xml:space="preserve">Stéphane Braunschweig, philosophe de formation, ancien élève de l’École Normale Supérieure de Fontenay-aux-Roses et de l’École du Théâtre National de Chaillot sous la direction d’Antoine Vitez, est un metteur en scène phare du théâtre public français. Il a été le directeur du Centre dramatique national d’Orléans, du Théâtre national de Strasbourg, du Théâtre national de la Colline et de l’Odéon-théâtre de l’Europe. Il a monté de nombreuses pièces classiques, particulièrement de Molière, ainsi que trois pièces de Racine : </w:t>
      </w:r>
      <w:r>
        <w:t>Britannicus</w:t>
      </w:r>
      <w:r>
        <w:rPr>
          <w:i/>
        </w:rPr>
        <w:t xml:space="preserve"> en 2018 à la Comédie-Française, </w:t>
      </w:r>
      <w:r>
        <w:t>Iphigénie</w:t>
      </w:r>
      <w:r>
        <w:rPr>
          <w:i/>
        </w:rPr>
        <w:t xml:space="preserve"> en 2020 aux ateliers Berthier dans le contexte de l’épidémie de COVID alors qu’il était directeur de l’Odéon, et </w:t>
      </w:r>
      <w:r>
        <w:t>Andromaque</w:t>
      </w:r>
      <w:r>
        <w:rPr>
          <w:i/>
        </w:rPr>
        <w:t xml:space="preserve"> en 2023 toujours à l’Odéon.</w:t>
      </w:r>
    </w:p>
    <w:p>
      <w:pPr>
        <w:ind w:firstLine="283"/>
      </w:pPr>
      <w:r>
        <w:rPr>
          <w:smallCaps/>
        </w:rPr>
        <w:t>Slh.</w:t>
      </w:r>
      <w:r>
        <w:t xml:space="preserve"> Quelle est pour vous la spécificité, l’intérêt d’</w:t>
      </w:r>
      <w:r>
        <w:rPr>
          <w:i/>
        </w:rPr>
        <w:t xml:space="preserve">Iphigénie </w:t>
      </w:r>
      <w:r>
        <w:t>dans l’œuvre de Racine ? Quel était pour vous le sens de ce choix dans votre carrière de metteur en scène ?</w:t>
      </w:r>
    </w:p>
    <w:p>
      <w:pPr>
        <w:ind w:firstLine="283"/>
      </w:pPr>
      <w:r>
        <w:rPr>
          <w:smallCaps/>
        </w:rPr>
        <w:t xml:space="preserve">Stéphane Braunschweig. </w:t>
      </w:r>
      <w:r>
        <w:t xml:space="preserve">Quand je monte une pièce, c’est en général lié à un contexte et au désir de faire résonner la pièce dans notre réalité. Mon désir de monter </w:t>
      </w:r>
      <w:r>
        <w:rPr>
          <w:i/>
        </w:rPr>
        <w:t>Iphigénie</w:t>
      </w:r>
      <w:r>
        <w:t xml:space="preserve"> remonte à 1994, c’est la première pièce de Racine à laquelle j’ai pensé, mais à l’époque je n’avais pas trouvé l’accroche avec notre réalité.</w:t>
      </w:r>
      <w:r>
        <w:t xml:space="preserve"> J’adore Racine, c’est pour moi un auteur extraordinaire, mais j’ai mis très longtemps avant de passer à l’acte. Je l’ai d’abord beaucoup travaillé avec des élèves, avec des jeunes gens. Je me suis exercé sur les vers avant de le mettre réellement en scène.</w:t>
      </w:r>
    </w:p>
    <w:p>
      <w:pPr>
        <w:ind w:firstLine="283"/>
      </w:pPr>
      <w:r>
        <w:t xml:space="preserve">J’ai commencé par </w:t>
      </w:r>
      <w:r>
        <w:rPr>
          <w:i/>
        </w:rPr>
        <w:t>Britannicus</w:t>
      </w:r>
      <w:r>
        <w:t xml:space="preserve"> qui est une pièce qui articule très bien le politique et le psychologique, mais qui est en fait peut-être plus psychologique que politique. En revanche, des trois tragédies de Racine que j’ai montées, </w:t>
      </w:r>
      <w:r>
        <w:rPr>
          <w:i/>
        </w:rPr>
        <w:t xml:space="preserve">Iphigénie </w:t>
      </w:r>
      <w:r>
        <w:t xml:space="preserve">est certainement la pièce la plus politique. Bien sûr on y trouve le côté personnel, affectif et psychologique, mais je pense que la problématique est avant tout politique, en ce qu’elle met en tension le pouvoir religieux et le pouvoir d’État. Quant à la troisième pièce, </w:t>
      </w:r>
      <w:r>
        <w:rPr>
          <w:i/>
        </w:rPr>
        <w:t>Andromaque</w:t>
      </w:r>
      <w:r>
        <w:t xml:space="preserve">, montée plus récemment, dans le contexte de la guerre en Ukraine, elle parle des traumatismes de la guerre. En fait c’est une manière de faire suite à </w:t>
      </w:r>
      <w:r>
        <w:rPr>
          <w:i/>
        </w:rPr>
        <w:t xml:space="preserve">Iphigénie </w:t>
      </w:r>
      <w:r>
        <w:t xml:space="preserve">: </w:t>
      </w:r>
      <w:r>
        <w:rPr>
          <w:i/>
        </w:rPr>
        <w:t>Iphigénie</w:t>
      </w:r>
      <w:r>
        <w:t xml:space="preserve"> est l’avant-scène de la guerre de Troie et </w:t>
      </w:r>
      <w:r>
        <w:rPr>
          <w:i/>
        </w:rPr>
        <w:t>Andromaque</w:t>
      </w:r>
      <w:r>
        <w:t xml:space="preserve"> en est l’arrière-scène.</w:t>
      </w:r>
    </w:p>
    <w:p>
      <w:pPr>
        <w:ind w:firstLine="283"/>
      </w:pPr>
      <w:r>
        <w:rPr>
          <w:smallCaps/>
        </w:rPr>
        <w:t xml:space="preserve">Slh. </w:t>
      </w:r>
      <w:r>
        <w:t xml:space="preserve">Je voudrais justement montrer quelques photos de votre mise en scène : votre parti pris semble celui d’un décor extrêmement épuré, où l’on ne voit pas la guerre, même si elle est seulement à venir. Et les costumes sont des habits contemporains de bureau. </w:t>
      </w:r>
    </w:p>
    <w:p>
      <w:pPr>
        <w:ind w:firstLine="283"/>
      </w:pPr>
      <w:r>
        <w:t>@ Photo Simon Gosselin</w:t>
      </w:r>
      <w:r>
        <w:t xml:space="preserve"> </w:t>
      </w:r>
    </w:p>
    <w:p>
      <w:pPr>
        <w:ind w:firstLine="283"/>
      </w:pPr>
      <w:r>
        <w:rPr>
          <w:smallCaps/>
        </w:rPr>
        <w:t xml:space="preserve">Stéphane Braunschweig. </w:t>
      </w:r>
      <w:r>
        <w:t xml:space="preserve"> Je veux d’abord rappeler que ce spectacle a été conçu dans le contexte de la crise du COVID et créé en septembre 2020. J’avais prévu de faire un autre spectacle et pendant le confinement on s’est demandé comment on allait reprendre l’activité dans les théâtres. J’ai alors repensé à </w:t>
      </w:r>
      <w:r>
        <w:rPr>
          <w:i/>
        </w:rPr>
        <w:t>Iphigénie</w:t>
      </w:r>
      <w:r>
        <w:t xml:space="preserve">, une pièce que je couvais depuis pas mal de temps, et qui entrait brutalement en résonance avec le COVID. </w:t>
      </w:r>
      <w:r>
        <w:rPr>
          <w:i/>
        </w:rPr>
        <w:t>Iphigénie</w:t>
      </w:r>
      <w:r>
        <w:t xml:space="preserve"> parle d’un monde à l’arrêt : les vents sont à l’arrêt, l’économie est à l’arrêt, tout est à l’arrêt, et c’est un peu ce qu’on a vécu pendant ce premier confinement. </w:t>
      </w:r>
    </w:p>
    <w:p>
      <w:pPr>
        <w:ind w:firstLine="283"/>
      </w:pPr>
      <w:r>
        <w:tab/>
      </w:r>
      <w:r>
        <w:t>Le dispositif scénographique a été en partie imposé par les contraintes sanitaires. Il fallait maintenir une distanciation entre les spectateurs et limiter les interactions entre les acteurs. Les fauteuils des spectateurs étaient espacés d’1m50, la scène constituée d’un grand couloir permettait de tenir les acteurs à distance les uns des autres, et la disposition du public en bi-frontal (150 spectateurs de part et d’autre de la scène) permettait à la fois de créer une forme d’intimité, de faire face à un public constitué de visages cachés par des masques bleus (rappelant la situation réelle concrète dans laquelle nous étions), et de provoquer chez le public la sensation de faire partie de ce monde à l’arrêt (métaphorique) que les protagonistes d’</w:t>
      </w:r>
      <w:r>
        <w:rPr>
          <w:i/>
        </w:rPr>
        <w:t>Iphigénie</w:t>
      </w:r>
      <w:r>
        <w:t xml:space="preserve"> essaient de remettre en mouvement. Le dispositif sonore, avec l’utilisation de micros HF, permettait aux acteurs de parler bas tout en se tenant loin les uns des autres, d’être entendus tout en tournant le dos à une partie du public, et cela contribuait à accentuer paradoxalement l’intimité alors que nous devions nous plier aux exigences de distanciation sanitaire.</w:t>
      </w:r>
    </w:p>
    <w:p>
      <w:pPr>
        <w:ind w:firstLine="283"/>
      </w:pPr>
      <w:r>
        <w:t>Quand on regarde la vidéo du spectacle aujourd’hui – je l’ai regardée il y a deux jours, je la trouve très belle, très bien réalisée et les acteurs sont superbes, mais on manque évidemment de contexte et cela pose quelques problèmes en la regardant : la captation a été réalisée pendant le second confinement, donc sans public, et donc comme si on était dans un dispositif frontal. On perd une part importante de la perception du public qui était induite par le bi-frontal, et plus rien ne dit que le spectacle a été créé pendant le COVID, puisque c’étaient les spectateurs eux-mêmes (masqués et distants) qui le signifiaient les uns aux autres, tandis que sur scène on avait évité tout signe rappelant le COVID.</w:t>
      </w:r>
    </w:p>
    <w:p>
      <w:pPr>
        <w:ind w:firstLine="283"/>
      </w:pPr>
      <w:r>
        <w:t xml:space="preserve">Or le théâtre, c’est cela :  lorsqu’on rentre dans la salle, on est chargé d’une forme de réalité. Les gens qui venaient assister à </w:t>
      </w:r>
      <w:r>
        <w:rPr>
          <w:i/>
        </w:rPr>
        <w:t>Iphigénie</w:t>
      </w:r>
      <w:r>
        <w:t xml:space="preserve"> étaient « chargés » du COVID, ils avaient entendu parler pendant des semaines et des mois du monde à l’arrêt, du confinement, du fait qu’il ne fallait pas sacrifier une part de l’économie ou qu’il fallait sacrifier une part des malades parce qu’il n’y </w:t>
      </w:r>
      <w:r>
        <w:t>avait pas assez de places dans les hôpitaux. Toutes ces questions de sacrifice avaient été activement débattues pendant des mois. L’histoire elle-même d’</w:t>
      </w:r>
      <w:r>
        <w:rPr>
          <w:i/>
        </w:rPr>
        <w:t>Iphigénie</w:t>
      </w:r>
      <w:r>
        <w:t xml:space="preserve"> prenait sens directement par rapport au tour pris par la réalité. C’est pourquoi je n’avais pas besoin de mettre beaucoup plus de signes sur le plateau pour faire résonner </w:t>
      </w:r>
      <w:r>
        <w:rPr>
          <w:i/>
        </w:rPr>
        <w:t>Iphigénie</w:t>
      </w:r>
      <w:r>
        <w:t xml:space="preserve"> avec le contexte. Aujourd’hui, quand on regarde le spectacle en captation, cette dimension singulière, il faut se l’imaginer. Ou le regarder en faisant abstraction du contexte : on peut malgré tout entendre les enjeux politiques, religieux et psychologiques de la pièce de Racine, mais sans les enjeux de contexte et les projections qu’on pouvait faire sur le moment, qui nous donnaient pourtant une sorte de clé d’accès concrète au texte et aux situations, comme le contexte des guerres de conquête du règne de Louis XIV pouvait le faire à l’époque de Racine.</w:t>
      </w:r>
    </w:p>
    <w:p>
      <w:pPr>
        <w:ind w:firstLine="283"/>
      </w:pPr>
      <w:r>
        <w:t>Encore une fois, le dispositif invitait les gens, même s’il n’y en avait pas de signe concret sur scène, à associer ce qu’on vivait alors avec la pièce, notamment avec cette mer d’huile qui était projetée sur des écrans derrière chaque gradin : le public était situé, de part et d’autre, entre le couloir de la scène et l’écran, il était lui-même coincé au bord de cette berge entre la mer et la scène. Grâce au bi-frontal, il voyait l’autre partie du public coincé aussi. Il avait ainsi l’impression d’être pris dans un étau entre cette mer, qui était une sorte d’image du monde à l’arrêt, et les enjeux politiques qui occupaient l’espace de la scène.</w:t>
      </w:r>
    </w:p>
    <w:p>
      <w:pPr>
        <w:ind w:firstLine="283"/>
      </w:pPr>
      <w:r>
        <w:t xml:space="preserve">Je reviens sur la question des costumes que vous avez posée : les costumes effectivement sont des costumes contemporains, comme je l’avais fait aussi dans </w:t>
      </w:r>
      <w:r>
        <w:rPr>
          <w:i/>
        </w:rPr>
        <w:t>Britannicus</w:t>
      </w:r>
      <w:r>
        <w:t xml:space="preserve"> (ou dans </w:t>
      </w:r>
      <w:r>
        <w:rPr>
          <w:i/>
        </w:rPr>
        <w:t>Andromaque</w:t>
      </w:r>
      <w:r>
        <w:t xml:space="preserve"> depuis), ou dans les pièces de Molière que j’ai montées. Pour moi, ce type de costume est nécessaire pour pouvoir aujourd’hui écouter ces pièces-là en se sentant concernés et pour pouvoir s’identifier.  Les costumes contemporains aident à mieux comprendre les vers, et ils aident les acteurs à mieux incarner les personnages.</w:t>
      </w:r>
    </w:p>
    <w:p>
      <w:pPr>
        <w:ind w:firstLine="283"/>
      </w:pPr>
      <w:r>
        <w:t xml:space="preserve">Cela m’est arrivé de voir un </w:t>
      </w:r>
      <w:r>
        <w:rPr>
          <w:i/>
        </w:rPr>
        <w:t>Britannicus</w:t>
      </w:r>
      <w:r>
        <w:t xml:space="preserve"> ou une </w:t>
      </w:r>
      <w:r>
        <w:rPr>
          <w:i/>
        </w:rPr>
        <w:t>Iphigénie</w:t>
      </w:r>
      <w:r>
        <w:t xml:space="preserve"> en costumes antiques : outre le fait qu’ils donnent la sensation d’une histoire très ancienne, ces costumes imposent une noblesse des corps et des attitudes. En toge on est obligé de se tenir très droit, parce que sinon le tissu retombe de tous les côtés. Or le théâtre de Racine parle de gloire, d’orgueil, d’amour propre, etc. mais il ne parle pas de noblesse, ce ne sont pas des personnages nobles. Un costume noble invite pratiquement à un contresens sur la pièce, tandis que les costumes contemporains donnent accès à la réalité de ce qui y est raconté.</w:t>
      </w:r>
    </w:p>
    <w:p>
      <w:pPr>
        <w:ind w:firstLine="283"/>
      </w:pPr>
      <w:r>
        <w:t>Dernier point sur le décor : c’est vrai que je n’ai pas voulu représenter le camp militaire grec. On est bien sûr en Aulide, c’est-à-dire qu’on est bien devant le camp grec, mais je ne voulais pas donner de signes militaires, parce qu’aujourd’hui, tout ce qui est militaire se déroule plutôt dans un espace politique. C’est vrai que les chefs de l’armée grecque, ce sont des chefs de guerre à l’époque, mais aujourd’hui les chefs de guerre, c’est Poutine, ce sont des gens qui sont en costume civil. Je voulais qu’on se situe au niveau politique plutôt qu’au niveau guerrier, et d’autant plus que la guerre n’est pas commencée puisque l’armée est bloquée au port. Je pense que si on avait introduit trop d’éléments guerriers, on aurait perdu la dimension politique de la pièce.</w:t>
      </w:r>
    </w:p>
    <w:p>
      <w:pPr>
        <w:ind w:firstLine="283"/>
      </w:pPr>
      <w:r>
        <w:rPr>
          <w:smallCaps/>
        </w:rPr>
        <w:t>Slh. V</w:t>
      </w:r>
      <w:r>
        <w:t>ous dites que les personnages de Racine ne sont pas nobles. Cela se voit justement dans le corps de vos comédiens, qui sont effectivement très souples, je dirais sans raideur, parfois presque décontractés. La difficulté est qu’il y a quand même l’enjeu de la gloire, du nom qu’on laisse et de l’héroïsme, non ?</w:t>
      </w:r>
    </w:p>
    <w:p>
      <w:pPr>
        <w:ind w:firstLine="283"/>
      </w:pPr>
      <w:r>
        <w:rPr>
          <w:smallCaps/>
        </w:rPr>
        <w:t xml:space="preserve">Stéphane Braunschweig. </w:t>
      </w:r>
      <w:r>
        <w:t xml:space="preserve">Oui, bien sûr, mais la gloire n’est pas la noblesse : la gloire, c’est aussi des personnages qui sont pris dans une forme de mégalomanie, et de contradiction </w:t>
      </w:r>
      <w:r>
        <w:t>entre leur mégalomanie et la réalité qu’ils rencontrent. Je pense que cela se traduit concrètement dans le jeu, chez des personnages comme Iphigénie ou Clytemnestre, c’est quelque chose de sensible dans le jeu.</w:t>
      </w:r>
    </w:p>
    <w:p>
      <w:pPr>
        <w:ind w:firstLine="283"/>
      </w:pPr>
      <w:r>
        <w:rPr>
          <w:smallCaps/>
        </w:rPr>
        <w:t>Slh. V</w:t>
      </w:r>
      <w:r>
        <w:t>ous rappeliez que les contraintes liées au COVID vous ont obligé à changer la proxémie, les distances entre vos acteurs. Il y a quelques embrassades quand même, quelques attouchements,  qui sont très significatifs...</w:t>
      </w:r>
    </w:p>
    <w:p>
      <w:pPr>
        <w:ind w:firstLine="283"/>
      </w:pPr>
      <w:r>
        <w:rPr>
          <w:smallCaps/>
        </w:rPr>
        <w:t xml:space="preserve">Stéphane Braunschweig. </w:t>
      </w:r>
      <w:r>
        <w:t xml:space="preserve">Le fait de jouer en bifrontal oblige à jouer principalement de profil. Jouer de profil permet d’envoyer moins de postillons vers le public. C’est vrai que je pensais au départ éviter toute étreinte ou des choses de ce genre. J’ai un peu craqué pendant les répétitions, je n’ai pas tout à fait tenu le projet de départ. Les acteurs sont en général assez éloignés les uns des autres, mais il y a quelques moments importants avec des étreintes. Ces deux ou trois étreintes sont d’autant plus fortes qu’elles sont rares : elle apparaissaient d’autant plus nécessaires qu’on avait essayé de les éviter, et surgissaient pour le public comme des moments de transgression. </w:t>
      </w:r>
    </w:p>
    <w:p>
      <w:pPr>
        <w:ind w:firstLine="283"/>
      </w:pPr>
      <w:r>
        <w:t>Mais même en dehors de ce contexte, quand je monte du Racine, je ne cherche pas forcément beaucoup de contacts physiques. Je trouve intéressant que ce soient des corps qui se protègent du contact. Je pense aussi que l’invitation au jeu racinien – si on veut parler aussi un peu des vers – demande une certaine retenue, une certaine contention.</w:t>
      </w:r>
    </w:p>
    <w:p>
      <w:pPr>
        <w:ind w:firstLine="283"/>
      </w:pPr>
      <w:r>
        <w:t xml:space="preserve">L’alexandrin racinien est un vers de contention. Ce n’est pas explosif. Bien sûr, on peut par moment éclater, mais la plupart du temps c’est une langue de contention. L’alexandrin crée une forme qui retient et qui doit vous obliger comme acteur à retenir vos émotions. En général, si on joue l’alexandrin racinien de manière très explosive, on ne va rien comprendre, mais vraiment </w:t>
      </w:r>
      <w:r>
        <w:rPr>
          <w:i/>
        </w:rPr>
        <w:t>rien</w:t>
      </w:r>
      <w:r>
        <w:t xml:space="preserve"> comprendre à ce qui est dit. On va donner une énergie, une émotion, mais on ne va plus comprendre ce qui est dit. On peut donc le faire par moment sous forme d’éclat, mais j’essaie de limiter ces éclats au strict nécessaire. Cette contention de la langue implique aussi une retenue au niveau gestuel. </w:t>
      </w:r>
      <w:r>
        <w:rPr>
          <w:smallCaps/>
        </w:rPr>
        <w:t>O</w:t>
      </w:r>
      <w:r>
        <w:t xml:space="preserve">n le voit, je pense, très bien dans la captation en tout cas. </w:t>
      </w:r>
    </w:p>
    <w:p>
      <w:pPr>
        <w:ind w:firstLine="283"/>
      </w:pPr>
      <w:r>
        <w:rPr>
          <w:smallCaps/>
        </w:rPr>
        <w:t xml:space="preserve">Slh. </w:t>
      </w:r>
      <w:r>
        <w:t>De même, dans les transgressions, il y a seulement deux passages au sol. Clytemnestre s’agenouille et s’humilie</w:t>
      </w:r>
      <w:r>
        <w:rPr>
          <w:rStyle w:val="Appelnotedebasdep"/>
        </w:rPr>
        <w:footnoteReference w:id="585"/>
      </w:r>
      <w:r>
        <w:t>. Iphigénie passe à terre quand ses parents se disputent</w:t>
      </w:r>
      <w:r>
        <w:rPr>
          <w:rStyle w:val="Appelnotedebasdep"/>
        </w:rPr>
        <w:footnoteReference w:id="586"/>
      </w:r>
      <w:r>
        <w:t xml:space="preserve">. Ces moments sont très marqués et marquants. On pourrait parfois dire que dans la tragédie, on peut finir par se rouler au sol... Mais comme vous l’avez dit, cela ne marcherait pas avec Racine. Comment aviez-vous pensé à ces moments particuliers de passage au sol ? </w:t>
      </w:r>
    </w:p>
    <w:p>
      <w:pPr>
        <w:ind w:firstLine="283"/>
      </w:pPr>
      <w:r>
        <w:rPr>
          <w:smallCaps/>
        </w:rPr>
        <w:t xml:space="preserve">Stéphane Braunschweig. </w:t>
      </w:r>
      <w:r>
        <w:t>Ils sont venus pendant les répétitions, je ne les avais pas prévus. J’ai même essayé jouer la scène sans mettre Clytemnestre à genoux, mais cela manquait quand même. Non seulement elle le dit, mais le moment où elle s’humilie devant Achille est d’autant plus important qu’elle a commencé le spectacle en disant « sauvons notre gloire » et « fuyons ce sale type ». Donc, c’était quand même essentiel de voir et de matérialiser le renversement !</w:t>
      </w:r>
    </w:p>
    <w:p>
      <w:pPr>
        <w:ind w:firstLine="283"/>
      </w:pPr>
      <w:r>
        <w:t>Comme je le disais, on est dans la retenue, donc on ne va pas se rouler par terre. Si vous regardez la captation d’</w:t>
      </w:r>
      <w:r>
        <w:rPr>
          <w:i/>
        </w:rPr>
        <w:t>Andromaque</w:t>
      </w:r>
      <w:r>
        <w:t xml:space="preserve">, il y a seulement quatre moments où les personnages tombent par terre à genoux, une fois pour chaque personnage du quatuor central. Comme dans </w:t>
      </w:r>
      <w:r>
        <w:rPr>
          <w:i/>
        </w:rPr>
        <w:t>Andromaque</w:t>
      </w:r>
      <w:r>
        <w:t xml:space="preserve"> le décor est une flaque de sang, tomber au sol signifie aussi se souiller, ne pas se relever indemne. Cela rend ces quelques moments extrêmement forts et significatifs.</w:t>
      </w:r>
    </w:p>
    <w:p>
      <w:pPr>
        <w:ind w:firstLine="283"/>
      </w:pPr>
      <w:r>
        <w:rPr>
          <w:smallCaps/>
        </w:rPr>
        <w:t>Slh.</w:t>
      </w:r>
      <w:r>
        <w:t xml:space="preserve"> Dans </w:t>
      </w:r>
      <w:r>
        <w:rPr>
          <w:i/>
        </w:rPr>
        <w:t>Iphigénie</w:t>
      </w:r>
      <w:r>
        <w:t xml:space="preserve">, il y a une fontaine à eau sur le plateau qui induit des gestes qui peuvent paraître un peu triviaux. Est-ce que l’acteur pouvait boire quand il le souhaitait ? Est-ce une sorte de représentation de l’acteur en </w:t>
      </w:r>
      <w:r>
        <w:rPr>
          <w:i/>
        </w:rPr>
        <w:t>ring</w:t>
      </w:r>
      <w:r>
        <w:t xml:space="preserve"> qui a besoin de boire ? Ou est-ce que tout était minuté ? Et comment l’acteur gérait-il ce geste, disons, trivial ?</w:t>
      </w:r>
    </w:p>
    <w:p>
      <w:pPr>
        <w:ind w:firstLine="283"/>
      </w:pPr>
      <w:r>
        <w:rPr>
          <w:smallCaps/>
        </w:rPr>
        <w:t>Stéphane Braunschweig : E</w:t>
      </w:r>
      <w:r>
        <w:t>n fait, c’était une fontaine à eau qui traînait dans les couloirs du théâtre, et que j’ai mise sur le plateau. Je me suis dit que ça évoquait les bureaux, les salles de réunion. C’est quelque chose de très concret, de très contextuel. Je crois qu’il y a trois moments dans le spectacle où ils vont boire. Ces moments étaient fixés. Ce ne sont pas les acteurs qui vont boire quand ils ont envie. Ça concerne deux fois Agamemnon</w:t>
      </w:r>
      <w:r>
        <w:rPr>
          <w:rStyle w:val="Appelnotedebasdep"/>
        </w:rPr>
        <w:footnoteReference w:id="587"/>
      </w:r>
      <w:r>
        <w:t xml:space="preserve"> et une fois Iphigénie</w:t>
      </w:r>
      <w:r>
        <w:rPr>
          <w:rStyle w:val="Appelnotedebasdep"/>
        </w:rPr>
        <w:footnoteReference w:id="588"/>
      </w:r>
      <w:r>
        <w:t>.</w:t>
      </w:r>
    </w:p>
    <w:p>
      <w:pPr>
        <w:ind w:firstLine="283"/>
      </w:pPr>
      <w:r>
        <w:t>Quant à savoir si c’est trivial… Mais Racine, c’est trivial, en fait... Cela parle de choses tout à fait triviales. Donc, cela ne me choque pas. Évidemment on est loin de l’image qu’on peut se faire d’une représentation abstraite ou noble...</w:t>
      </w:r>
    </w:p>
    <w:p>
      <w:pPr>
        <w:ind w:firstLine="283"/>
      </w:pPr>
      <w:r>
        <w:rPr>
          <w:smallCaps/>
        </w:rPr>
        <w:t xml:space="preserve">Slh. </w:t>
      </w:r>
      <w:r>
        <w:t xml:space="preserve">Mais ce n’est pas forcément facile à gérer pour l’acteur, de gérer la temporalité d’un geste pareil au moment où, par exemple, Iphigénie vient d’apprendre qu’elle va être sacrifiée. Cela lui demande un sens du timing très particulier… Il y a eu des jours où cela faisait peut-être rire, non ? </w:t>
      </w:r>
    </w:p>
    <w:p>
      <w:pPr>
        <w:ind w:firstLine="283"/>
      </w:pPr>
      <w:r>
        <w:rPr>
          <w:smallCaps/>
        </w:rPr>
        <w:t xml:space="preserve">Stéphane Braunschweig. </w:t>
      </w:r>
      <w:r>
        <w:t>Non, cela ne faisait pas rire parce qu’en fait, c’est un moment tellement choquant... En fait la question était d’habiter le silence : juste après, Achille parle et dit « je me tais et demeure immobile »</w:t>
      </w:r>
      <w:r>
        <w:rPr>
          <w:rStyle w:val="Appelnotedebasdep"/>
        </w:rPr>
        <w:footnoteReference w:id="589"/>
      </w:r>
      <w:r>
        <w:t>. Or il fallait habiter le silence d’Achille. Habiter le temps qu’Achille met à répondre à la sidération de la situation. Et je trouvais que c’était un peu décalé et intéressant qu’Iphigénie aille boire un peu d’eau... Évidemment ce n’est pas forcément ce qu’on attend, mais c’est surprenant et ça fait exister le silence d’Achille. Et ce qu’on ne voit pas tout à fait peut-être dans la captation –  et c’est pour cela que cela ne faisait pas rire, je pense – c’est qu’on voit Achille regarder Iphigénie en train d’aller boire. On voyait Iphigénie à travers le regard d’Achille. C’est le regard d’Achille qui faisait exister ce geste et lui donnait sens.</w:t>
      </w:r>
    </w:p>
    <w:p>
      <w:pPr>
        <w:ind w:firstLine="283"/>
      </w:pPr>
      <w:r>
        <w:rPr>
          <w:smallCaps/>
        </w:rPr>
        <w:t>Slh. O</w:t>
      </w:r>
      <w:r>
        <w:t xml:space="preserve">n va passer des corps à la voix. Quelles sont vos directions sur le vers racinien ? </w:t>
      </w:r>
    </w:p>
    <w:p>
      <w:pPr>
        <w:ind w:firstLine="283"/>
      </w:pPr>
      <w:r>
        <w:rPr>
          <w:smallCaps/>
        </w:rPr>
        <w:t xml:space="preserve">Stéphane Braunschweig. </w:t>
      </w:r>
      <w:r>
        <w:t xml:space="preserve">Alors là, tout le monde a ses petites théories. Moi, j’ai </w:t>
      </w:r>
      <w:r>
        <w:t>une</w:t>
      </w:r>
      <w:r>
        <w:t xml:space="preserve"> théorie assez simple ; ce n’est pas une théorie d’ailleurs, c’est plutôt une pratique et une exigence. Je pense que c’est très important qu’on entende qu’il s’agit de vers. Donc, il ne faut pas transformer cela en prose. Pour ne pas transformer en prose le vers, il faut faire le moins d’enjambements possible, donner à entendre l’unité du vers. L’unité du vers permet d’entendre les rimes et les douze pieds. Mais à cela s’ajoute le fait qu’il faut que ce soit concret. Donc pour moi, dès que ça chante, ça ne va pas. Cela ne doit pas être un chant, mais une parole concrète. La langue de Racine est en fait hyper concrète, par moments très claire, par moments plus difficile à </w:t>
      </w:r>
      <w:r>
        <w:t>cause de structures d’inversion, liées aussi bien à la logique du vers qu’à des formes anciennes. Mais globalement, si on écoute bien, ce n’est pas très difficile à comprendre. Le vers de Corneille est mille fois plus difficile, beaucoup plus tortueux, beaucoup plus compliqué. Quand je lis du Corneille, je m’y reprends à dix fois pour comprendre. Ce n’est pas du tout le cas de Racine. La langue est beaucoup plus transparente et beaucoup plus concrète. Néanmoins, quand on a des acteurs qui déclament ou des metteurs en scène qui dirigent Racine d’une manière un peu formelle, c’est-à-dire avec césure systématique aux hémistiches, toujours les mêmes accents, etc., non seulement cela provoque une monotonie, mais en plus on ne comprend plus rien.</w:t>
      </w:r>
    </w:p>
    <w:p>
      <w:pPr>
        <w:ind w:firstLine="283"/>
      </w:pPr>
      <w:r>
        <w:t>La difficulté, c’est de s’empêcher de suivre les accents induits par la logique formelle du vers. Le français est une langue non-tonique, il faut toujours se souvenir de cela. Il faut donc placer les accents (si possible un seul par vers) en fonction du sens, et parfois c’est sur le premier pied, parfois c’est sur le troisième, parfois sur le dernier, etc. Avec de très légères césures, ou certains mots plus appuyés que d’autres, on peut vraiment faire surgir le concret du sens.</w:t>
      </w:r>
    </w:p>
    <w:p>
      <w:pPr>
        <w:ind w:firstLine="283"/>
      </w:pPr>
      <w:r>
        <w:t>Donc, je dirais respect du vers, mais recherche systématique du concret.</w:t>
      </w:r>
    </w:p>
    <w:p>
      <w:pPr>
        <w:ind w:firstLine="283"/>
      </w:pPr>
      <w:r>
        <w:rPr>
          <w:smallCaps/>
        </w:rPr>
        <w:t>Slh.</w:t>
      </w:r>
      <w:r>
        <w:t xml:space="preserve"> On va passer à votre vision des personnages dans </w:t>
      </w:r>
      <w:r>
        <w:rPr>
          <w:i/>
        </w:rPr>
        <w:t>Iphigénie</w:t>
      </w:r>
      <w:r>
        <w:t>. Nous avons eu divers débats lors de ces journées. Par exemple, premier débat : Ulysse. Quel jeu joue-t-il ? Comment l’avez-vous interprété ?</w:t>
      </w:r>
    </w:p>
    <w:p>
      <w:pPr>
        <w:ind w:firstLine="283"/>
      </w:pPr>
      <w:r>
        <w:rPr>
          <w:smallCaps/>
        </w:rPr>
        <w:t xml:space="preserve">Stéphane Braunschweig. </w:t>
      </w:r>
      <w:r>
        <w:t>Ulysse est le personnage le plus cynique, du point de vue de l’histoire, c’est-à-dire qu’il ne se pose pas trop de questions, évite la contradiction, et qu’il fait passer la raison d’État avant toute autre considération. Il est la conscience politique d’Agamemnon. Ulysse n’a aucun doute sur le fait qu’il faille sacrifier Iphigénie, au premier acte il pousse Agammemnon au sacrifice de sa fille. J’aime beaucoup le moment où Agamemnon tente de l’attendrir en lui disant : «</w:t>
      </w:r>
      <w:r>
        <w:t xml:space="preserve"> </w:t>
      </w:r>
      <w:r>
        <w:t xml:space="preserve">si vous deviez sacrifier votre fils Télémaque, ça ne serait pas exactement la même chose », puisqu’Ulysse aussi est un père et qu’il pourrait être confronté au même genre de situation. Ulysse est mal à l’aise, mais il reste inflexible. Puis il ne réapparaît que dans la dernière scène pour raconter le « miracle ». C’est une scène extraordinaire, on découvre un autre Ulysse, sidéré par ce qu’il a vu, un personnage qui s’est trompé, qui comprend qu’il s’est trompé. </w:t>
      </w:r>
    </w:p>
    <w:p>
      <w:pPr>
        <w:ind w:firstLine="283"/>
      </w:pPr>
      <w:r>
        <w:rPr>
          <w:smallCaps/>
        </w:rPr>
        <w:t>Slh.</w:t>
      </w:r>
      <w:r>
        <w:t xml:space="preserve"> On s’est beaucoup posé de questions sur Calchas. Quelle autorité donnez-vous aux dieux et à Calchas ? Vous êtes-vous posé la question, notamment par rapport à la bande sonore à la fin, la bande sonore de l’orage et des vents qui arrivent ? Comment percevez-vous la place du divin et du prêtre dans la pièce ?</w:t>
      </w:r>
    </w:p>
    <w:p>
      <w:pPr>
        <w:ind w:firstLine="283"/>
      </w:pPr>
      <w:r>
        <w:rPr>
          <w:smallCaps/>
        </w:rPr>
        <w:t xml:space="preserve">Stéphane Braunschweig. </w:t>
      </w:r>
      <w:r>
        <w:t xml:space="preserve">Je pense qu’il est toujours utile de regarder les choses sur deux plans en même temps. On peut les regarder du point de vue de la fable proprement dite : les dieux punissent les Grecs de vouloir partir à la guerre sans sacrifice, ils suppriment les vents, puis un sacrifice est accompli et les vents reviennent. </w:t>
      </w:r>
    </w:p>
    <w:p>
      <w:pPr>
        <w:ind w:firstLine="283"/>
      </w:pPr>
      <w:r>
        <w:t>Mais on peut aussi prendre ça comme une métaphore, c’est ce que j’ai fait en reliant la pièce avec la situation de COVID : on peut voir que le monde est à l’arrêt, mais qu’il peut se remettre en route moyennant certains sacrifices. Ainsi on peut lire la pièce hors de la question des dieux.</w:t>
      </w:r>
    </w:p>
    <w:p>
      <w:pPr>
        <w:ind w:firstLine="283"/>
      </w:pPr>
      <w:r>
        <w:t>Par ailleurs, je pense, comme je l’ai dit tout à l’heure, que l’articulation entre le pouvoir religieux et le pouvoir politique, le pouvoir temporel, est extrêmement importante dans cette pièce, comme je pense qu’elle l’était à l’époque de Louis XIV. Au XVII</w:t>
      </w:r>
      <w:r>
        <w:rPr>
          <w:vertAlign w:val="superscript"/>
        </w:rPr>
        <w:t>e</w:t>
      </w:r>
      <w:r>
        <w:t xml:space="preserve">, le roi est un roi de droit </w:t>
      </w:r>
      <w:r>
        <w:t xml:space="preserve">divin, il tient son pouvoir de Dieu. Et le peuple, finalement, accepte ce pouvoir, ce pouvoir temporel </w:t>
      </w:r>
      <w:r>
        <w:rPr>
          <w:i/>
        </w:rPr>
        <w:t>parce qu’</w:t>
      </w:r>
      <w:r>
        <w:t>il est issu du pouvoir divin. Puisque le pouvoir est légitimé par les dieux, un roi qui, comme Agamemnon, s’oppose au pouvoir religieux, risque de perdre son autorité et sa légitimité vis-à-vis du peuple, et c’est l’argument principal d’Ulysse dans la première scène.</w:t>
      </w:r>
    </w:p>
    <w:p>
      <w:pPr>
        <w:ind w:firstLine="283"/>
      </w:pPr>
      <w:r>
        <w:t>Et effectivement, quand Achille va s’opposer à Agamemnon au quatrième acte, il le fait en provoquant une sorte de révolution, d’insurrection populaire contre Agamemnon. La capacité à déclencher une insurrection est liée à la délégitimation du pouvoir politique par le pouvoir religieux. Je crois que cela est très important.</w:t>
      </w:r>
    </w:p>
    <w:p>
      <w:pPr>
        <w:ind w:firstLine="283"/>
      </w:pPr>
      <w:r>
        <w:t xml:space="preserve"> Que penser de la parole du devin Calchas ? Il y a d’abord le point de départ : pas de vent sans sacrifice, c’est une sorte d’équation, « si vous voulez la toute puissance, il faut quand même sacrifier quelque chose », ça, on peut le croire et le comprendre au moins de manière métaphorique.</w:t>
      </w:r>
    </w:p>
    <w:p>
      <w:pPr>
        <w:ind w:firstLine="283"/>
      </w:pPr>
      <w:r>
        <w:t>Puis, il y a ce que Calchas dit à la fin, et qui va nous être rapporté par les paroles d’Ulysse, à savoir que, en fait, il y a une autre Iphigénie : « vous pouvez en sacrifier une autre », c’est Ériphile. Et là, c’est un peu sous la contrainte que Calchas sort ce tour de passe-passe, qui est aussi un tour de passe-passe de Racine lui-même d’ailleurs. Au moment où Achille est entré dans le temple et menace de tout détruire, au moment d’une menace insurrectionnelle et révolutionnaire, Calchas recourt à ce tour de passe-passe qui va permettre de calmer tout le monde : c’est une reprise du pouvoir par Calchas (donc par le religieux).</w:t>
      </w:r>
    </w:p>
    <w:p>
      <w:pPr>
        <w:ind w:firstLine="283"/>
      </w:pPr>
      <w:r>
        <w:rPr>
          <w:smallCaps/>
        </w:rPr>
        <w:t>Slh. V</w:t>
      </w:r>
      <w:r>
        <w:t xml:space="preserve">ous avez successivement confié à la même comédienne Chloé Réjon les rôles  d’Ériphile et d’Hermione. Est-ce que vous voyez des relations entre ces deux femmes ? </w:t>
      </w:r>
    </w:p>
    <w:p>
      <w:pPr>
        <w:ind w:firstLine="283"/>
      </w:pPr>
      <w:r>
        <w:rPr>
          <w:smallCaps/>
        </w:rPr>
        <w:t xml:space="preserve">Stéphane Braunschweig. </w:t>
      </w:r>
      <w:r>
        <w:t>Ériphile, c’est surtout une anti-Andromaque : toutes les deux sont des captives, mais il y en a une qui tombe amoureuse de son bourreau et l’autre qui le rejette. Ériphile est le même type de personnage qu’Hermione, un personnage qui aime sans retour, et qui porte une énorme blessure. Ce n’est pas tout à fait le même type de blessure, mais elle fait basculer chacune dans la violence, la haine et la pulsion meurtrière. Comme type de personnage, Ériphile est plus proche d’Hermione, mais sa situation de captive la rapproche aussi d’Andromaque.</w:t>
      </w:r>
    </w:p>
    <w:p>
      <w:pPr>
        <w:ind w:firstLine="283"/>
      </w:pPr>
      <w:r>
        <w:rPr>
          <w:smallCaps/>
        </w:rPr>
        <w:t xml:space="preserve">Slh. </w:t>
      </w:r>
      <w:r>
        <w:t>Je voudrais poser une dernière question sur la gestion du rythme et votre fin. Comment menez-vous à ce tableau final ? Comment gérez-vous le rythme d’une telle pièce qui est relativement longue ? Pourquoi avoir choisi à la fin cette image finale sur l’écran, à savoir les mains d’Iphigénie en sang ?</w:t>
      </w:r>
    </w:p>
    <w:p>
      <w:pPr>
        <w:ind w:firstLine="283"/>
      </w:pPr>
      <w:r>
        <w:rPr>
          <w:smallCaps/>
        </w:rPr>
        <w:t xml:space="preserve">Stéphane Braunschweig. </w:t>
      </w:r>
      <w:r>
        <w:t>Je ne peux pas dire qu’on « gère » le rythme. On fait les scènes, on répète, on essaie de trouver le tempo organique pour que le sens passe. Est-ce que ça doit être court ? Est-ce que ça doit être long ? Je ne me pose pas vraiment ce genre de questions en amont.  Mais c’est vrai que si on joue trop lentement, on perd le concret. En fait, la pièce dure à peine deux heures. Je trouve que c’est bien, pour les pièces classiques, de les jouer sans entracte, sinon cela casse beaucoup l’organicité et la courbe de la représentation. Et j’avoue que je m’assure aussi que le timing ne varie que très peu d’une représentation à l’autre.</w:t>
      </w:r>
    </w:p>
    <w:p>
      <w:pPr>
        <w:ind w:firstLine="283"/>
      </w:pPr>
      <w:r>
        <w:t xml:space="preserve">Pour ce qui est de la fin, j’ai pris au pied de la lettre ce qui est dit dans le texte, quelque chose qui dit que « seule Iphigénie au milieu de tout cela pleure son ennemie », je ne sais plus quel est </w:t>
      </w:r>
      <w:r>
        <w:t>le vers exact</w:t>
      </w:r>
      <w:r>
        <w:rPr>
          <w:rStyle w:val="Appelnotedebasdep"/>
        </w:rPr>
        <w:footnoteReference w:id="590"/>
      </w:r>
      <w:r>
        <w:t>. On a l’impression que tout est arrangé : le pouvoir religieux a repris sa place, le pouvoir politique aussi, il n’y a plus de révolution. Et effectivement Racine nous dit qu’Iphigénie pleure son ennemie. Pour moi, c’est un détail très signifiant.</w:t>
      </w:r>
    </w:p>
    <w:p>
      <w:pPr>
        <w:ind w:firstLine="283"/>
      </w:pPr>
      <w:r>
        <w:t xml:space="preserve">Déjà, au niveau global, cela nous dit qu’il y a quand même une ombre dans ce </w:t>
      </w:r>
      <w:r>
        <w:rPr>
          <w:i/>
        </w:rPr>
        <w:t>happy end</w:t>
      </w:r>
      <w:r>
        <w:t xml:space="preserve"> final. Il y a un souci. Ce </w:t>
      </w:r>
      <w:r>
        <w:rPr>
          <w:i/>
        </w:rPr>
        <w:t>happy end</w:t>
      </w:r>
      <w:r>
        <w:t xml:space="preserve"> est aussi un tour de passe-passe.</w:t>
      </w:r>
    </w:p>
    <w:p>
      <w:pPr>
        <w:ind w:firstLine="283"/>
      </w:pPr>
      <w:r>
        <w:t>Deuxièmement, cela rappelle qu’Iphigénie aurait pu être, elle, la sacrifiée. C’est une seconde Iphigénie, un double d’elle, peut-être une part d’elle, qui succombe.</w:t>
      </w:r>
    </w:p>
    <w:p>
      <w:pPr>
        <w:ind w:firstLine="283"/>
      </w:pPr>
      <w:r>
        <w:t>Pour moi, si Iphigénie décide d’aller au sacrifice au cinquième acte, alors que son père a choisi de l’épargner, c’est parce qu’il a exigé d’elle qu’elle renonce à Achille. Vivre sans Achille lui apparaît comme un sacrifice encore plus grand que sa propre vie : surtout cette demande insupportable (et somme toute assez mesquine) signe une brutale désidéalisation du père, bassement pris dans une rivalité virile avec Achille.</w:t>
      </w:r>
    </w:p>
    <w:p>
      <w:pPr>
        <w:ind w:firstLine="283"/>
      </w:pPr>
      <w:r>
        <w:t>Elle se retrouve donc, à la fin, vivante, mais dans un monde désidéalisé. Et avec en plus, oui, du sang sur les mains, parce que c’est aussi à cause de sa propre volonté de sacrifice que finalement Ériphile meurt comme la seconde Iphigénie.</w:t>
      </w:r>
    </w:p>
    <w:p>
      <w:pPr>
        <w:ind w:firstLine="283"/>
      </w:pPr>
      <w:r>
        <w:t>Cette image d’Iphigénie avec les mains ensanglantées, comme si elle avait pris Ériphile dans ses bras sur l’autel du sacrifice, se donne comme une petite énigme qui vient à la fin pour interroger le public, pour que le public puisse s’interroger sur une scène qui est une invention incroyable de Racine.</w:t>
      </w:r>
    </w:p>
    <w:p>
      <w:pPr>
        <w:ind w:firstLine="283"/>
      </w:pPr>
      <w:r>
        <w:rPr>
          <w:smallCaps/>
        </w:rPr>
        <w:t xml:space="preserve">Slh. </w:t>
      </w:r>
      <w:r>
        <w:t xml:space="preserve">Malheureusement le temps file. Je vous remercie pour toutes vos réponses. On a quelques minutes, pour des questions dans la salle. </w:t>
      </w:r>
    </w:p>
    <w:p>
      <w:pPr>
        <w:ind w:firstLine="283"/>
      </w:pPr>
      <w:r>
        <w:rPr>
          <w:smallCaps/>
        </w:rPr>
        <w:t>Hubert Aupetit.</w:t>
      </w:r>
      <w:r>
        <w:t xml:space="preserve"> Merci beaucoup, Stéphane Braunschweig, pour ces propos extrêmement clairs et éclairants. Je me posais la question du personnage d’Ériphile. On a beaucoup discuté pendant ces deux jours de savoir s’il inspirait ou non la pitié. En regardant la captation de votre spectacle, j’ai l’impression que vous n’avez pas du tout cherché à ce qu’Ériphile inspire la pitié. Je me trompe, ou est-ce que c’était votre intention ou, en tout cas, vous êtes-vous posé la question ? </w:t>
      </w:r>
    </w:p>
    <w:p>
      <w:pPr>
        <w:ind w:firstLine="283"/>
      </w:pPr>
      <w:r>
        <w:rPr>
          <w:smallCaps/>
        </w:rPr>
        <w:t>Stéphane Braunschweig. J</w:t>
      </w:r>
      <w:r>
        <w:t>e ne me pose jamais la question en ces termes-là. Moi, j’essaie de raconter l’histoire de chaque personnage. Je pense qu’Ériphile est d’abord une victime. Elle représente l’étrangère dans cette pièce, même si, en réalité, ce n’est pas l’étrangère, puisqu’elle est la fille cachée de Thésée et d’Hélène. Mais elle est quand même victime, directement ou indirectement, des amours d’Hélène, de la guerre de Troie, etc. C’est la première victime de la pièce, donc on peut avoir, à son égard, un regard de compassion.</w:t>
      </w:r>
    </w:p>
    <w:p>
      <w:pPr>
        <w:ind w:firstLine="283"/>
      </w:pPr>
      <w:r>
        <w:t>Mais c’est aussi un personnage effrayant et paradoxal, comme souvent d’ailleurs, les personnages de Racine. Ils sont pratiquement tous très, très paradoxaux. Iphigénie elle-même est un personnage très paradoxal. Qu’Ériphile se révèle amoureuse de son bourreau (encore une fois à l’inverse d’Andromaque) est déjà quelque chose qui va très vite nous la mettre à distance. Et puis, plus elle avance dans son parcours de trahison, plus, évidemment, elle apparaît comme monstrueuse. Mais je pense qu’il ne faut juste pas oublier le point de départ.</w:t>
      </w:r>
    </w:p>
    <w:p>
      <w:pPr>
        <w:ind w:firstLine="283"/>
      </w:pPr>
      <w:r>
        <w:rPr>
          <w:smallCaps/>
        </w:rPr>
        <w:t>Slh.</w:t>
      </w:r>
      <w:r>
        <w:t xml:space="preserve"> Vous l’habillez en noir par opposition à Iphigénie, en blanc : c’est quand même une manière de prendre parti… </w:t>
      </w:r>
    </w:p>
    <w:p>
      <w:pPr>
        <w:ind w:firstLine="283"/>
      </w:pPr>
      <w:r>
        <w:rPr>
          <w:smallCaps/>
        </w:rPr>
        <w:t xml:space="preserve">Stéphane Braunschweig. </w:t>
      </w:r>
      <w:r>
        <w:t>Non, je ne crois pas, le noir, ce n’est pas forcément le noir du mal, et le blanc, ce n’est pas forcément le blanc du bien et de la pureté ! L’habit ne fait pas le moine ! Non, ce que je voulais, c’est avoir un personnage qui est uniquement confronté à la souffrance, qui est Ériphile. Et du côté d’Iphigénie, un personnage qui est aussi confronté à son désir de toute-puissance. Pour moi, Iphigénie est vraiment une Atride : elle partage avec Agamemnon d’être pro-guerre, d’être pour la gloire, etc. Donc, pour moi, c’était important que ce personnage puisse avoir de l’innocence parce que c’est une jeune femme, une jeune fille, qu’il y ait certes cette couleur blanche de l’innocence, mais qu’on découvre qu’elle n’est pas si innocente au sens où elle épouse le désir de toute-puissance mégalomaniaque de son père, et même celui de sa mère… En revanche, Ériphile, elle, est du côté noir de la souffrance.</w:t>
      </w:r>
    </w:p>
    <w:p>
      <w:pPr>
        <w:ind w:firstLine="283"/>
      </w:pPr>
      <w:r>
        <w:rPr>
          <w:smallCaps/>
        </w:rPr>
        <w:t xml:space="preserve">Marc Douguet. </w:t>
      </w:r>
      <w:r>
        <w:t xml:space="preserve">Merci beaucoup pour tous ces spectacles extrêmement forts que vous nous proposez depuis des années et qui nous invitent à renouveler notre regard sur le répertoire. J’aurais une question sur le rapport entre Molière et Racine, comme vous avez beaucoup monté Molière, beaucoup monté Racine. En tant que metteur en scène, et également pour les comédiens, qu’est-ce que cela change de travailler Molière, de travailler Racine ? Est-ce que, par exemple, Racine pose des difficultés que ne pose pas Molière ? Ou inversement, est-ce que Molière pose des questions, des problèmes pratiques, techniques, de jeu, que ne pose pas Racine ? </w:t>
      </w:r>
    </w:p>
    <w:p>
      <w:pPr>
        <w:ind w:firstLine="283"/>
      </w:pPr>
      <w:r>
        <w:rPr>
          <w:smallCaps/>
        </w:rPr>
        <w:t>Stéphane Braunschweig. J</w:t>
      </w:r>
      <w:r>
        <w:t xml:space="preserve">’ai monté des pièces en vers de Molière, donc on peut comparer à cause de cela, parce que, si on considère les pièces en prose, c’est vraiment tellement différent... D’abord, je dirais que le vers de Molière est beaucoup plus dur que le vers de Racine. C’est beaucoup, beaucoup plus difficile. C’est plus tortueux, c’est plus difficile à comprendre. J’adore les vers de Molière, dans </w:t>
      </w:r>
      <w:r>
        <w:rPr>
          <w:i/>
        </w:rPr>
        <w:t>L’École des femmes</w:t>
      </w:r>
      <w:r>
        <w:t xml:space="preserve">, notamment, c’est extraordinaire, ou dans </w:t>
      </w:r>
      <w:r>
        <w:rPr>
          <w:i/>
        </w:rPr>
        <w:t>Le Misanthrope</w:t>
      </w:r>
      <w:r>
        <w:t>, mais c’est plus dur. Franchement, c’est plus dur.</w:t>
      </w:r>
    </w:p>
    <w:p>
      <w:pPr>
        <w:ind w:firstLine="283"/>
      </w:pPr>
      <w:r>
        <w:t>Le problème, avec les tragédies, est qu’on est toujours confronté à une certaine image de la beauté, de la pureté, de la noblesse tragique. On se pose un peu moins ces questions pour Molière, puisque ce sont des comédies, même si ce sont des comédies noires.</w:t>
      </w:r>
    </w:p>
    <w:p>
      <w:pPr>
        <w:ind w:firstLine="283"/>
      </w:pPr>
      <w:r>
        <w:t>Mais en réalité, moi, je cherche absolument la même chose dans l’utilisation de l’alexandrin, qu’on fasse de la comédie ou de la tragédie : qu’on entende les vers, qu’on entende les alexandrins, qu’on place les accents au bon endroit pour que le sens parvienne, et donc qu’on soit le plus concret possible, sans tourner pour autant les choses en prose.</w:t>
      </w:r>
    </w:p>
    <w:p>
      <w:pPr>
        <w:ind w:firstLine="283"/>
      </w:pPr>
      <w:r>
        <w:t>Je fais le même travail mais, du fait que souvent le vers de Molière est très tortueux, cela implique pour l’acteur plus de contorsion.</w:t>
      </w:r>
    </w:p>
    <w:p>
      <w:pPr>
        <w:ind w:firstLine="283"/>
      </w:pPr>
      <w:r>
        <w:t>Et puis je dis toujours : « attention, ce que Racine requiert, c’est de l’intensité, et ce n’est pas de l’expressivité ». L’acteur racinien doit être « intensif », mais pas expressif. C’est-à-dire qu’il ne faut pas mettre des couleurs partout, il ne faut pas essayer de jouer chaque mot, etc. Il faut être droit, et intense. On voit très bien cela dans la captation, puisqu’on est très proche des acteurs. Il y a une intensité de jeu pratiquement permanente, et cela dès la première scène, et y compris chez les personnages de confident qui écoutent. L’intensité, c’est essentiel.</w:t>
      </w:r>
    </w:p>
    <w:p>
      <w:pPr>
        <w:ind w:firstLine="283"/>
      </w:pPr>
      <w:r>
        <w:t xml:space="preserve">À l’inverse, chez Molière, on est moins dans l’intensité, on sera beaucoup plus dans l’expressivité. Quand je travaille Molière avec un acteur comme Claude Duparfait, qui est un acteur extrêmement expressif, c’est idéal. </w:t>
      </w:r>
    </w:p>
    <w:p>
      <w:pPr>
        <w:ind w:firstLine="283"/>
      </w:pPr>
      <w:r>
        <w:rPr>
          <w:smallCaps/>
        </w:rPr>
        <w:t xml:space="preserve">Slh. </w:t>
      </w:r>
      <w:r>
        <w:t xml:space="preserve">On me fait signe de terminer. Un grand merci, Stéphane Braunschweig, pour toutes ces réponses. </w:t>
      </w:r>
    </w:p>
    <w:p>
      <w:pPr>
        <w:pStyle w:val="Titre2"/>
      </w:pPr>
      <w:r>
        <w:rPr>
          <w:b/>
          <w:sz w:val="28"/>
        </w:rPr>
        <w:t xml:space="preserve">Bonus : questions en </w:t>
      </w:r>
      <w:r>
        <w:rPr>
          <w:b/>
          <w:i/>
          <w:sz w:val="28"/>
        </w:rPr>
        <w:t>off</w:t>
      </w:r>
    </w:p>
    <w:p>
      <w:pPr>
        <w:ind w:firstLine="283"/>
      </w:pPr>
      <w:r>
        <w:rPr>
          <w:smallCaps/>
        </w:rPr>
        <w:t xml:space="preserve">Slh. </w:t>
      </w:r>
      <w:r>
        <w:t xml:space="preserve">Diriez-vous que l’espace racinien prévu par le texte est cohérent, que l’unité de lieu n’est pas artificielle ou au contraire qu’elle est de convention et qu’il ne faut pas y regarder de trop près ? Comment avez-vous pour votre part polarisé l’espace, organisé les entrées et les sorties ? </w:t>
      </w:r>
    </w:p>
    <w:p>
      <w:pPr>
        <w:ind w:firstLine="283"/>
      </w:pPr>
      <w:r>
        <w:rPr>
          <w:smallCaps/>
        </w:rPr>
        <w:t xml:space="preserve">Stéphane Braunschweig. </w:t>
      </w:r>
      <w:r>
        <w:t>Je ne me suis pas posé la question de « l’espace racinien ». Je suis parti du principe d’un espace bifrontal avec l’idée d’inclure le public en le cernant par les deux écrans qui montrent la mer d’huile, à la fois métaphore et métonymie du monde à l’arrêt. Dans un espace bifrontal, on est limité par les possibilités d’entrées et de sorties, puisqu’on ne peut entrer que de chaque côté de l’espace central. Ici on a un côté dédié aux entrées depuis « l’extérieur »  du camp, et un autre dédié aux entrées vers « l’intérieur » du camp. À cela se rajoute l’entrée matérialisée par les portes en verre qui représentent l’entrée dans le temple de Calchas, lieu du mariage et du sacrifice, espace-enjeu de la pièce.</w:t>
      </w:r>
    </w:p>
    <w:p>
      <w:pPr>
        <w:ind w:firstLine="283"/>
      </w:pPr>
      <w:r>
        <w:rPr>
          <w:smallCaps/>
        </w:rPr>
        <w:t xml:space="preserve">Slh. </w:t>
      </w:r>
      <w:r>
        <w:t>Comment voyez-vous la triangulation père-fille-gendre ?</w:t>
      </w:r>
    </w:p>
    <w:p>
      <w:pPr>
        <w:ind w:firstLine="283"/>
      </w:pPr>
      <w:r>
        <w:rPr>
          <w:smallCaps/>
        </w:rPr>
        <w:t xml:space="preserve">Stéphane Braunschweig. </w:t>
      </w:r>
      <w:r>
        <w:t>Ce sont trois personnages traversés par une même volonté de puissance et une même mégalomanie. Agamemnon considère que sa fille est un être exceptionnel, et celle-ci idolâtre son père, elle le soutient à fond dans son désir guerrier. Elle est amoureuse d’Achille car c’est le plus grand des héros grecs, seul digne d’elle et de son père. Pour Achille qui n’est pas lié par le serment des chefs grecs de défendre Ménélas, le désir guerrier se confond avec le désir d’épouser Iphigénie. Ils sont tous trois « pro-guerre » au début, mais quand Achille comprend qu’Agamemnon veut sacrifier sa fille, il change radicalement, après un long silence indiqué par Racine (« Madame, je me tais, et demeure immobile »), et se montre désormais prêt à sauver Iphigénie en renonçant à la guerre de Troie. La rivalité entre Agamemnon et Achille, qui n’était que sourde, peut s’exprimer ouvertement. La réaction paradoxale d’Iphigénie qui prend le parti de son père va obliger Achille à se battre pour elle mais malgré elle. Puis quand Agamemnon décide de la sauver mais en l’obligeant à rompre avec Achille, elle se retourne contre son père et veut mourir malgré lui. Dans ses relations avec ces deux hommes, son père et son amant, elle n’est jamais là où on l’attend, comme si elle avait besoin de s’affirmer hors de leur désir à eux, comme si elle ne supportait pas que les hommes décident pour elle.</w:t>
      </w:r>
    </w:p>
    <w:p>
      <w:pPr>
        <w:ind w:firstLine="283"/>
      </w:pPr>
      <w:r>
        <w:rPr>
          <w:smallCaps/>
        </w:rPr>
        <w:t xml:space="preserve">Slh. </w:t>
      </w:r>
      <w:r>
        <w:t>Vous avez choisi le même acteur pour Achille et pour Oreste. Pourquoi ? Voyez-vous des relations entre ces deux personnages ?</w:t>
      </w:r>
    </w:p>
    <w:p>
      <w:pPr>
        <w:ind w:firstLine="283"/>
      </w:pPr>
      <w:r>
        <w:rPr>
          <w:smallCaps/>
        </w:rPr>
        <w:t xml:space="preserve">Stéphane Braunschweig. </w:t>
      </w:r>
      <w:r>
        <w:t xml:space="preserve">Pas particulièrement : Achille est un personnage plutôt solaire, et Oreste un personnage plus sombre. Mais ils ont en commun un potentiel de violence qui ne demande qu’à s’exprimer. C’est peut-être cela que j’ai cherché avec le même acteur. </w:t>
      </w:r>
    </w:p>
    <w:p>
      <w:pPr>
        <w:ind w:firstLine="283"/>
      </w:pPr>
      <w:r>
        <w:rPr>
          <w:smallCaps/>
        </w:rPr>
        <w:t xml:space="preserve">Slh. </w:t>
      </w:r>
      <w:r>
        <w:t>Comment interprétez-vous Clytemnestre ?</w:t>
      </w:r>
    </w:p>
    <w:p>
      <w:pPr>
        <w:ind w:firstLine="283"/>
      </w:pPr>
      <w:r>
        <w:rPr>
          <w:smallCaps/>
        </w:rPr>
        <w:t xml:space="preserve">Stéphane Braunschweig. </w:t>
      </w:r>
      <w:r>
        <w:t xml:space="preserve">Clytemnestre aussi porte une forme de mégalomanie, elle est au début obsédée par sa gloire et sa grandeur, comme lorsqu’elle demande à Iphigénie de renoncer à Achille pour « sauver, en fuyant, votre gloire et la mienne » (acte II), ou quand elle s’oppose à Agamemnon qui lui demande de ne pas accompagner sa fille à l’autel (acte III).  Mais ensuite elle se comporte entièrement comme la mère qui veut protéger sa fille, et c’est une figure d’une profonde humanité, d’une grande intelligence et d’un incroyable courage qui se dresse devant Agamemnon. </w:t>
      </w:r>
    </w:p>
    <w:p>
      <w:pPr>
        <w:ind w:firstLine="283"/>
      </w:pPr>
      <w:r>
        <w:rPr>
          <w:smallCaps/>
        </w:rPr>
        <w:t xml:space="preserve">Slh. </w:t>
      </w:r>
      <w:r>
        <w:t xml:space="preserve">Quelle est la scène qui vous a posé le plus de difficulté et pourquoi ? </w:t>
      </w:r>
    </w:p>
    <w:p>
      <w:pPr>
        <w:ind w:firstLine="283"/>
      </w:pPr>
      <w:r>
        <w:rPr>
          <w:smallCaps/>
        </w:rPr>
        <w:t xml:space="preserve">Stéphane Braunschweig. </w:t>
      </w:r>
      <w:r>
        <w:t>Peut-être la scène 5 de l’acte III, lorsqu’Arcas trahit et révèle qu’Agamemnon prépare un sacrifice sous couvert de mariage. C’est le tournant de la pièce, et tout va très vite, avec relativement peu de répliques pour que les personnages puissent manifester leur réaction à la révélation.</w:t>
      </w:r>
    </w:p>
    <w:p>
      <w:pPr>
        <w:ind w:firstLine="283"/>
      </w:pPr>
      <w:r>
        <w:rPr>
          <w:smallCaps/>
        </w:rPr>
        <w:t xml:space="preserve">Slh. </w:t>
      </w:r>
      <w:r>
        <w:t xml:space="preserve">Quelle est la scène que vous préférez et pourquoi ? </w:t>
      </w:r>
    </w:p>
    <w:p>
      <w:pPr>
        <w:ind w:firstLine="283"/>
      </w:pPr>
      <w:r>
        <w:rPr>
          <w:smallCaps/>
        </w:rPr>
        <w:t xml:space="preserve">Stéphane Braunschweig. </w:t>
      </w:r>
      <w:r>
        <w:t>La grande scène de l’acte IV où se succèdent les tirades d’Agamemnon, d’Iphigénie et de Clytemnestre. Ces tirades sont vraiment extraordinaires, et le passage de Clytemnestre quand elle renvoie à Agamemnon sa « soif de régner » est sans doute ce qui m’a le plus inspiré pour comprendre que ce qui est en jeu dans la pièce, c’est bien le prix à payer de la volonté de puissance (« Cruel, c’est à ces dieux que vous sacrifiez »).</w:t>
      </w:r>
    </w:p>
    <w:p>
      <w:pPr>
        <w:ind w:firstLine="283"/>
      </w:pPr>
      <w:r>
        <w:rPr>
          <w:smallCaps/>
        </w:rPr>
        <w:t xml:space="preserve">Slh. </w:t>
      </w:r>
      <w:r>
        <w:t>La scène qui m’a le plus interpelée, pour ma part, est celle où Iphigénie demande la liberté d’Ériphile et que vous commencez par un étrange jeu de chaises en silence. Comment interprétez-vous cette demande d’Iphigénie ?</w:t>
      </w:r>
    </w:p>
    <w:p>
      <w:pPr>
        <w:ind w:firstLine="283"/>
      </w:pPr>
      <w:r>
        <w:rPr>
          <w:smallCaps/>
        </w:rPr>
        <w:t xml:space="preserve">Stéphane Braunschweig. </w:t>
      </w:r>
      <w:r>
        <w:t>Iphigénie s’en veut de s’être emportée contre Ériphile à la fin de l’acte II, ce n’est pas digne d’elle. Mais elle a aussi besoin de tester Achille et de se débarrasser de sa rivale. Demander la libération d’Ériphile permet tout cela à la fois : Iphigénie peut « réparer » sa violence en se montrant magnanime, obliger Achille à se séparer de sa captive, ce qui n’est pas rien, et obtenir ainsi un engagement clair d’Achille. C’est très intelligent de sa part.</w:t>
      </w:r>
    </w:p>
    <w:p>
      <w:pPr>
        <w:ind w:firstLine="283"/>
      </w:pPr>
      <w:r>
        <w:rPr>
          <w:smallCaps/>
        </w:rPr>
        <w:t xml:space="preserve">Slh. </w:t>
      </w:r>
      <w:r>
        <w:t>À quoi vous sert la lumière dans votre spectacle ? Il ne me semble pas qu’elle suive un réalisme de la journée qui avance. Est-ce un outil de focalisation ?</w:t>
      </w:r>
    </w:p>
    <w:p>
      <w:pPr>
        <w:ind w:firstLine="283"/>
      </w:pPr>
      <w:r>
        <w:rPr>
          <w:smallCaps/>
        </w:rPr>
        <w:t xml:space="preserve">Stéphane Braunschweig. </w:t>
      </w:r>
      <w:r>
        <w:t>La lumière ne peut pas être réaliste dans cet espace, mais elle suit quand même une sorte d’évolution réaliste, tamisée avec l’aube au début, puis de plus en plus forte, dure et froide, jusqu’à l’acte IV, et une ambiance plus sombre et orageuse à la fin. Il s’agit plutôt d’une lumière qui crée des sensations pour le spectateur et les acteurs. C’est l’évolution de la lumière sur la mer en vidéo qui raconte véritablement le passage de la journée, puis le retour des vents avec la mer soudain agitée de grosses vagues.</w:t>
      </w:r>
    </w:p>
    <w:p>
      <w:pPr>
        <w:ind w:firstLine="283"/>
      </w:pPr>
      <w:r>
        <w:rPr>
          <w:smallCaps/>
        </w:rPr>
        <w:t xml:space="preserve">Slh. </w:t>
      </w:r>
      <w:r>
        <w:t xml:space="preserve">Dans le programme, vous citez Christian Biet dans </w:t>
      </w:r>
      <w:r>
        <w:rPr>
          <w:i/>
        </w:rPr>
        <w:t>Racine ou la passion des larmes</w:t>
      </w:r>
      <w:r>
        <w:t xml:space="preserve">, (Hachette, 1996) : « L’univers de Racine ne livre aucune leçon certaine. […] Les personnages qu’il fait évoluer sur scène n’ont jamais toute la légitimité, ni toute la force, ni tout l’éclat qu’il faudrait pour laisser espérer un triomphe des valeurs positives, quelles qu’elles soient. […] Il y a toujours un manque, un soupçon, un échec chez Racine, une faille du héros qui l’empêche de vaincre et de transformer le monde, une impossibilité de la volonté à aboutir totalement à sa fin. […] L’Homme, à la fois aveugle et voyant, évolue dans un univers où la vérité est cachée sans qu’il soit possible d’en apercevoir autre chose qu’une ombre. Et puisque rien n’est véritablement légitime, puisqu’à chaque action ou à chaque délibération le doute existe quant à l’origine première et à la fin de toutes choses, puisqu’aucune vérité n’est jamais certaine pour les spectateurs, puisqu’enfin, pour reprendre Goldmann, Dieu est caché, l’homme déplore sa propre condition d’abandon. En cette absence tragique de vérité, en cette crise réitérée où personne n’a raison, le seul moyen d’approcher la vérité est de pleurer son absence. » Pourquoi cette citation vous semble-t-elle adaptée particulièrement à </w:t>
      </w:r>
      <w:r>
        <w:rPr>
          <w:i/>
        </w:rPr>
        <w:t>Iphigénie</w:t>
      </w:r>
      <w:r>
        <w:t xml:space="preserve"> ?</w:t>
      </w:r>
    </w:p>
    <w:p>
      <w:pPr>
        <w:ind w:firstLine="283"/>
      </w:pPr>
      <w:r>
        <w:rPr>
          <w:smallCaps/>
        </w:rPr>
        <w:t xml:space="preserve">Stéphane Braunschweig. </w:t>
      </w:r>
      <w:r>
        <w:t>Ce qui me plaît dans ce passage de Christian Biet, c’est surtout le début. Que les personnages manquent de légitimité et au fond ne savent plus où est la vérité. Il m’est toujours apparu que chez Racine, c’est comme si les personnages n’étaient plus vraiment à la hauteur des héros mythiques qu’ils sont censés être. Humains, trop humains, contradictoires et paradoxaux, abandonnés à eux-mêmes et se débattant toujours avec un idéal du moi persécuteur…</w:t>
      </w:r>
    </w:p>
    <w:sectPr w:rsidR="00763F7B" w:rsidRPr="00763F7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FE86CC" w14:textId="77777777" w:rsidR="00F07557" w:rsidRDefault="00F07557" w:rsidP="0097085A">
      <w:r>
        <w:separator/>
      </w:r>
    </w:p>
  </w:endnote>
  <w:endnote w:type="continuationSeparator" w:id="0">
    <w:p w14:paraId="0BE3795C" w14:textId="77777777" w:rsidR="00F07557" w:rsidRDefault="00F07557" w:rsidP="0097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2040503050306020203"/>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EE4BED" w14:textId="77777777" w:rsidR="00F07557" w:rsidRDefault="00F07557" w:rsidP="0097085A">
      <w:r>
        <w:separator/>
      </w:r>
    </w:p>
  </w:footnote>
  <w:footnote w:type="continuationSeparator" w:id="0">
    <w:p w14:paraId="750A7B2D" w14:textId="77777777" w:rsidR="00F07557" w:rsidRDefault="00F07557" w:rsidP="0097085A">
      <w:r>
        <w:continuationSeparator/>
      </w:r>
    </w:p>
  </w:footnote>
  <w:footnote w:type="normal" w:id="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Le Mercure galant</w:t>
      </w:r>
      <w:r>
        <w:rPr>
          <w:rStyle w:val="NotedebasdepageCar"/>
          <w:rFonts w:ascii="Garamond" w:hAnsi="Garamond"/>
        </w:rPr>
        <w:t xml:space="preserve">, janvier-mars 1677, Paris, Barbin, 1677, p. 47 ; voir aussi Corneille, </w:t>
      </w:r>
      <w:r>
        <w:rPr>
          <w:rStyle w:val="NotedebasdepageCar"/>
          <w:rFonts w:ascii="Garamond" w:hAnsi="Garamond"/>
          <w:i/>
        </w:rPr>
        <w:t xml:space="preserve">Œuvres complètes</w:t>
      </w:r>
      <w:r>
        <w:rPr>
          <w:rStyle w:val="NotedebasdepageCar"/>
          <w:rFonts w:ascii="Garamond" w:hAnsi="Garamond"/>
        </w:rPr>
        <w:t xml:space="preserve">, éd. Georges Couton, Paris, Gallimard, Bibliothèque de la Pléiade, t. III, 1987, p. 1313.</w:t>
      </w:r>
    </w:p>
  </w:footnote>
  <w:footnote w:type="normal" w:id="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w:t>
      </w:r>
      <w:r>
        <w:rPr>
          <w:rStyle w:val="NotedebasdepageCar"/>
          <w:rFonts w:ascii="Garamond" w:hAnsi="Garamond"/>
        </w:rPr>
        <w:t xml:space="preserve"> </w:t>
      </w:r>
      <w:r>
        <w:rPr>
          <w:rStyle w:val="NotedebasdepageCar"/>
          <w:rFonts w:ascii="Garamond" w:hAnsi="Garamond"/>
        </w:rPr>
        <w:t xml:space="preserve">42-46.</w:t>
      </w:r>
    </w:p>
  </w:footnote>
  <w:footnote w:type="normal" w:id="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Selon Georges Forestier, dans </w:t>
      </w:r>
      <w:r>
        <w:rPr>
          <w:rStyle w:val="NotedebasdepageCar"/>
          <w:rFonts w:ascii="Garamond" w:hAnsi="Garamond"/>
          <w:i/>
        </w:rPr>
        <w:t xml:space="preserve">Molière</w:t>
      </w:r>
      <w:r>
        <w:rPr>
          <w:rStyle w:val="NotedebasdepageCar"/>
          <w:rFonts w:ascii="Garamond" w:hAnsi="Garamond"/>
        </w:rPr>
        <w:t xml:space="preserve">, Paris, Gallimard, p</w:t>
      </w:r>
      <w:r>
        <w:rPr>
          <w:rStyle w:val="NotedebasdepageCar"/>
          <w:rFonts w:ascii="Garamond" w:hAnsi="Garamond"/>
        </w:rPr>
        <w:t xml:space="preserve">. </w:t>
      </w:r>
      <w:r>
        <w:rPr>
          <w:rStyle w:val="NotedebasdepageCar"/>
          <w:rFonts w:ascii="Garamond" w:hAnsi="Garamond"/>
        </w:rPr>
        <w:t xml:space="preserve">470.</w:t>
      </w:r>
    </w:p>
  </w:footnote>
  <w:footnote w:type="normal" w:id="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René</w:t>
      </w:r>
      <w:r>
        <w:rPr>
          <w:rStyle w:val="NotedebasdepageCar"/>
          <w:rFonts w:ascii="Garamond" w:hAnsi="Garamond"/>
        </w:rPr>
        <w:t xml:space="preserve"> Rapin, </w:t>
      </w:r>
      <w:r>
        <w:rPr>
          <w:rStyle w:val="NotedebasdepageCar"/>
          <w:rFonts w:ascii="Garamond" w:hAnsi="Garamond"/>
          <w:i/>
        </w:rPr>
        <w:t xml:space="preserve">Réflexions sur la poétique et sur les ouvrages des poètes anciens et modernes </w:t>
      </w:r>
      <w:r>
        <w:rPr>
          <w:rStyle w:val="NotedebasdepageCar"/>
          <w:rFonts w:ascii="Garamond" w:hAnsi="Garamond"/>
        </w:rPr>
        <w:t xml:space="preserve">(1684), éd. Pascale Thouvenin, Paris, </w:t>
      </w:r>
      <w:r>
        <w:rPr>
          <w:rStyle w:val="NotedebasdepageCar"/>
          <w:rFonts w:ascii="Garamond" w:hAnsi="Garamond"/>
        </w:rPr>
        <w:t xml:space="preserve">Honoré</w:t>
      </w:r>
      <w:r>
        <w:rPr>
          <w:rStyle w:val="NotedebasdepageCar"/>
          <w:rFonts w:ascii="Garamond" w:hAnsi="Garamond"/>
        </w:rPr>
        <w:t xml:space="preserve"> Champion, 2011, p. 562-564.</w:t>
      </w:r>
    </w:p>
  </w:footnote>
  <w:footnote w:type="normal" w:id="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Cette relation parut en 1674 à Paris, chez Jean-Baptiste Coignard ; une seconde édition sortit des presses de l’Imprimerie royale en 1676.</w:t>
      </w:r>
    </w:p>
  </w:footnote>
  <w:footnote w:type="normal" w:id="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La </w:t>
      </w:r>
      <w:r>
        <w:rPr>
          <w:rStyle w:val="NotedebasdepageCar"/>
          <w:rFonts w:ascii="Garamond" w:hAnsi="Garamond"/>
          <w:i/>
        </w:rPr>
        <w:t xml:space="preserve">Gazette de France </w:t>
      </w:r>
      <w:r>
        <w:rPr>
          <w:rStyle w:val="NotedebasdepageCar"/>
          <w:rFonts w:ascii="Garamond" w:hAnsi="Garamond"/>
        </w:rPr>
        <w:t xml:space="preserve">relate une représentation à Saint-Germain</w:t>
      </w:r>
      <w:r>
        <w:rPr>
          <w:rStyle w:val="NotedebasdepageCar"/>
          <w:rFonts w:ascii="Garamond" w:hAnsi="Garamond"/>
        </w:rPr>
        <w:t xml:space="preserve">-</w:t>
      </w:r>
      <w:r>
        <w:rPr>
          <w:rStyle w:val="NotedebasdepageCar"/>
          <w:rFonts w:ascii="Garamond" w:hAnsi="Garamond"/>
        </w:rPr>
        <w:t xml:space="preserve">en</w:t>
      </w:r>
      <w:r>
        <w:rPr>
          <w:rStyle w:val="NotedebasdepageCar"/>
          <w:rFonts w:ascii="Garamond" w:hAnsi="Garamond"/>
        </w:rPr>
        <w:t xml:space="preserve">-</w:t>
      </w:r>
      <w:r>
        <w:rPr>
          <w:rStyle w:val="NotedebasdepageCar"/>
          <w:rFonts w:ascii="Garamond" w:hAnsi="Garamond"/>
        </w:rPr>
        <w:t xml:space="preserve">Laye le 11 février 1673 où « Leurs Majestés, accompagnées de Monseigneur le Dauphin et de Madame, prirent le divertissement de la représentation du </w:t>
      </w:r>
      <w:r>
        <w:rPr>
          <w:rStyle w:val="NotedebasdepageCar"/>
          <w:rFonts w:ascii="Garamond" w:hAnsi="Garamond"/>
          <w:i/>
        </w:rPr>
        <w:t xml:space="preserve">Mithridate</w:t>
      </w:r>
      <w:r>
        <w:rPr>
          <w:rStyle w:val="NotedebasdepageCar"/>
          <w:rFonts w:ascii="Garamond" w:hAnsi="Garamond"/>
        </w:rPr>
        <w:t xml:space="preserve">, fort belle tragédie du sieur Racine, où la Troupe Royale se fit admirer » ; nouvelle représentation le 2 août 1673 où « [Leurs Altesses Royales] firent l’honneur au Sieur de Boisfranc, surintendant des finances de la maison de Monsieur, d’aller en sa belle maison de Saint-Ouen… Un grand repas fut suivi du divertissement de la comédie par la Troupe Royale, qui représenta le </w:t>
      </w:r>
      <w:r>
        <w:rPr>
          <w:rStyle w:val="NotedebasdepageCar"/>
          <w:rFonts w:ascii="Garamond" w:hAnsi="Garamond"/>
          <w:i/>
        </w:rPr>
        <w:t xml:space="preserve">Mythridate </w:t>
      </w:r>
      <w:r>
        <w:rPr>
          <w:rStyle w:val="NotedebasdepageCar"/>
          <w:rFonts w:ascii="Garamond" w:hAnsi="Garamond"/>
        </w:rPr>
        <w:t xml:space="preserve">[</w:t>
      </w:r>
      <w:r>
        <w:rPr>
          <w:rStyle w:val="NotedebasdepageCar"/>
          <w:rFonts w:ascii="Garamond" w:hAnsi="Garamond"/>
          <w:i/>
        </w:rPr>
        <w:t xml:space="preserve">sic</w:t>
      </w:r>
      <w:r>
        <w:rPr>
          <w:rStyle w:val="NotedebasdepageCar"/>
          <w:rFonts w:ascii="Garamond" w:hAnsi="Garamond"/>
        </w:rPr>
        <w:t xml:space="preserve">] du sieur Racine » (cité par Raymond Picard, </w:t>
      </w:r>
      <w:r>
        <w:rPr>
          <w:rStyle w:val="NotedebasdepageCar"/>
          <w:rFonts w:ascii="Garamond" w:hAnsi="Garamond"/>
          <w:i/>
        </w:rPr>
        <w:t xml:space="preserve">Nouveau </w:t>
      </w:r>
      <w:r>
        <w:rPr>
          <w:rStyle w:val="NotedebasdepageCar"/>
          <w:rFonts w:ascii="Garamond" w:hAnsi="Garamond"/>
        </w:rPr>
        <w:t xml:space="preserve">Corpus Racinianum, Paris, éd. du CNRS, 1976, p.</w:t>
      </w:r>
      <w:r>
        <w:rPr>
          <w:rStyle w:val="NotedebasdepageCar"/>
          <w:rFonts w:ascii="Garamond" w:hAnsi="Garamond"/>
        </w:rPr>
        <w:t xml:space="preserve"> </w:t>
      </w:r>
      <w:r>
        <w:rPr>
          <w:rStyle w:val="NotedebasdepageCar"/>
          <w:rFonts w:ascii="Garamond" w:hAnsi="Garamond"/>
        </w:rPr>
        <w:t xml:space="preserve">72 et 75-76).</w:t>
      </w:r>
    </w:p>
  </w:footnote>
  <w:footnote w:type="normal" w:id="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La pièce de Corneille a été créée à Fontainebleau le 31 juillet 1664 lors d’une visite du Cardinal Chigi, légat du pape, comme le relate notamment Loret dans une lettre datée du 2 août. Les premières représentations à la ville, en l’occurrence à l’Hôtel de Bourgogne, eurent lieu à partir du 5 novembre 1664.</w:t>
      </w:r>
    </w:p>
  </w:footnote>
  <w:footnote w:type="normal" w:id="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Georges Forestier, </w:t>
      </w:r>
      <w:r>
        <w:rPr>
          <w:rStyle w:val="NotedebasdepageCar"/>
          <w:rFonts w:ascii="Garamond" w:hAnsi="Garamond"/>
          <w:i/>
        </w:rPr>
        <w:t xml:space="preserve">Jean Racine</w:t>
      </w:r>
      <w:r>
        <w:rPr>
          <w:rStyle w:val="NotedebasdepageCar"/>
          <w:rFonts w:ascii="Garamond" w:hAnsi="Garamond"/>
        </w:rPr>
        <w:t xml:space="preserve">, Paris, Gallimard, 2006, p.</w:t>
      </w:r>
      <w:r>
        <w:rPr>
          <w:rStyle w:val="NotedebasdepageCar"/>
          <w:rFonts w:ascii="Garamond" w:hAnsi="Garamond"/>
        </w:rPr>
        <w:t xml:space="preserve"> </w:t>
      </w:r>
      <w:r>
        <w:rPr>
          <w:rStyle w:val="NotedebasdepageCar"/>
          <w:rFonts w:ascii="Garamond" w:hAnsi="Garamond"/>
        </w:rPr>
        <w:t xml:space="preserve">499.</w:t>
      </w:r>
    </w:p>
  </w:footnote>
  <w:footnote w:type="normal" w:id="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Dans </w:t>
      </w:r>
      <w:r>
        <w:rPr>
          <w:rStyle w:val="NotedebasdepageCar"/>
          <w:rFonts w:ascii="Garamond" w:hAnsi="Garamond"/>
          <w:i/>
        </w:rPr>
        <w:t xml:space="preserve">Les Nopces ducales</w:t>
      </w:r>
      <w:r>
        <w:rPr>
          <w:rStyle w:val="NotedebasdepageCar"/>
          <w:rFonts w:ascii="Garamond" w:hAnsi="Garamond"/>
        </w:rPr>
        <w:t xml:space="preserve"> (Paris, Loyson, 1664, p. 18-19), Robinet raconte l’événement en ces termes : « On y fut diverti dans une salle superbement ornée, par les comédiens de la troupe du grand Lisis [le roi], et par ceux de la troupe de l’illustre Philémon [Monsieur], qui se jouèrent elles-mêmes, en jouant la </w:t>
      </w:r>
      <w:r>
        <w:rPr>
          <w:rStyle w:val="NotedebasdepageCar"/>
          <w:rFonts w:ascii="Garamond" w:hAnsi="Garamond"/>
          <w:i/>
        </w:rPr>
        <w:t xml:space="preserve">Critique </w:t>
      </w:r>
      <w:r>
        <w:rPr>
          <w:rStyle w:val="NotedebasdepageCar"/>
          <w:rFonts w:ascii="Garamond" w:hAnsi="Garamond"/>
        </w:rPr>
        <w:t xml:space="preserve">et </w:t>
      </w:r>
      <w:r>
        <w:rPr>
          <w:rStyle w:val="NotedebasdepageCar"/>
          <w:rFonts w:ascii="Garamond" w:hAnsi="Garamond"/>
          <w:i/>
        </w:rPr>
        <w:t xml:space="preserve">Contr</w:t>
      </w:r>
      <w:r>
        <w:rPr>
          <w:rStyle w:val="NotedebasdepageCar"/>
          <w:rFonts w:ascii="Garamond" w:hAnsi="Garamond"/>
          <w:i/>
        </w:rPr>
        <w:t xml:space="preserve">e-c</w:t>
      </w:r>
      <w:r>
        <w:rPr>
          <w:rStyle w:val="NotedebasdepageCar"/>
          <w:rFonts w:ascii="Garamond" w:hAnsi="Garamond"/>
          <w:i/>
        </w:rPr>
        <w:t xml:space="preserve">ritique de L’École des femmes</w:t>
      </w:r>
      <w:r>
        <w:rPr>
          <w:rStyle w:val="NotedebasdepageCar"/>
          <w:rFonts w:ascii="Garamond" w:hAnsi="Garamond"/>
        </w:rPr>
        <w:t xml:space="preserve">, avec quelques Impromptus servant de répliques pour les deux partis : ce qui ne pouvait être que fort plaisant » (cité par Georges Forestier dans </w:t>
      </w:r>
      <w:r>
        <w:rPr>
          <w:rStyle w:val="NotedebasdepageCar"/>
          <w:rFonts w:ascii="Garamond" w:hAnsi="Garamond"/>
          <w:i/>
        </w:rPr>
        <w:t xml:space="preserve">Molière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w:t>
      </w:r>
      <w:r>
        <w:rPr>
          <w:rStyle w:val="NotedebasdepageCar"/>
          <w:rFonts w:ascii="Garamond" w:hAnsi="Garamond"/>
        </w:rPr>
        <w:t xml:space="preserve"> </w:t>
      </w:r>
      <w:r>
        <w:rPr>
          <w:rStyle w:val="NotedebasdepageCar"/>
          <w:rFonts w:ascii="Garamond" w:hAnsi="Garamond"/>
        </w:rPr>
        <w:t xml:space="preserve">237).</w:t>
      </w:r>
    </w:p>
  </w:footnote>
  <w:footnote w:type="normal" w:id="1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Archives Nationales, O</w:t>
      </w:r>
      <w:r>
        <w:rPr>
          <w:rStyle w:val="NotedebasdepageCar"/>
          <w:rFonts w:ascii="Garamond" w:hAnsi="Garamond"/>
        </w:rPr>
        <w:t xml:space="preserve">1 </w:t>
      </w:r>
      <w:r>
        <w:rPr>
          <w:rStyle w:val="NotedebasdepageCar"/>
          <w:rFonts w:ascii="Garamond" w:hAnsi="Garamond"/>
        </w:rPr>
        <w:t xml:space="preserve">2984. Cité par Jacques Vanuxem dans « Racine, les machines et les fêtes », </w:t>
      </w:r>
      <w:r>
        <w:rPr>
          <w:rStyle w:val="NotedebasdepageCar"/>
          <w:rFonts w:ascii="Garamond" w:hAnsi="Garamond"/>
          <w:i/>
        </w:rPr>
        <w:t xml:space="preserve">Revue d’histoire littéraire de la France</w:t>
      </w:r>
      <w:r>
        <w:rPr>
          <w:rStyle w:val="NotedebasdepageCar"/>
          <w:rFonts w:ascii="Garamond" w:hAnsi="Garamond"/>
        </w:rPr>
        <w:t xml:space="preserve">, 1954, p. 307-309. Cité par Raymond Picard, </w:t>
      </w:r>
      <w:r>
        <w:rPr>
          <w:rStyle w:val="NotedebasdepageCar"/>
          <w:rFonts w:ascii="Garamond" w:hAnsi="Garamond"/>
          <w:i/>
        </w:rPr>
        <w:t xml:space="preserve">Nouveau </w:t>
      </w:r>
      <w:r>
        <w:rPr>
          <w:rStyle w:val="NotedebasdepageCar"/>
          <w:rFonts w:ascii="Garamond" w:hAnsi="Garamond"/>
        </w:rPr>
        <w:t xml:space="preserve">Corpus Racinianum, Paris, Éditions du CNRS, 1976, p. 80.</w:t>
      </w:r>
    </w:p>
  </w:footnote>
  <w:footnote w:type="normal" w:id="1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[Félibien], </w:t>
      </w:r>
      <w:r>
        <w:rPr>
          <w:rStyle w:val="NotedebasdepageCar"/>
          <w:rFonts w:ascii="Garamond" w:hAnsi="Garamond"/>
          <w:i/>
        </w:rPr>
        <w:t xml:space="preserve">Les Divertissemens de Versailles donnez par le Roy à toute sa cour au retour de la conqueste de la Franche-Comté en l’année M.DC.LXXIV</w:t>
      </w:r>
      <w:r>
        <w:rPr>
          <w:rStyle w:val="NotedebasdepageCar"/>
          <w:rFonts w:ascii="Garamond" w:hAnsi="Garamond"/>
        </w:rPr>
        <w:t xml:space="preserve">, Paris, Imprimerie Royale, 1676, p.</w:t>
      </w:r>
      <w:r>
        <w:rPr>
          <w:rStyle w:val="NotedebasdepageCar"/>
          <w:rFonts w:ascii="Garamond" w:hAnsi="Garamond"/>
        </w:rPr>
        <w:t xml:space="preserve"> </w:t>
      </w:r>
      <w:r>
        <w:rPr>
          <w:rStyle w:val="NotedebasdepageCar"/>
          <w:rFonts w:ascii="Garamond" w:hAnsi="Garamond"/>
        </w:rPr>
        <w:t xml:space="preserve">20-21.</w:t>
      </w:r>
    </w:p>
  </w:footnote>
  <w:footnote w:type="normal" w:id="1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la querelle d’</w:t>
      </w:r>
      <w:r>
        <w:rPr>
          <w:rStyle w:val="NotedebasdepageCar"/>
          <w:rFonts w:ascii="Garamond" w:hAnsi="Garamond"/>
          <w:i/>
        </w:rPr>
        <w:t xml:space="preserve">Alceste</w:t>
      </w:r>
      <w:r>
        <w:rPr>
          <w:rStyle w:val="NotedebasdepageCar"/>
          <w:rFonts w:ascii="Garamond" w:hAnsi="Garamond"/>
        </w:rPr>
        <w:t xml:space="preserve">, nous renvoyons à l’excellente synthèse de Sylvain Cornic dans le </w:t>
      </w:r>
      <w:r>
        <w:rPr>
          <w:rStyle w:val="NotedebasdepageCar"/>
          <w:rFonts w:ascii="Garamond" w:hAnsi="Garamond"/>
          <w:i/>
        </w:rPr>
        <w:t xml:space="preserve">Dictionnaire de l’Opéra de Paris sous l’Ancien Régime (1669-1791)</w:t>
      </w:r>
      <w:r>
        <w:rPr>
          <w:rStyle w:val="NotedebasdepageCar"/>
          <w:rFonts w:ascii="Garamond" w:hAnsi="Garamond"/>
        </w:rPr>
        <w:t xml:space="preserve">, t. IV- P-Z, Classiques Garnier, 2020, p.</w:t>
      </w:r>
      <w:r>
        <w:rPr>
          <w:rStyle w:val="NotedebasdepageCar"/>
          <w:rFonts w:ascii="Garamond" w:hAnsi="Garamond"/>
        </w:rPr>
        <w:t xml:space="preserve"> </w:t>
      </w:r>
      <w:r>
        <w:rPr>
          <w:rStyle w:val="NotedebasdepageCar"/>
          <w:rFonts w:ascii="Garamond" w:hAnsi="Garamond"/>
        </w:rPr>
        <w:t xml:space="preserve">342-344.</w:t>
      </w:r>
    </w:p>
  </w:footnote>
  <w:footnote w:type="normal" w:id="1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Georges Forestier, </w:t>
      </w:r>
      <w:r>
        <w:rPr>
          <w:rStyle w:val="NotedebasdepageCar"/>
          <w:rFonts w:ascii="Garamond" w:hAnsi="Garamond"/>
          <w:i/>
        </w:rPr>
        <w:t xml:space="preserve">Jean Racine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w:t>
      </w:r>
      <w:r>
        <w:rPr>
          <w:rStyle w:val="NotedebasdepageCar"/>
          <w:rFonts w:ascii="Garamond" w:hAnsi="Garamond"/>
        </w:rPr>
        <w:t xml:space="preserve"> </w:t>
      </w:r>
      <w:r>
        <w:rPr>
          <w:rStyle w:val="NotedebasdepageCar"/>
          <w:rFonts w:ascii="Garamond" w:hAnsi="Garamond"/>
        </w:rPr>
        <w:t xml:space="preserve">482.</w:t>
      </w:r>
    </w:p>
  </w:footnote>
  <w:footnote w:type="normal" w:id="1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Marc Escola et Bénédicte Louvat, « Le statut de l’épisode dans la tragédie classique : </w:t>
      </w:r>
      <w:r>
        <w:rPr>
          <w:rStyle w:val="NotedebasdepageCar"/>
          <w:rFonts w:ascii="Garamond" w:hAnsi="Garamond"/>
          <w:i/>
        </w:rPr>
        <w:t xml:space="preserve">Œdipe</w:t>
      </w:r>
      <w:r>
        <w:rPr>
          <w:rStyle w:val="NotedebasdepageCar"/>
          <w:rFonts w:ascii="Garamond" w:hAnsi="Garamond"/>
        </w:rPr>
        <w:t xml:space="preserve"> de Corneille ou le complexe de Dircé », </w:t>
      </w:r>
      <w:r>
        <w:rPr>
          <w:rStyle w:val="NotedebasdepageCar"/>
          <w:rFonts w:ascii="Garamond" w:hAnsi="Garamond"/>
          <w:i/>
        </w:rPr>
        <w:t xml:space="preserve">XVII</w:t>
      </w:r>
      <w:r>
        <w:rPr>
          <w:rStyle w:val="NotedebasdepageCar"/>
          <w:rFonts w:ascii="Garamond" w:hAnsi="Garamond"/>
          <w:i/>
        </w:rPr>
        <w:t xml:space="preserve">e</w:t>
      </w:r>
      <w:r>
        <w:rPr>
          <w:rStyle w:val="NotedebasdepageCar"/>
          <w:rFonts w:ascii="Garamond" w:hAnsi="Garamond"/>
          <w:i/>
        </w:rPr>
        <w:t xml:space="preserve"> siècle</w:t>
      </w:r>
      <w:r>
        <w:rPr>
          <w:rStyle w:val="NotedebasdepageCar"/>
          <w:rFonts w:ascii="Garamond" w:hAnsi="Garamond"/>
        </w:rPr>
        <w:t xml:space="preserve">, n°200, juillet-septembre 1998, p.</w:t>
      </w:r>
      <w:r>
        <w:rPr>
          <w:rStyle w:val="NotedebasdepageCar"/>
          <w:rFonts w:ascii="Garamond" w:hAnsi="Garamond"/>
        </w:rPr>
        <w:t xml:space="preserve"> </w:t>
      </w:r>
      <w:r>
        <w:rPr>
          <w:rStyle w:val="NotedebasdepageCar"/>
          <w:rFonts w:ascii="Garamond" w:hAnsi="Garamond"/>
        </w:rPr>
        <w:t xml:space="preserve">453-470.</w:t>
      </w:r>
    </w:p>
  </w:footnote>
  <w:footnote w:type="normal" w:id="1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Marc Escola, </w:t>
      </w:r>
      <w:r>
        <w:rPr>
          <w:rStyle w:val="NotedebasdepageCar"/>
          <w:rFonts w:ascii="Garamond" w:hAnsi="Garamond"/>
        </w:rPr>
        <w:t xml:space="preserve">P</w:t>
      </w:r>
      <w:r>
        <w:rPr>
          <w:rStyle w:val="NotedebasdepageCar"/>
          <w:rFonts w:ascii="Garamond" w:hAnsi="Garamond"/>
        </w:rPr>
        <w:t xml:space="preserve">résentation de Racine, </w:t>
      </w:r>
      <w:r>
        <w:rPr>
          <w:rStyle w:val="NotedebasdepageCar"/>
          <w:rFonts w:ascii="Garamond" w:hAnsi="Garamond"/>
          <w:i/>
        </w:rPr>
        <w:t xml:space="preserve">Iphigénie</w:t>
      </w:r>
      <w:r>
        <w:rPr>
          <w:rStyle w:val="NotedebasdepageCar"/>
          <w:rFonts w:ascii="Garamond" w:hAnsi="Garamond"/>
        </w:rPr>
        <w:t xml:space="preserve">, Paris, GF-Flammarion, 1998, p.</w:t>
      </w:r>
      <w:r>
        <w:rPr>
          <w:rStyle w:val="NotedebasdepageCar"/>
          <w:rFonts w:ascii="Garamond" w:hAnsi="Garamond"/>
        </w:rPr>
        <w:t xml:space="preserve"> </w:t>
      </w:r>
      <w:r>
        <w:rPr>
          <w:rStyle w:val="NotedebasdepageCar"/>
          <w:rFonts w:ascii="Garamond" w:hAnsi="Garamond"/>
        </w:rPr>
        <w:t xml:space="preserve">44 </w:t>
      </w:r>
      <w:r>
        <w:rPr>
          <w:rStyle w:val="NotedebasdepageCar"/>
          <w:rFonts w:ascii="Garamond" w:hAnsi="Garamond"/>
          <w:i/>
        </w:rPr>
        <w:t xml:space="preserve">sq</w:t>
      </w:r>
      <w:r>
        <w:rPr>
          <w:rStyle w:val="NotedebasdepageCar"/>
          <w:rFonts w:ascii="Garamond" w:hAnsi="Garamond"/>
        </w:rPr>
        <w:t xml:space="preserve">. </w:t>
      </w:r>
    </w:p>
  </w:footnote>
  <w:footnote w:type="normal" w:id="1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Distinguant l’action principale, que le poète ne peut modifier, et les épisodes (ou « incidents »), Corneille écrit ainsi : « [la] falsification [de l’action principale] serait cause qu[e le spectateur] n’ajouterait aucune foi à tout le reste ; comme au contraire il croit aisément tout ce reste, quand il le voit servir d’acheminement à l’effet qu’il sait être véritable, dont l’Histoire lui a laissé une plus forte impression</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Discours de la tragédie et des moyens de la traiter selon le vraisemblable ou le nécessaire</w:t>
      </w:r>
      <w:r>
        <w:rPr>
          <w:rStyle w:val="NotedebasdepageCar"/>
          <w:rFonts w:ascii="Garamond" w:hAnsi="Garamond"/>
        </w:rPr>
        <w:t xml:space="preserve">, éd. Marc Escola et Bénédicte Louvat, Paris, GF-Flammarion, 1999, p.</w:t>
      </w:r>
      <w:r>
        <w:rPr>
          <w:rStyle w:val="NotedebasdepageCar"/>
          <w:rFonts w:ascii="Garamond" w:hAnsi="Garamond"/>
        </w:rPr>
        <w:t xml:space="preserve"> </w:t>
      </w:r>
      <w:r>
        <w:rPr>
          <w:rStyle w:val="NotedebasdepageCar"/>
          <w:rFonts w:ascii="Garamond" w:hAnsi="Garamond"/>
        </w:rPr>
        <w:t xml:space="preserve">116).</w:t>
      </w:r>
    </w:p>
  </w:footnote>
  <w:footnote w:type="normal" w:id="1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Quelle apparence que j’eusse souillé la Scène par le meurtre horrible d’une personne aussi vertueuse et aussi aimable qu’il fallait représenter Iphigénie ? Et quelle apparence encore de dénouer ma Tragédie par le secours d’une Déesse et d’une machine, et par une métamorphose qui pouvait bien trouver quelque créance du temps d’Euripide, mais qui serait trop </w:t>
      </w:r>
      <w:r>
        <w:rPr>
          <w:rStyle w:val="NotedebasdepageCar"/>
          <w:rFonts w:ascii="Garamond" w:hAnsi="Garamond"/>
          <w:i/>
        </w:rPr>
        <w:t xml:space="preserve">absurde</w:t>
      </w:r>
      <w:r>
        <w:rPr>
          <w:rStyle w:val="NotedebasdepageCar"/>
          <w:rFonts w:ascii="Garamond" w:hAnsi="Garamond"/>
        </w:rPr>
        <w:t xml:space="preserve"> et trop incroyable parmi nous ? » (</w:t>
      </w:r>
      <w:r>
        <w:rPr>
          <w:rStyle w:val="NotedebasdepageCar"/>
          <w:rFonts w:ascii="Garamond" w:hAnsi="Garamond"/>
        </w:rPr>
        <w:t xml:space="preserve">Jean</w:t>
      </w:r>
      <w:r>
        <w:rPr>
          <w:rStyle w:val="NotedebasdepageCar"/>
          <w:rFonts w:ascii="Garamond" w:hAnsi="Garamond"/>
        </w:rPr>
        <w:t xml:space="preserve"> Racine, Préface d’</w:t>
      </w:r>
      <w:r>
        <w:rPr>
          <w:rStyle w:val="NotedebasdepageCar"/>
          <w:rFonts w:ascii="Garamond" w:hAnsi="Garamond"/>
          <w:i/>
        </w:rPr>
        <w:t xml:space="preserve">Iphigénie</w:t>
      </w:r>
      <w:r>
        <w:rPr>
          <w:rStyle w:val="NotedebasdepageCar"/>
          <w:rFonts w:ascii="Garamond" w:hAnsi="Garamond"/>
        </w:rPr>
        <w:t xml:space="preserve"> [1675], dans </w:t>
      </w:r>
      <w:r>
        <w:rPr>
          <w:rStyle w:val="NotedebasdepageCar"/>
          <w:rFonts w:ascii="Garamond" w:hAnsi="Garamond"/>
        </w:rPr>
        <w:t xml:space="preserve">Jean</w:t>
      </w:r>
      <w:r>
        <w:rPr>
          <w:rStyle w:val="NotedebasdepageCar"/>
          <w:rFonts w:ascii="Garamond" w:hAnsi="Garamond"/>
        </w:rPr>
        <w:t xml:space="preserve"> Racine, </w:t>
      </w:r>
      <w:r>
        <w:rPr>
          <w:rStyle w:val="NotedebasdepageCar"/>
          <w:rFonts w:ascii="Garamond" w:hAnsi="Garamond"/>
          <w:i/>
        </w:rPr>
        <w:t xml:space="preserve">Œuvres complètes</w:t>
      </w:r>
      <w:r>
        <w:rPr>
          <w:rStyle w:val="NotedebasdepageCar"/>
          <w:rFonts w:ascii="Garamond" w:hAnsi="Garamond"/>
        </w:rPr>
        <w:t xml:space="preserve">, éd. Georges Forestier, Paris, Gallimard, Bibliothèque de la Pléiade, t.</w:t>
      </w:r>
      <w:r>
        <w:rPr>
          <w:rStyle w:val="NotedebasdepageCar"/>
          <w:rFonts w:ascii="Garamond" w:hAnsi="Garamond"/>
        </w:rPr>
        <w:t xml:space="preserve"> </w:t>
      </w:r>
      <w:r>
        <w:rPr>
          <w:rStyle w:val="NotedebasdepageCar"/>
          <w:rFonts w:ascii="Garamond" w:hAnsi="Garamond"/>
        </w:rPr>
        <w:t xml:space="preserve">I, « Théâtre – Poésie », 1999, p.</w:t>
      </w:r>
      <w:r>
        <w:rPr>
          <w:rStyle w:val="NotedebasdepageCar"/>
          <w:rFonts w:ascii="Garamond" w:hAnsi="Garamond"/>
        </w:rPr>
        <w:t xml:space="preserve"> </w:t>
      </w:r>
      <w:r>
        <w:rPr>
          <w:rStyle w:val="NotedebasdepageCar"/>
          <w:rFonts w:ascii="Garamond" w:hAnsi="Garamond"/>
        </w:rPr>
        <w:t xml:space="preserve">698. Nous soulignons.</w:t>
      </w:r>
    </w:p>
  </w:footnote>
  <w:footnote w:type="normal" w:id="1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Leclerc, préface d’</w:t>
      </w:r>
      <w:r>
        <w:rPr>
          <w:rStyle w:val="NotedebasdepageCar"/>
          <w:rFonts w:ascii="Garamond" w:hAnsi="Garamond"/>
          <w:i/>
        </w:rPr>
        <w:t xml:space="preserve">Iphigénie</w:t>
      </w:r>
      <w:r>
        <w:rPr>
          <w:rStyle w:val="NotedebasdepageCar"/>
          <w:rFonts w:ascii="Garamond" w:hAnsi="Garamond"/>
        </w:rPr>
        <w:t xml:space="preserve"> (Paris, Veuve Pissot, 1675), n</w:t>
      </w:r>
      <w:r>
        <w:rPr>
          <w:rStyle w:val="NotedebasdepageCar"/>
          <w:rFonts w:ascii="Garamond" w:hAnsi="Garamond"/>
        </w:rPr>
        <w:t xml:space="preserve">. </w:t>
      </w:r>
      <w:r>
        <w:rPr>
          <w:rStyle w:val="NotedebasdepageCar"/>
          <w:rFonts w:ascii="Garamond" w:hAnsi="Garamond"/>
        </w:rPr>
        <w:t xml:space="preserve">p. </w:t>
      </w:r>
    </w:p>
  </w:footnote>
  <w:footnote w:type="normal" w:id="1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Leclerc, </w:t>
      </w:r>
      <w:r>
        <w:rPr>
          <w:rStyle w:val="NotedebasdepageCar"/>
          <w:rFonts w:ascii="Garamond" w:hAnsi="Garamond"/>
          <w:i/>
        </w:rPr>
        <w:t xml:space="preserve">Iphigénie</w:t>
      </w:r>
      <w:r>
        <w:rPr>
          <w:rStyle w:val="NotedebasdepageCar"/>
          <w:rFonts w:ascii="Garamond" w:hAnsi="Garamond"/>
        </w:rPr>
        <w:t xml:space="preserve">, V, 6, v.</w:t>
      </w:r>
      <w:r>
        <w:rPr>
          <w:rStyle w:val="NotedebasdepageCar"/>
          <w:rFonts w:ascii="Garamond" w:hAnsi="Garamond"/>
        </w:rPr>
        <w:t xml:space="preserve"> </w:t>
      </w:r>
      <w:r>
        <w:rPr>
          <w:rStyle w:val="NotedebasdepageCar"/>
          <w:rFonts w:ascii="Garamond" w:hAnsi="Garamond"/>
        </w:rPr>
        <w:t xml:space="preserve">1311-1322 ; en ligne sur theatre-classique.fr.</w:t>
      </w:r>
    </w:p>
  </w:footnote>
  <w:footnote w:type="normal" w:id="2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de </w:t>
      </w:r>
      <w:r>
        <w:rPr>
          <w:rStyle w:val="NotedebasdepageCar"/>
          <w:rFonts w:ascii="Garamond" w:hAnsi="Garamond"/>
        </w:rPr>
        <w:t xml:space="preserve">Rotrou, </w:t>
      </w:r>
      <w:r>
        <w:rPr>
          <w:rStyle w:val="NotedebasdepageCar"/>
          <w:rFonts w:ascii="Garamond" w:hAnsi="Garamond"/>
          <w:i/>
        </w:rPr>
        <w:t xml:space="preserve">Iphigénie</w:t>
      </w:r>
      <w:r>
        <w:rPr>
          <w:rStyle w:val="NotedebasdepageCar"/>
          <w:rFonts w:ascii="Garamond" w:hAnsi="Garamond"/>
        </w:rPr>
        <w:t xml:space="preserve"> (1641), V, 3 ; éd. Alain Riffaud, dans </w:t>
      </w:r>
      <w:r>
        <w:rPr>
          <w:rStyle w:val="NotedebasdepageCar"/>
          <w:rFonts w:ascii="Garamond" w:hAnsi="Garamond"/>
        </w:rPr>
        <w:t xml:space="preserve">Jean de </w:t>
      </w:r>
      <w:r>
        <w:rPr>
          <w:rStyle w:val="NotedebasdepageCar"/>
          <w:rFonts w:ascii="Garamond" w:hAnsi="Garamond"/>
        </w:rPr>
        <w:t xml:space="preserve">Rotrou, </w:t>
      </w:r>
      <w:r>
        <w:rPr>
          <w:rStyle w:val="NotedebasdepageCar"/>
          <w:rFonts w:ascii="Garamond" w:hAnsi="Garamond"/>
          <w:i/>
        </w:rPr>
        <w:t xml:space="preserve">Théâtre complet</w:t>
      </w:r>
      <w:r>
        <w:rPr>
          <w:rStyle w:val="NotedebasdepageCar"/>
          <w:rFonts w:ascii="Garamond" w:hAnsi="Garamond"/>
        </w:rPr>
        <w:t xml:space="preserve">, Paris, STFM, t. 2, 1999, v. 1789-1790 et didascalies p. 508-509.</w:t>
      </w:r>
    </w:p>
  </w:footnote>
  <w:footnote w:type="normal" w:id="2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4 et dernière, v. 1879-1886 et didascalies p. 510-511.</w:t>
      </w:r>
    </w:p>
  </w:footnote>
  <w:footnote w:type="normal" w:id="2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V, scène dernière, v. 1777-1790, éd. </w:t>
      </w:r>
      <w:r>
        <w:rPr>
          <w:rStyle w:val="NotedebasdepageCar"/>
          <w:rFonts w:ascii="Garamond" w:hAnsi="Garamond"/>
        </w:rPr>
        <w:t xml:space="preserve">G</w:t>
      </w:r>
      <w:r>
        <w:rPr>
          <w:rStyle w:val="NotedebasdepageCar"/>
          <w:rFonts w:ascii="Garamond" w:hAnsi="Garamond"/>
        </w:rPr>
        <w:t xml:space="preserve">eorges</w:t>
      </w:r>
      <w:r>
        <w:rPr>
          <w:rStyle w:val="NotedebasdepageCar"/>
          <w:rFonts w:ascii="Garamond" w:hAnsi="Garamond"/>
        </w:rPr>
        <w:t xml:space="preserve"> Forestier, p.</w:t>
      </w:r>
      <w:r>
        <w:rPr>
          <w:rStyle w:val="NotedebasdepageCar"/>
          <w:rFonts w:ascii="Garamond" w:hAnsi="Garamond"/>
        </w:rPr>
        <w:t xml:space="preserve"> </w:t>
      </w:r>
      <w:r>
        <w:rPr>
          <w:rStyle w:val="NotedebasdepageCar"/>
          <w:rFonts w:ascii="Garamond" w:hAnsi="Garamond"/>
        </w:rPr>
        <w:t xml:space="preserve">762-763.</w:t>
      </w:r>
    </w:p>
  </w:footnote>
  <w:footnote w:type="normal" w:id="2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Christian Delmas, « </w:t>
      </w:r>
      <w:r>
        <w:rPr>
          <w:rStyle w:val="NotedebasdepageCar"/>
          <w:rFonts w:ascii="Garamond" w:hAnsi="Garamond"/>
          <w:i/>
        </w:rPr>
        <w:t xml:space="preserve">Iphigénie</w:t>
      </w:r>
      <w:r>
        <w:rPr>
          <w:rStyle w:val="NotedebasdepageCar"/>
          <w:rFonts w:ascii="Garamond" w:hAnsi="Garamond"/>
        </w:rPr>
        <w:t xml:space="preserve">, tragédie sans machines », </w:t>
      </w:r>
      <w:r>
        <w:rPr>
          <w:rStyle w:val="NotedebasdepageCar"/>
          <w:rFonts w:ascii="Garamond" w:hAnsi="Garamond"/>
          <w:i/>
        </w:rPr>
        <w:t xml:space="preserve">Cahiers de littérature du XVII</w:t>
      </w:r>
      <w:r>
        <w:rPr>
          <w:rStyle w:val="NotedebasdepageCar"/>
          <w:rFonts w:ascii="Garamond" w:hAnsi="Garamond"/>
          <w:i/>
        </w:rPr>
        <w:t xml:space="preserve">e</w:t>
      </w:r>
      <w:r>
        <w:rPr>
          <w:rStyle w:val="NotedebasdepageCar"/>
          <w:rFonts w:ascii="Garamond" w:hAnsi="Garamond"/>
          <w:i/>
        </w:rPr>
        <w:t xml:space="preserve"> siècle</w:t>
      </w:r>
      <w:r>
        <w:rPr>
          <w:rStyle w:val="NotedebasdepageCar"/>
          <w:rFonts w:ascii="Garamond" w:hAnsi="Garamond"/>
        </w:rPr>
        <w:t xml:space="preserve">, n° 7, 1985, p.</w:t>
      </w:r>
      <w:r>
        <w:rPr>
          <w:rStyle w:val="NotedebasdepageCar"/>
          <w:rFonts w:ascii="Garamond" w:hAnsi="Garamond"/>
        </w:rPr>
        <w:t xml:space="preserve"> </w:t>
      </w:r>
      <w:r>
        <w:rPr>
          <w:rStyle w:val="NotedebasdepageCar"/>
          <w:rFonts w:ascii="Garamond" w:hAnsi="Garamond"/>
        </w:rPr>
        <w:t xml:space="preserve">189-205.</w:t>
      </w:r>
    </w:p>
  </w:footnote>
  <w:footnote w:type="normal" w:id="2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w:t>
      </w:r>
      <w:r>
        <w:rPr>
          <w:rStyle w:val="NotedebasdepageCar"/>
          <w:rFonts w:ascii="Garamond" w:hAnsi="Garamond"/>
        </w:rPr>
        <w:t xml:space="preserve"> </w:t>
      </w:r>
      <w:r>
        <w:rPr>
          <w:rStyle w:val="NotedebasdepageCar"/>
          <w:rFonts w:ascii="Garamond" w:hAnsi="Garamond"/>
        </w:rPr>
        <w:t xml:space="preserve">202. </w:t>
      </w:r>
    </w:p>
  </w:footnote>
  <w:footnote w:type="normal" w:id="2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Œuvres de Jean Racine, avec des commentaires, par M. Luneau de Boisjermain</w:t>
      </w:r>
      <w:r>
        <w:rPr>
          <w:rStyle w:val="NotedebasdepageCar"/>
          <w:rFonts w:ascii="Garamond" w:hAnsi="Garamond"/>
        </w:rPr>
        <w:t xml:space="preserve">, Paris, Louis Cellot, 176</w:t>
      </w:r>
      <w:r>
        <w:rPr>
          <w:rStyle w:val="NotedebasdepageCar"/>
          <w:rFonts w:ascii="Garamond" w:hAnsi="Garamond"/>
        </w:rPr>
        <w:t xml:space="preserve">8.</w:t>
      </w:r>
    </w:p>
  </w:footnote>
  <w:footnote w:type="normal" w:id="2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w:t>
      </w:r>
      <w:r>
        <w:rPr>
          <w:rStyle w:val="NotedebasdepageCar"/>
          <w:rFonts w:ascii="Garamond" w:hAnsi="Garamond"/>
        </w:rPr>
        <w:t xml:space="preserve"> </w:t>
      </w:r>
      <w:r>
        <w:rPr>
          <w:rStyle w:val="NotedebasdepageCar"/>
          <w:rFonts w:ascii="Garamond" w:hAnsi="Garamond"/>
        </w:rPr>
        <w:t xml:space="preserve">189-196.</w:t>
      </w:r>
    </w:p>
  </w:footnote>
  <w:footnote w:type="normal" w:id="2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Le Mercure de France</w:t>
      </w:r>
      <w:r>
        <w:rPr>
          <w:rStyle w:val="NotedebasdepageCar"/>
          <w:rFonts w:ascii="Garamond" w:hAnsi="Garamond"/>
        </w:rPr>
        <w:t xml:space="preserve">, sept.</w:t>
      </w:r>
      <w:r>
        <w:rPr>
          <w:rStyle w:val="NotedebasdepageCar"/>
          <w:rFonts w:ascii="Garamond" w:hAnsi="Garamond"/>
        </w:rPr>
        <w:t xml:space="preserve"> </w:t>
      </w:r>
      <w:r>
        <w:rPr>
          <w:rStyle w:val="NotedebasdepageCar"/>
          <w:rFonts w:ascii="Garamond" w:hAnsi="Garamond"/>
        </w:rPr>
        <w:t xml:space="preserve">1769, p.</w:t>
      </w:r>
      <w:r>
        <w:rPr>
          <w:rStyle w:val="NotedebasdepageCar"/>
          <w:rFonts w:ascii="Garamond" w:hAnsi="Garamond"/>
        </w:rPr>
        <w:t xml:space="preserve"> </w:t>
      </w:r>
      <w:r>
        <w:rPr>
          <w:rStyle w:val="NotedebasdepageCar"/>
          <w:rFonts w:ascii="Garamond" w:hAnsi="Garamond"/>
        </w:rPr>
        <w:t xml:space="preserve">166 ; cité par Marc Escola, </w:t>
      </w:r>
      <w:r>
        <w:rPr>
          <w:rStyle w:val="NotedebasdepageCar"/>
          <w:rFonts w:ascii="Garamond" w:hAnsi="Garamond"/>
          <w:i/>
        </w:rPr>
        <w:t xml:space="preserve">op. cit.</w:t>
      </w:r>
      <w:r>
        <w:rPr>
          <w:rStyle w:val="NotedebasdepageCar"/>
          <w:rFonts w:ascii="Garamond" w:hAnsi="Garamond"/>
        </w:rPr>
        <w:t xml:space="preserve">, p.</w:t>
      </w:r>
      <w:r>
        <w:rPr>
          <w:rStyle w:val="NotedebasdepageCar"/>
          <w:rFonts w:ascii="Garamond" w:hAnsi="Garamond"/>
        </w:rPr>
        <w:t xml:space="preserve"> </w:t>
      </w:r>
      <w:r>
        <w:rPr>
          <w:rStyle w:val="NotedebasdepageCar"/>
          <w:rFonts w:ascii="Garamond" w:hAnsi="Garamond"/>
        </w:rPr>
        <w:t xml:space="preserve">193.</w:t>
      </w:r>
    </w:p>
  </w:footnote>
  <w:footnote w:type="normal" w:id="2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Chaque ligne représente un personnage, chaque colonne, une scène. Les scènes sont groupées par acte. Celles entre lesquelles un entracte s’intercale sont distinguées par une bordure double ; celles qui sont liées par une liaison de perception, par une bordure pointillée. Chaque case est blanche si le personnage en question est absent dans la scène en question, gris s’il est présent (qu’il soit muet ou non). Les cases noires mettent en valeur la présence du personnage qui domine l’acte.</w:t>
      </w:r>
    </w:p>
  </w:footnote>
  <w:footnote w:type="normal" w:id="2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notamment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éd. Marc Escola, Paris, Flammarion, coll. « GF », 1998, p. 44-55.</w:t>
      </w:r>
    </w:p>
  </w:footnote>
  <w:footnote w:type="normal" w:id="3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J’emprunte cette notion (au sens d’« ensemble des personnages qui sont présents sur le plateau à un moment donné ») à Manfred Pfister. (1977). </w:t>
      </w:r>
      <w:r>
        <w:rPr>
          <w:rStyle w:val="NotedebasdepageCar"/>
          <w:rFonts w:ascii="Garamond" w:hAnsi="Garamond"/>
          <w:i/>
        </w:rPr>
        <w:t xml:space="preserve">Das Drama. Theorie und Analyse</w:t>
      </w:r>
      <w:r>
        <w:rPr>
          <w:rStyle w:val="NotedebasdepageCar"/>
          <w:rFonts w:ascii="Garamond" w:hAnsi="Garamond"/>
        </w:rPr>
        <w:t xml:space="preserve">. Münich : Wilhelm Fink, coll. « UTB », p. 235.</w:t>
      </w:r>
    </w:p>
  </w:footnote>
  <w:footnote w:type="normal" w:id="3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Dans leurs appartements, ou plutôt leurs tentes, puisqu’il s’agit d’un camp. Mais la différence n’a pas d’importance ici. Achille dit ainsi à Clytemnestre : « Dans votre appartement allez vous reposer. » (Racine, </w:t>
      </w:r>
      <w:r>
        <w:rPr>
          <w:rStyle w:val="NotedebasdepageCar"/>
          <w:rFonts w:ascii="Garamond" w:hAnsi="Garamond"/>
          <w:i/>
        </w:rPr>
        <w:t xml:space="preserve">Iphigénie</w:t>
      </w:r>
      <w:r>
        <w:rPr>
          <w:rStyle w:val="NotedebasdepageCar"/>
          <w:rFonts w:ascii="Garamond" w:hAnsi="Garamond"/>
        </w:rPr>
        <w:t xml:space="preserve"> [1675], éd. Georges Forestier, dans </w:t>
      </w:r>
      <w:r>
        <w:rPr>
          <w:rStyle w:val="NotedebasdepageCar"/>
          <w:rFonts w:ascii="Garamond" w:hAnsi="Garamond"/>
          <w:i/>
        </w:rPr>
        <w:t xml:space="preserve">Théâtre – Poésie</w:t>
      </w:r>
      <w:r>
        <w:rPr>
          <w:rStyle w:val="NotedebasdepageCar"/>
          <w:rFonts w:ascii="Garamond" w:hAnsi="Garamond"/>
        </w:rPr>
        <w:t xml:space="preserve">, Paris, Gallimard, coll. » Bibliothèque de la Pléiade », 1999, III, 7, v. 1080.)</w:t>
      </w:r>
    </w:p>
  </w:footnote>
  <w:footnote w:type="normal" w:id="3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Discours des trois unités, d’action, de jour, et de lieu » [1660], éd. Marc Escola et Bénédicte Louvat, dans </w:t>
      </w:r>
      <w:r>
        <w:rPr>
          <w:rStyle w:val="NotedebasdepageCar"/>
          <w:rFonts w:ascii="Garamond" w:hAnsi="Garamond"/>
          <w:i/>
        </w:rPr>
        <w:t xml:space="preserve">Trois discours sur le poème dramatique</w:t>
      </w:r>
      <w:r>
        <w:rPr>
          <w:rStyle w:val="NotedebasdepageCar"/>
          <w:rFonts w:ascii="Garamond" w:hAnsi="Garamond"/>
        </w:rPr>
        <w:t xml:space="preserve">, Paris, Flammarion, coll. « GF », 1999, p. 149. Sur l’analyse de ce passage, nous renvoyons à Jean-Yves Vialleton. (2004). </w:t>
      </w:r>
      <w:r>
        <w:rPr>
          <w:rStyle w:val="NotedebasdepageCar"/>
          <w:rFonts w:ascii="Garamond" w:hAnsi="Garamond"/>
          <w:i/>
        </w:rPr>
        <w:t xml:space="preserve">Poésie dramatique et prose du monde. Le comportement des personnages dans la tragédie en France au </w:t>
      </w:r>
      <w:r>
        <w:rPr>
          <w:rStyle w:val="NotedebasdepageCar"/>
          <w:rFonts w:ascii="Garamond" w:hAnsi="Garamond"/>
          <w:i/>
          <w:smallCaps w:val="true"/>
        </w:rPr>
        <w:t xml:space="preserve">xvii</w:t>
      </w:r>
      <w:r>
        <w:rPr>
          <w:rStyle w:val="NotedebasdepageCar"/>
          <w:rFonts w:ascii="Garamond" w:hAnsi="Garamond"/>
          <w:i/>
        </w:rPr>
        <w:t xml:space="preserve">e</w:t>
      </w:r>
      <w:r>
        <w:rPr>
          <w:rStyle w:val="NotedebasdepageCar"/>
          <w:rFonts w:ascii="Garamond" w:hAnsi="Garamond"/>
          <w:i/>
        </w:rPr>
        <w:t xml:space="preserve"> siècle</w:t>
      </w:r>
      <w:r>
        <w:rPr>
          <w:rStyle w:val="NotedebasdepageCar"/>
          <w:rFonts w:ascii="Garamond" w:hAnsi="Garamond"/>
        </w:rPr>
        <w:t xml:space="preserve">. Paris : Honoré Champion, coll. « Lumière classique </w:t>
      </w:r>
      <w:r>
        <w:rPr>
          <w:rStyle w:val="NotedebasdepageCar"/>
          <w:rFonts w:ascii="Garamond" w:hAnsi="Garamond"/>
        </w:rPr>
        <w:t xml:space="preserve">», p.</w:t>
      </w:r>
      <w:r>
        <w:rPr>
          <w:rStyle w:val="NotedebasdepageCar"/>
          <w:rFonts w:ascii="Garamond" w:hAnsi="Garamond"/>
        </w:rPr>
        <w:t xml:space="preserve"> </w:t>
      </w:r>
      <w:r>
        <w:rPr>
          <w:rStyle w:val="NotedebasdepageCar"/>
          <w:rFonts w:ascii="Garamond" w:hAnsi="Garamond"/>
        </w:rPr>
        <w:t xml:space="preserve">45.</w:t>
      </w:r>
    </w:p>
  </w:footnote>
  <w:footnote w:type="normal" w:id="3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Corneille, « Discours des trois unités », éd. cit., p. 149.</w:t>
      </w:r>
    </w:p>
  </w:footnote>
  <w:footnote w:type="normal" w:id="3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151. </w:t>
      </w:r>
    </w:p>
  </w:footnote>
  <w:footnote w:type="normal" w:id="3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149.</w:t>
      </w:r>
    </w:p>
  </w:footnote>
  <w:footnote w:type="normal" w:id="3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151.</w:t>
      </w:r>
    </w:p>
  </w:footnote>
  <w:footnote w:type="normal" w:id="3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cette question, voir Jean-Yves Vialleton, </w:t>
      </w:r>
      <w:r>
        <w:rPr>
          <w:rStyle w:val="NotedebasdepageCar"/>
          <w:rFonts w:ascii="Garamond" w:hAnsi="Garamond"/>
          <w:i/>
        </w:rPr>
        <w:t xml:space="preserve">Poésie dramatique et prose du monde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43-51.</w:t>
      </w:r>
    </w:p>
  </w:footnote>
  <w:footnote w:type="normal" w:id="3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C’est ce que l’on déduit de ces mots de Sillace : « Je l’ai vu par votre ordre, et voulu par avance / Pénétrer le secret de son indifférence. […] / Mais vous en jugerez quand il sera venu. » (Corneille, </w:t>
      </w:r>
      <w:r>
        <w:rPr>
          <w:rStyle w:val="NotedebasdepageCar"/>
          <w:rFonts w:ascii="Garamond" w:hAnsi="Garamond"/>
          <w:i/>
        </w:rPr>
        <w:t xml:space="preserve">Suréna, général des Parthes </w:t>
      </w:r>
      <w:r>
        <w:rPr>
          <w:rStyle w:val="NotedebasdepageCar"/>
          <w:rFonts w:ascii="Garamond" w:hAnsi="Garamond"/>
        </w:rPr>
        <w:t xml:space="preserve">[1675], éd. Georges Couton, dans </w:t>
      </w:r>
      <w:r>
        <w:rPr>
          <w:rStyle w:val="NotedebasdepageCar"/>
          <w:rFonts w:ascii="Garamond" w:hAnsi="Garamond"/>
          <w:i/>
        </w:rPr>
        <w:t xml:space="preserve">Œuvres complètes</w:t>
      </w:r>
      <w:r>
        <w:rPr>
          <w:rStyle w:val="NotedebasdepageCar"/>
          <w:rFonts w:ascii="Garamond" w:hAnsi="Garamond"/>
        </w:rPr>
        <w:t xml:space="preserve">, t. III, Paris, Gallimard, coll. » Bibliothèque de la Pléiade », 1987, III, 1, v. 693-696.)</w:t>
      </w:r>
    </w:p>
  </w:footnote>
  <w:footnote w:type="normal" w:id="3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Palmis vient par mon ordre. » (</w:t>
      </w:r>
      <w:r>
        <w:rPr>
          <w:rStyle w:val="NotedebasdepageCar"/>
          <w:rFonts w:ascii="Garamond" w:hAnsi="Garamond"/>
          <w:i/>
        </w:rPr>
        <w:t xml:space="preserve">Ibid.</w:t>
      </w:r>
      <w:r>
        <w:rPr>
          <w:rStyle w:val="NotedebasdepageCar"/>
          <w:rFonts w:ascii="Garamond" w:hAnsi="Garamond"/>
        </w:rPr>
        <w:t xml:space="preserve">, III, 2, v. 961.)</w:t>
      </w:r>
    </w:p>
  </w:footnote>
  <w:footnote w:type="normal" w:id="4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Pacorus : Quoi ? Madame, venir vous-même à ma rencontre ! […] – Eurydice : J’allais chercher Palmis » (</w:t>
      </w:r>
      <w:r>
        <w:rPr>
          <w:rStyle w:val="NotedebasdepageCar"/>
          <w:rFonts w:ascii="Garamond" w:hAnsi="Garamond"/>
          <w:i/>
        </w:rPr>
        <w:t xml:space="preserve">Ibid.</w:t>
      </w:r>
      <w:r>
        <w:rPr>
          <w:rStyle w:val="NotedebasdepageCar"/>
          <w:rFonts w:ascii="Garamond" w:hAnsi="Garamond"/>
        </w:rPr>
        <w:t xml:space="preserve">, II, 1, v. 453-455). Il s’agit d’un procédé fréquent, employé par Racine dans </w:t>
      </w:r>
      <w:r>
        <w:rPr>
          <w:rStyle w:val="NotedebasdepageCar"/>
          <w:rFonts w:ascii="Garamond" w:hAnsi="Garamond"/>
          <w:i/>
        </w:rPr>
        <w:t xml:space="preserve">Andromaque</w:t>
      </w:r>
      <w:r>
        <w:rPr>
          <w:rStyle w:val="NotedebasdepageCar"/>
          <w:rFonts w:ascii="Garamond" w:hAnsi="Garamond"/>
        </w:rPr>
        <w:t xml:space="preserve">, I, 4 et </w:t>
      </w:r>
      <w:r>
        <w:rPr>
          <w:rStyle w:val="NotedebasdepageCar"/>
          <w:rFonts w:ascii="Garamond" w:hAnsi="Garamond"/>
          <w:i/>
        </w:rPr>
        <w:t xml:space="preserve">Britannicus</w:t>
      </w:r>
      <w:r>
        <w:rPr>
          <w:rStyle w:val="NotedebasdepageCar"/>
          <w:rFonts w:ascii="Garamond" w:hAnsi="Garamond"/>
        </w:rPr>
        <w:t xml:space="preserve">, II, 3 et par Corneille dans </w:t>
      </w:r>
      <w:r>
        <w:rPr>
          <w:rStyle w:val="NotedebasdepageCar"/>
          <w:rFonts w:ascii="Garamond" w:hAnsi="Garamond"/>
          <w:i/>
        </w:rPr>
        <w:t xml:space="preserve">Don Sanche</w:t>
      </w:r>
      <w:r>
        <w:rPr>
          <w:rStyle w:val="NotedebasdepageCar"/>
          <w:rFonts w:ascii="Garamond" w:hAnsi="Garamond"/>
        </w:rPr>
        <w:t xml:space="preserve">, II, 4.</w:t>
      </w:r>
    </w:p>
  </w:footnote>
  <w:footnote w:type="normal" w:id="4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Corneille, </w:t>
      </w:r>
      <w:r>
        <w:rPr>
          <w:rStyle w:val="NotedebasdepageCar"/>
          <w:rFonts w:ascii="Garamond" w:hAnsi="Garamond"/>
          <w:i/>
        </w:rPr>
        <w:t xml:space="preserve">Suréna</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IV, 3, v. 1267-1268.</w:t>
      </w:r>
    </w:p>
  </w:footnote>
  <w:footnote w:type="normal" w:id="4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Seigneur, où courez-vous ? »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II, 2, v. 531.)</w:t>
      </w:r>
    </w:p>
  </w:footnote>
  <w:footnote w:type="normal" w:id="4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Que faites-vous, Madame ? Et d’où vient que ces lieux / N’offrent point avec vous votre fille à mes yeux ? » (</w:t>
      </w:r>
      <w:r>
        <w:rPr>
          <w:rStyle w:val="NotedebasdepageCar"/>
          <w:rFonts w:ascii="Garamond" w:hAnsi="Garamond"/>
          <w:i/>
        </w:rPr>
        <w:t xml:space="preserve">Ibid.</w:t>
      </w:r>
      <w:r>
        <w:rPr>
          <w:rStyle w:val="NotedebasdepageCar"/>
          <w:rFonts w:ascii="Garamond" w:hAnsi="Garamond"/>
        </w:rPr>
        <w:t xml:space="preserve">, IV, 3, v. 1155.)</w:t>
      </w:r>
    </w:p>
  </w:footnote>
  <w:footnote w:type="normal" w:id="4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Mémoire de plusieurs décorations qui servent aux pièces contenues en ce présent livre, commencé par Laurent Mahelot et continué par Michel Laurent en l’année 1673</w:t>
      </w:r>
      <w:r>
        <w:rPr>
          <w:rStyle w:val="NotedebasdepageCar"/>
          <w:rFonts w:ascii="Garamond" w:hAnsi="Garamond"/>
        </w:rPr>
        <w:t xml:space="preserve"> [manuscrit], éd. Pierre Pasquier, Paris, Honoré Champion, coll. « Sources classiques », 2005, p. 329.</w:t>
      </w:r>
    </w:p>
  </w:footnote>
  <w:footnote w:type="normal" w:id="4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Roger W. Herzel. (1993). « Laurent and the “Palais à volonté” ». </w:t>
      </w:r>
      <w:r>
        <w:rPr>
          <w:rStyle w:val="NotedebasdepageCar"/>
          <w:rFonts w:ascii="Garamond" w:hAnsi="Garamond"/>
          <w:i/>
        </w:rPr>
        <w:t xml:space="preserve">Publications of the Modern Language Association in America</w:t>
      </w:r>
      <w:r>
        <w:rPr>
          <w:rStyle w:val="NotedebasdepageCar"/>
          <w:rFonts w:ascii="Garamond" w:hAnsi="Garamond"/>
        </w:rPr>
        <w:t xml:space="preserve">, vol. CVIII, n</w:t>
      </w:r>
      <w:r>
        <w:rPr>
          <w:rStyle w:val="NotedebasdepageCar"/>
          <w:rFonts w:ascii="Garamond" w:hAnsi="Garamond"/>
        </w:rPr>
        <w:t xml:space="preserve">o</w:t>
      </w:r>
      <w:r>
        <w:rPr>
          <w:rStyle w:val="NotedebasdepageCar"/>
          <w:rFonts w:ascii="Garamond" w:hAnsi="Garamond"/>
        </w:rPr>
        <w:t xml:space="preserve"> 5, p. 1064-1082, qui étudie la construction du lieu dans le texte de Racine tout en formulant des hypothèses concernant la scénographie d’origine.</w:t>
      </w:r>
    </w:p>
  </w:footnote>
  <w:footnote w:type="normal" w:id="4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 me permets de renvoyer ici au chapitre que je consacre à cette question dans Marc Douguet. (2022). </w:t>
      </w:r>
      <w:r>
        <w:rPr>
          <w:rStyle w:val="NotedebasdepageCar"/>
          <w:rFonts w:ascii="Garamond" w:hAnsi="Garamond"/>
          <w:i/>
        </w:rPr>
        <w:t xml:space="preserve">Composition dramatique et liaison des scènes dans le théâtre français du </w:t>
      </w:r>
      <w:r>
        <w:rPr>
          <w:rStyle w:val="NotedebasdepageCar"/>
          <w:rFonts w:ascii="Garamond" w:hAnsi="Garamond"/>
          <w:i/>
          <w:smallCaps w:val="true"/>
        </w:rPr>
        <w:t xml:space="preserve">xvii</w:t>
      </w:r>
      <w:r>
        <w:rPr>
          <w:rStyle w:val="NotedebasdepageCar"/>
          <w:rFonts w:ascii="Garamond" w:hAnsi="Garamond"/>
          <w:i/>
        </w:rPr>
        <w:t xml:space="preserve">e</w:t>
      </w:r>
      <w:r>
        <w:rPr>
          <w:rStyle w:val="NotedebasdepageCar"/>
          <w:rFonts w:ascii="Garamond" w:hAnsi="Garamond"/>
          <w:i/>
        </w:rPr>
        <w:t xml:space="preserve"> siècle</w:t>
      </w:r>
      <w:r>
        <w:rPr>
          <w:rStyle w:val="NotedebasdepageCar"/>
          <w:rFonts w:ascii="Garamond" w:hAnsi="Garamond"/>
        </w:rPr>
        <w:t xml:space="preserve">. Genève : Droz, coll. « Travaux du Grand Siècle », p. 241-282.</w:t>
      </w:r>
    </w:p>
  </w:footnote>
  <w:footnote w:type="normal" w:id="4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II, 3, v. 579.</w:t>
      </w:r>
    </w:p>
  </w:footnote>
  <w:footnote w:type="normal" w:id="4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III, 1, v. 777.</w:t>
      </w:r>
    </w:p>
  </w:footnote>
  <w:footnote w:type="normal" w:id="4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III, 2, v. 819-820.</w:t>
      </w:r>
    </w:p>
  </w:footnote>
  <w:footnote w:type="normal" w:id="5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 7, v. 755.</w:t>
      </w:r>
    </w:p>
  </w:footnote>
  <w:footnote w:type="normal" w:id="5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Corneille, </w:t>
      </w:r>
      <w:r>
        <w:rPr>
          <w:rStyle w:val="NotedebasdepageCar"/>
          <w:rFonts w:ascii="Garamond" w:hAnsi="Garamond"/>
          <w:i/>
        </w:rPr>
        <w:t xml:space="preserve">Suréna</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III, 1, v. 693-694.</w:t>
      </w:r>
    </w:p>
  </w:footnote>
  <w:footnote w:type="normal" w:id="5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III, 3, v. 1055-1056.</w:t>
      </w:r>
    </w:p>
  </w:footnote>
  <w:footnote w:type="normal" w:id="5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1, v. 1382.</w:t>
      </w:r>
    </w:p>
  </w:footnote>
  <w:footnote w:type="normal" w:id="5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Ou d’Ériphile, qui est présente dans un plus grand nombre de scènes, et que l’on pourra considérer comme le véritable personnage focal de cet acte pourvu que l’on fasse abstraction de la position à la fois marginale et changeante qu’elle occupe dans l’action.</w:t>
      </w:r>
    </w:p>
  </w:footnote>
  <w:footnote w:type="normal" w:id="5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Euripide mettait en œuvre une composition toute différente. Le deuxième épisode de sa tragédie est constitué d’une unique confrontation entre Agamemnon, Clytemnestre et Iphigénie (répliques à double sens d’Agamemnon, ordre donné à Clytemnestre de ne pas s’approcher de l’autel), précédée d’un dialogue entre Clytemnestre et le coryphée, et suivie d’un bref monologue de lamentation et de résignation prononcé par Agamemnon : l’attention du public est donc partagée entre les deux pôles de l’action. Dans l’</w:t>
      </w:r>
      <w:r>
        <w:rPr>
          <w:rStyle w:val="NotedebasdepageCar"/>
          <w:rFonts w:ascii="Garamond" w:hAnsi="Garamond"/>
          <w:i/>
        </w:rPr>
        <w:t xml:space="preserve">Iphigénie</w:t>
      </w:r>
      <w:r>
        <w:rPr>
          <w:rStyle w:val="NotedebasdepageCar"/>
          <w:rFonts w:ascii="Garamond" w:hAnsi="Garamond"/>
        </w:rPr>
        <w:t xml:space="preserve"> rivale de Leclerc et Coras (créée en 1675), l’acte II est dominé par la présence de Ménélas, et l’acte III concentre toute la matière que Racine a distribuée entre les actes II et III : c’est Clytemnestre qui est le personnage focal et qui (accompagnée, au début, par sa fille) rencontre successivement Agamemnon, puis Achille (qui apprend avec étonnement le projet de mariage), puis enfin Oronte.</w:t>
      </w:r>
    </w:p>
  </w:footnote>
  <w:footnote w:type="normal" w:id="5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À l’acte III, l’entrée d’Iphigénie et d’Ériphile (III, 4) introduit une altération dans ce schéma. Clytemnestre s’efface : ce n’est pas elle qu’Iphigénie et Ériphile viennent voir, mais Achille. Cette scène témoigne des difficultés d’intégration de l’épisode d’Ériphile à l’action principale tout en constituant un prétexte dramaturgique pour qu’Iphigénie, Ériphile, Clytemnestre et Achille soient réunis au moment où Arcas vient chercher Iphigénie. </w:t>
      </w:r>
    </w:p>
  </w:footnote>
  <w:footnote w:type="normal" w:id="5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On voit que la répartition entre les deux groupes de personnages est assez similaire dans </w:t>
      </w:r>
      <w:r>
        <w:rPr>
          <w:rStyle w:val="NotedebasdepageCar"/>
          <w:rFonts w:ascii="Garamond" w:hAnsi="Garamond"/>
          <w:i/>
        </w:rPr>
        <w:t xml:space="preserve">Iphigénie</w:t>
      </w:r>
      <w:r>
        <w:rPr>
          <w:rStyle w:val="NotedebasdepageCar"/>
          <w:rFonts w:ascii="Garamond" w:hAnsi="Garamond"/>
        </w:rPr>
        <w:t xml:space="preserve"> et dans </w:t>
      </w:r>
      <w:r>
        <w:rPr>
          <w:rStyle w:val="NotedebasdepageCar"/>
          <w:rFonts w:ascii="Garamond" w:hAnsi="Garamond"/>
          <w:i/>
        </w:rPr>
        <w:t xml:space="preserve">Suréna</w:t>
      </w:r>
      <w:r>
        <w:rPr>
          <w:rStyle w:val="NotedebasdepageCar"/>
          <w:rFonts w:ascii="Garamond" w:hAnsi="Garamond"/>
        </w:rPr>
        <w:t xml:space="preserve">, puisqu’Agamemnon et Eurydice (en gras dans le tableau 3) sont les personnages focaux des actes I et IV, tandis que, dans les deux pièces, les actes II et III sont chacun occupés par deux autres personnages qui essaient d’interpréter leur comportement. Il serait intéressant d’étudier si cette « scansion » se retrouve dans d’autres pièces.</w:t>
      </w:r>
    </w:p>
  </w:footnote>
  <w:footnote w:type="normal" w:id="5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Euripide donne une place beaucoup moins centrale au personnage : c’est Clytemnestre qui est le personnage focal du quatrième épisode et qui, accompagnée d’Iphigénie,  rencontre successivement Agamemnon puis Achille (« Clytemnestre/Clytemnestre-Agamemnon/Clytemnestre-Agamemnon-Iphigénie/Clytemnestre-Iphigénie/Clytemnestre-Iphigénie-Achille/Clytemnestre-Iphigénie »). La composition dramatique est ici contrainte par le nombre de comédiens, limité, du temps d’Euripide, à trois : ces deux personnages étaient donc joués par le même comédien.  Leclerc et Coras en font de même, mais Iphigénie précède sa mère sur le plateau.</w:t>
      </w:r>
    </w:p>
  </w:footnote>
  <w:footnote w:type="normal" w:id="5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IV, 2, v. 1126.</w:t>
      </w:r>
    </w:p>
  </w:footnote>
  <w:footnote w:type="normal" w:id="6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IV, 3, v. 1230-1231.</w:t>
      </w:r>
    </w:p>
  </w:footnote>
  <w:footnote w:type="normal" w:id="6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1, v. 1497.</w:t>
      </w:r>
    </w:p>
  </w:footnote>
  <w:footnote w:type="normal" w:id="6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4, v. 1681-1682.</w:t>
      </w:r>
    </w:p>
  </w:footnote>
  <w:footnote w:type="normal" w:id="6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Inst. orat</w:t>
      </w:r>
      <w:r>
        <w:rPr>
          <w:rStyle w:val="NotedebasdepageCar"/>
          <w:rFonts w:ascii="Garamond" w:hAnsi="Garamond"/>
        </w:rPr>
        <w:t xml:space="preserve">., X, I, 26, dans </w:t>
      </w:r>
      <w:r>
        <w:rPr>
          <w:rStyle w:val="NotedebasdepageCar"/>
          <w:rFonts w:ascii="Garamond" w:hAnsi="Garamond"/>
        </w:rPr>
        <w:t xml:space="preserve">Jean </w:t>
      </w:r>
      <w:r>
        <w:rPr>
          <w:rStyle w:val="NotedebasdepageCar"/>
          <w:rFonts w:ascii="Garamond" w:hAnsi="Garamond"/>
        </w:rPr>
        <w:t xml:space="preserve">Racine, </w:t>
      </w:r>
      <w:r>
        <w:rPr>
          <w:rStyle w:val="NotedebasdepageCar"/>
          <w:rFonts w:ascii="Garamond" w:hAnsi="Garamond"/>
          <w:i/>
        </w:rPr>
        <w:t xml:space="preserve">Œuvres </w:t>
      </w:r>
      <w:r>
        <w:rPr>
          <w:rStyle w:val="NotedebasdepageCar"/>
          <w:rFonts w:ascii="Garamond" w:hAnsi="Garamond"/>
          <w:i/>
        </w:rPr>
        <w:t xml:space="preserve">complètes</w:t>
      </w:r>
      <w:r>
        <w:rPr>
          <w:rStyle w:val="NotedebasdepageCar"/>
          <w:rFonts w:ascii="Garamond" w:hAnsi="Garamond"/>
        </w:rPr>
        <w:t xml:space="preserve">, éd. </w:t>
      </w:r>
      <w:r>
        <w:rPr>
          <w:rStyle w:val="NotedebasdepageCar"/>
          <w:rFonts w:ascii="Garamond" w:hAnsi="Garamond"/>
        </w:rPr>
        <w:t xml:space="preserve">G</w:t>
      </w:r>
      <w:r>
        <w:rPr>
          <w:rStyle w:val="NotedebasdepageCar"/>
          <w:rFonts w:ascii="Garamond" w:hAnsi="Garamond"/>
        </w:rPr>
        <w:t xml:space="preserve">eorges</w:t>
      </w:r>
      <w:r>
        <w:rPr>
          <w:rStyle w:val="NotedebasdepageCar"/>
          <w:rFonts w:ascii="Garamond" w:hAnsi="Garamond"/>
        </w:rPr>
        <w:t xml:space="preserve"> </w:t>
      </w:r>
      <w:r>
        <w:rPr>
          <w:rStyle w:val="NotedebasdepageCar"/>
          <w:rFonts w:ascii="Garamond" w:hAnsi="Garamond"/>
        </w:rPr>
        <w:t xml:space="preserve">Forestier, Paris, Gallimard, « Bibliothèque de la Pléiade », 1999, Préface, p. 701. Dès 1676, </w:t>
      </w:r>
      <w:r>
        <w:rPr>
          <w:rStyle w:val="NotedebasdepageCar"/>
          <w:rFonts w:ascii="Garamond" w:hAnsi="Garamond"/>
          <w:i/>
        </w:rPr>
        <w:t xml:space="preserve">condamnant</w:t>
      </w:r>
      <w:r>
        <w:rPr>
          <w:rStyle w:val="NotedebasdepageCar"/>
          <w:rFonts w:ascii="Garamond" w:hAnsi="Garamond"/>
        </w:rPr>
        <w:t xml:space="preserve"> est remplacé par </w:t>
      </w:r>
      <w:r>
        <w:rPr>
          <w:rStyle w:val="NotedebasdepageCar"/>
          <w:rFonts w:ascii="Garamond" w:hAnsi="Garamond"/>
          <w:i/>
        </w:rPr>
        <w:t xml:space="preserve">blâmant</w:t>
      </w:r>
      <w:r>
        <w:rPr>
          <w:rStyle w:val="NotedebasdepageCar"/>
          <w:rFonts w:ascii="Garamond" w:hAnsi="Garamond"/>
        </w:rPr>
        <w:t xml:space="preserve">.</w:t>
      </w:r>
    </w:p>
  </w:footnote>
  <w:footnote w:type="normal" w:id="6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Gerardi Joannis </w:t>
      </w:r>
      <w:r>
        <w:rPr>
          <w:rStyle w:val="NotedebasdepageCar"/>
          <w:rFonts w:ascii="Garamond" w:hAnsi="Garamond"/>
        </w:rPr>
        <w:t xml:space="preserve">Vossii,</w:t>
      </w:r>
      <w:r>
        <w:rPr>
          <w:rStyle w:val="NotedebasdepageCar"/>
          <w:rFonts w:ascii="Garamond" w:hAnsi="Garamond"/>
        </w:rPr>
        <w:t xml:space="preserve"> </w:t>
      </w:r>
      <w:r>
        <w:rPr>
          <w:rStyle w:val="NotedebasdepageCar"/>
          <w:rFonts w:ascii="Garamond" w:hAnsi="Garamond"/>
          <w:i/>
        </w:rPr>
        <w:t xml:space="preserve">Poeticarum institutionum libri tres</w:t>
      </w:r>
      <w:r>
        <w:rPr>
          <w:rStyle w:val="NotedebasdepageCar"/>
          <w:rFonts w:ascii="Garamond" w:hAnsi="Garamond"/>
        </w:rPr>
        <w:t xml:space="preserve">, Amstelodami, Apud Ludovicum Elzevirium, 1647, p. 16 ; voir Vossius, </w:t>
      </w:r>
      <w:r>
        <w:rPr>
          <w:rStyle w:val="NotedebasdepageCar"/>
          <w:rFonts w:ascii="Garamond" w:hAnsi="Garamond"/>
          <w:i/>
        </w:rPr>
        <w:t xml:space="preserve">Institutes of Poetics in Three Books</w:t>
      </w:r>
      <w:r>
        <w:rPr>
          <w:rStyle w:val="NotedebasdepageCar"/>
          <w:rFonts w:ascii="Garamond" w:hAnsi="Garamond"/>
        </w:rPr>
        <w:t xml:space="preserve">, ed. Jan Bloemendal, Edwin Rabbie, Leiden / Boston, Brill, 2010, vol. 2, « De imitatione », 4, § 6, p. 1996.</w:t>
      </w:r>
    </w:p>
  </w:footnote>
  <w:footnote w:type="normal" w:id="6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Francisci </w:t>
      </w:r>
      <w:r>
        <w:rPr>
          <w:rStyle w:val="NotedebasdepageCar"/>
          <w:rFonts w:ascii="Garamond" w:hAnsi="Garamond"/>
        </w:rPr>
        <w:t xml:space="preserve">Vavassoris, </w:t>
      </w:r>
      <w:r>
        <w:rPr>
          <w:rStyle w:val="NotedebasdepageCar"/>
          <w:rFonts w:ascii="Garamond" w:hAnsi="Garamond"/>
          <w:i/>
        </w:rPr>
        <w:t xml:space="preserve">De Epigrammate liber et Epigrammatum libri tres</w:t>
      </w:r>
      <w:r>
        <w:rPr>
          <w:rStyle w:val="NotedebasdepageCar"/>
          <w:rFonts w:ascii="Garamond" w:hAnsi="Garamond"/>
        </w:rPr>
        <w:t xml:space="preserve">, Parisiis, Ex typographia Edmundi Martini, 1669, p. 144.</w:t>
      </w:r>
    </w:p>
  </w:footnote>
  <w:footnote w:type="normal" w:id="6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la symétrie de la comparaison des deux orateurs chez Plutarque, voir Thomas Schmidt, « Un parallélisme presque parfait : la </w:t>
      </w:r>
      <w:r>
        <w:rPr>
          <w:rStyle w:val="NotedebasdepageCar"/>
          <w:rFonts w:ascii="Garamond" w:hAnsi="Garamond"/>
          <w:i/>
        </w:rPr>
        <w:t xml:space="preserve">σύγκρισις</w:t>
      </w:r>
      <w:r>
        <w:rPr>
          <w:rStyle w:val="NotedebasdepageCar"/>
          <w:rFonts w:ascii="Garamond" w:hAnsi="Garamond"/>
        </w:rPr>
        <w:t xml:space="preserve"> des </w:t>
      </w:r>
      <w:r>
        <w:rPr>
          <w:rStyle w:val="NotedebasdepageCar"/>
          <w:rFonts w:ascii="Garamond" w:hAnsi="Garamond"/>
          <w:i/>
        </w:rPr>
        <w:t xml:space="preserve">Vies de Démosthène et de Cicéron </w:t>
      </w:r>
      <w:r>
        <w:rPr>
          <w:rStyle w:val="NotedebasdepageCar"/>
          <w:rFonts w:ascii="Garamond" w:hAnsi="Garamond"/>
        </w:rPr>
        <w:t xml:space="preserve">de Plutarque », </w:t>
      </w:r>
      <w:r>
        <w:rPr>
          <w:rStyle w:val="NotedebasdepageCar"/>
          <w:rFonts w:ascii="Garamond" w:hAnsi="Garamond"/>
          <w:i/>
        </w:rPr>
        <w:t xml:space="preserve">Exercices de rhétorique</w:t>
      </w:r>
      <w:r>
        <w:rPr>
          <w:rStyle w:val="NotedebasdepageCar"/>
          <w:rFonts w:ascii="Garamond" w:hAnsi="Garamond"/>
        </w:rPr>
        <w:t xml:space="preserve">, 16, 2021, </w:t>
      </w:r>
      <w:r>
        <w:rPr>
          <w:rStyle w:val="NotedebasdepageCar"/>
          <w:rFonts w:ascii="Garamond" w:hAnsi="Garamond"/>
        </w:rPr>
        <w:t xml:space="preserve">http://journals.openedition.org/rhetorique/1125</w:t>
      </w:r>
      <w:r>
        <w:rPr>
          <w:rStyle w:val="NotedebasdepageCar"/>
          <w:rFonts w:ascii="Garamond" w:hAnsi="Garamond"/>
        </w:rPr>
        <w:t xml:space="preserve"> ; sur les enjeux de celle de Rapin, voir notre ouvrage, </w:t>
      </w:r>
      <w:r>
        <w:rPr>
          <w:rStyle w:val="NotedebasdepageCar"/>
          <w:rFonts w:ascii="Garamond" w:hAnsi="Garamond"/>
          <w:i/>
        </w:rPr>
        <w:t xml:space="preserve">L’Assemblée du monde. Rhétorique et philosophie dans la pensée de René Rapin</w:t>
      </w:r>
      <w:r>
        <w:rPr>
          <w:rStyle w:val="NotedebasdepageCar"/>
          <w:rFonts w:ascii="Garamond" w:hAnsi="Garamond"/>
        </w:rPr>
        <w:t xml:space="preserve">, Paris, </w:t>
      </w:r>
      <w:r>
        <w:rPr>
          <w:rStyle w:val="NotedebasdepageCar"/>
          <w:rFonts w:ascii="Garamond" w:hAnsi="Garamond"/>
        </w:rPr>
        <w:t xml:space="preserve">H</w:t>
      </w:r>
      <w:r>
        <w:rPr>
          <w:rStyle w:val="NotedebasdepageCar"/>
          <w:rFonts w:ascii="Garamond" w:hAnsi="Garamond"/>
        </w:rPr>
        <w:t xml:space="preserve">onoré</w:t>
      </w:r>
      <w:r>
        <w:rPr>
          <w:rStyle w:val="NotedebasdepageCar"/>
          <w:rFonts w:ascii="Garamond" w:hAnsi="Garamond"/>
        </w:rPr>
        <w:t xml:space="preserve"> </w:t>
      </w:r>
      <w:r>
        <w:rPr>
          <w:rStyle w:val="NotedebasdepageCar"/>
          <w:rFonts w:ascii="Garamond" w:hAnsi="Garamond"/>
        </w:rPr>
        <w:t xml:space="preserve">Champion, 2015, p. 219-302.</w:t>
      </w:r>
    </w:p>
  </w:footnote>
  <w:footnote w:type="normal" w:id="6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René</w:t>
      </w:r>
      <w:r>
        <w:rPr>
          <w:rStyle w:val="NotedebasdepageCar"/>
          <w:rFonts w:ascii="Garamond" w:hAnsi="Garamond"/>
        </w:rPr>
        <w:t xml:space="preserve"> </w:t>
      </w:r>
      <w:r>
        <w:rPr>
          <w:rStyle w:val="NotedebasdepageCar"/>
          <w:rFonts w:ascii="Garamond" w:hAnsi="Garamond"/>
        </w:rPr>
        <w:t xml:space="preserve">Rapin</w:t>
      </w:r>
      <w:r>
        <w:rPr>
          <w:rStyle w:val="NotedebasdepageCar"/>
          <w:rFonts w:ascii="Garamond" w:hAnsi="Garamond"/>
        </w:rPr>
        <w:t xml:space="preserve">, </w:t>
      </w:r>
      <w:r>
        <w:rPr>
          <w:rStyle w:val="NotedebasdepageCar"/>
          <w:rFonts w:ascii="Garamond" w:hAnsi="Garamond"/>
          <w:i/>
        </w:rPr>
        <w:t xml:space="preserve">Discours sur la comparaison de Démosthène et de Cicéron</w:t>
      </w:r>
      <w:r>
        <w:rPr>
          <w:rStyle w:val="NotedebasdepageCar"/>
          <w:rFonts w:ascii="Garamond" w:hAnsi="Garamond"/>
        </w:rPr>
        <w:t xml:space="preserve">, Paris, Denys Thierry, 1670, « Avertissement », p. [ã 8 v°]-ẽ. L’orthographe est modernisée dans toutes les citations.</w:t>
      </w:r>
    </w:p>
  </w:footnote>
  <w:footnote w:type="normal" w:id="6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rPr>
        <w:t xml:space="preserve">Jérôme Lecompte</w:t>
      </w:r>
      <w:r>
        <w:rPr>
          <w:rStyle w:val="NotedebasdepageCar"/>
          <w:rFonts w:ascii="Garamond" w:hAnsi="Garamond"/>
        </w:rPr>
        <w:t xml:space="preserve">, « Grandeur et misère de la dignité. Les réflexions morales du Président Lamoignon », </w:t>
      </w:r>
      <w:r>
        <w:rPr>
          <w:rStyle w:val="NotedebasdepageCar"/>
          <w:rFonts w:ascii="Garamond" w:hAnsi="Garamond"/>
        </w:rPr>
        <w:t xml:space="preserve">dans Gilles Declercq et Stella Spriet (dir.), </w:t>
      </w:r>
      <w:r>
        <w:rPr>
          <w:rStyle w:val="NotedebasdepageCar"/>
          <w:rFonts w:ascii="Garamond" w:hAnsi="Garamond"/>
          <w:i/>
        </w:rPr>
        <w:t xml:space="preserve">Le Spectaculaire et la contemplation</w:t>
      </w:r>
      <w:r>
        <w:rPr>
          <w:rStyle w:val="NotedebasdepageCar"/>
          <w:rFonts w:ascii="Garamond" w:hAnsi="Garamond"/>
        </w:rPr>
        <w:t xml:space="preserve">, </w:t>
      </w:r>
      <w:r>
        <w:rPr>
          <w:rStyle w:val="NotedebasdepageCar"/>
          <w:rFonts w:ascii="Garamond" w:hAnsi="Garamond"/>
        </w:rPr>
        <w:t xml:space="preserve">Paris, </w:t>
      </w:r>
      <w:r>
        <w:rPr>
          <w:rStyle w:val="NotedebasdepageCar"/>
          <w:rFonts w:ascii="Garamond" w:hAnsi="Garamond"/>
        </w:rPr>
        <w:t xml:space="preserve">Classiques Garnier</w:t>
      </w:r>
      <w:r>
        <w:rPr>
          <w:rStyle w:val="NotedebasdepageCar"/>
          <w:rFonts w:ascii="Garamond" w:hAnsi="Garamond"/>
        </w:rPr>
        <w:t xml:space="preserve">, à paraître.</w:t>
      </w:r>
    </w:p>
  </w:footnote>
  <w:footnote w:type="normal" w:id="6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rPr>
        <w:t xml:space="preserve">not. Boilea</w:t>
      </w:r>
      <w:r>
        <w:rPr>
          <w:rStyle w:val="NotedebasdepageCar"/>
          <w:rFonts w:ascii="Garamond" w:hAnsi="Garamond"/>
        </w:rPr>
        <w:t xml:space="preserve">u</w:t>
      </w:r>
      <w:r>
        <w:rPr>
          <w:rStyle w:val="NotedebasdepageCar"/>
          <w:rFonts w:ascii="Garamond" w:hAnsi="Garamond"/>
        </w:rPr>
        <w:t xml:space="preserve">, </w:t>
      </w:r>
      <w:r>
        <w:rPr>
          <w:rStyle w:val="NotedebasdepageCar"/>
          <w:rFonts w:ascii="Garamond" w:hAnsi="Garamond"/>
        </w:rPr>
        <w:t xml:space="preserve">« Second avis au lecteur » du </w:t>
      </w:r>
      <w:r>
        <w:rPr>
          <w:rStyle w:val="NotedebasdepageCar"/>
          <w:rFonts w:ascii="Garamond" w:hAnsi="Garamond"/>
          <w:i/>
        </w:rPr>
        <w:t xml:space="preserve">Lutrin</w:t>
      </w:r>
      <w:r>
        <w:rPr>
          <w:rStyle w:val="NotedebasdepageCar"/>
          <w:rFonts w:ascii="Garamond" w:hAnsi="Garamond"/>
        </w:rPr>
        <w:t xml:space="preserve"> (1683) et Jacques Lebrun, « Le Père Pierre Lalemant et les débuts de l’Académie Lamoignon », </w:t>
      </w:r>
      <w:r>
        <w:rPr>
          <w:rStyle w:val="NotedebasdepageCar"/>
          <w:rFonts w:ascii="Garamond" w:hAnsi="Garamond"/>
          <w:i/>
        </w:rPr>
        <w:t xml:space="preserve">RHLF</w:t>
      </w:r>
      <w:r>
        <w:rPr>
          <w:rStyle w:val="NotedebasdepageCar"/>
          <w:rFonts w:ascii="Garamond" w:hAnsi="Garamond"/>
        </w:rPr>
        <w:t xml:space="preserve">, 61</w:t>
      </w:r>
      <w:r>
        <w:rPr>
          <w:rStyle w:val="NotedebasdepageCar"/>
          <w:rFonts w:ascii="Garamond" w:hAnsi="Garamond"/>
        </w:rPr>
        <w:t xml:space="preserve">e</w:t>
      </w:r>
      <w:r>
        <w:rPr>
          <w:rStyle w:val="NotedebasdepageCar"/>
          <w:rFonts w:ascii="Garamond" w:hAnsi="Garamond"/>
        </w:rPr>
        <w:t xml:space="preserve"> année, n° 2, 1961, p. 153-176.</w:t>
      </w:r>
    </w:p>
  </w:footnote>
  <w:footnote w:type="normal" w:id="7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Ren</w:t>
      </w:r>
      <w:r>
        <w:rPr>
          <w:rStyle w:val="NotedebasdepageCar"/>
          <w:rFonts w:ascii="Garamond" w:hAnsi="Garamond"/>
        </w:rPr>
        <w:t xml:space="preserve"> </w:t>
      </w:r>
      <w:r>
        <w:rPr>
          <w:rStyle w:val="NotedebasdepageCar"/>
          <w:rFonts w:ascii="Garamond" w:hAnsi="Garamond"/>
        </w:rPr>
        <w:t xml:space="preserve">Rapin</w:t>
      </w:r>
      <w:r>
        <w:rPr>
          <w:rStyle w:val="NotedebasdepageCar"/>
          <w:rFonts w:ascii="Garamond" w:hAnsi="Garamond"/>
        </w:rPr>
        <w:t xml:space="preserve">, </w:t>
      </w:r>
      <w:r>
        <w:rPr>
          <w:rStyle w:val="NotedebasdepageCar"/>
          <w:rFonts w:ascii="Garamond" w:hAnsi="Garamond"/>
          <w:i/>
        </w:rPr>
        <w:t xml:space="preserve">Réflexions sur la poétique d’Aristote et sur les ouvrages des poètes anciens et modernes</w:t>
      </w:r>
      <w:r>
        <w:rPr>
          <w:rStyle w:val="NotedebasdepageCar"/>
          <w:rFonts w:ascii="Garamond" w:hAnsi="Garamond"/>
        </w:rPr>
        <w:t xml:space="preserve">, Paris, François Muguet, 1674, II, XXIII, p. 202 (achevé d’imprimé du 29 novembre 1673) ; éd. </w:t>
      </w:r>
      <w:r>
        <w:rPr>
          <w:rStyle w:val="NotedebasdepageCar"/>
          <w:rFonts w:ascii="Garamond" w:hAnsi="Garamond"/>
        </w:rPr>
        <w:t xml:space="preserve">P</w:t>
      </w:r>
      <w:r>
        <w:rPr>
          <w:rStyle w:val="NotedebasdepageCar"/>
          <w:rFonts w:ascii="Garamond" w:hAnsi="Garamond"/>
        </w:rPr>
        <w:t xml:space="preserve">ascale</w:t>
      </w:r>
      <w:r>
        <w:rPr>
          <w:rStyle w:val="NotedebasdepageCar"/>
          <w:rFonts w:ascii="Garamond" w:hAnsi="Garamond"/>
        </w:rPr>
        <w:t xml:space="preserve"> </w:t>
      </w:r>
      <w:r>
        <w:rPr>
          <w:rStyle w:val="NotedebasdepageCar"/>
          <w:rFonts w:ascii="Garamond" w:hAnsi="Garamond"/>
        </w:rPr>
        <w:t xml:space="preserve">Thouvenin, Paris,</w:t>
      </w:r>
      <w:r>
        <w:rPr>
          <w:rStyle w:val="NotedebasdepageCar"/>
          <w:rFonts w:ascii="Garamond" w:hAnsi="Garamond"/>
        </w:rPr>
        <w:t xml:space="preserve"> Honoré</w:t>
      </w:r>
      <w:r>
        <w:rPr>
          <w:rStyle w:val="NotedebasdepageCar"/>
          <w:rFonts w:ascii="Garamond" w:hAnsi="Garamond"/>
        </w:rPr>
        <w:t xml:space="preserve"> </w:t>
      </w:r>
      <w:r>
        <w:rPr>
          <w:rStyle w:val="NotedebasdepageCar"/>
          <w:rFonts w:ascii="Garamond" w:hAnsi="Garamond"/>
        </w:rPr>
        <w:t xml:space="preserve">Champion</w:t>
      </w:r>
      <w:r>
        <w:rPr>
          <w:rStyle w:val="NotedebasdepageCar"/>
          <w:rFonts w:ascii="Garamond" w:hAnsi="Garamond"/>
        </w:rPr>
        <w:t xml:space="preserve">, 2011, p. 562-564. Il faut relier ce passage à l’épître au Dauphin, dans laquelle Rapin avertit le prince qu’il devra encourager et récompenser les poètes quand il sera roi, ce qu’il commencera à faire en distinguant les « grands génies » des autres, d’autant plus que seuls les premiers seront « dignes de [le] louer » (éd. 1674, p. [ã 5 v°] ; éd. </w:t>
      </w:r>
      <w:r>
        <w:rPr>
          <w:rStyle w:val="NotedebasdepageCar"/>
          <w:rFonts w:ascii="Garamond" w:hAnsi="Garamond"/>
        </w:rPr>
        <w:t xml:space="preserve">P</w:t>
      </w:r>
      <w:r>
        <w:rPr>
          <w:rStyle w:val="NotedebasdepageCar"/>
          <w:rFonts w:ascii="Garamond" w:hAnsi="Garamond"/>
        </w:rPr>
        <w:t xml:space="preserve">ascale</w:t>
      </w:r>
      <w:r>
        <w:rPr>
          <w:rStyle w:val="NotedebasdepageCar"/>
          <w:rFonts w:ascii="Garamond" w:hAnsi="Garamond"/>
        </w:rPr>
        <w:t xml:space="preserve"> </w:t>
      </w:r>
      <w:r>
        <w:rPr>
          <w:rStyle w:val="NotedebasdepageCar"/>
          <w:rFonts w:ascii="Garamond" w:hAnsi="Garamond"/>
        </w:rPr>
        <w:t xml:space="preserve">Thouvenin, p. 331).</w:t>
      </w:r>
    </w:p>
  </w:footnote>
  <w:footnote w:type="normal" w:id="7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Pour Pascale Thouvenin, ce pluriel renvoie forcément à Racine, peut-être à Thomas Corneille, mais à nul autre, Corneille achevant sa carrière cette même année avec </w:t>
      </w:r>
      <w:r>
        <w:rPr>
          <w:rStyle w:val="NotedebasdepageCar"/>
          <w:rFonts w:ascii="Garamond" w:hAnsi="Garamond"/>
          <w:i/>
        </w:rPr>
        <w:t xml:space="preserve">Suréna</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w:t>
      </w:r>
    </w:p>
  </w:footnote>
  <w:footnote w:type="normal" w:id="7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Philippe</w:t>
      </w:r>
      <w:r>
        <w:rPr>
          <w:rStyle w:val="NotedebasdepageCar"/>
          <w:rFonts w:ascii="Garamond" w:hAnsi="Garamond"/>
        </w:rPr>
        <w:t xml:space="preserve"> </w:t>
      </w:r>
      <w:r>
        <w:rPr>
          <w:rStyle w:val="NotedebasdepageCar"/>
          <w:rFonts w:ascii="Garamond" w:hAnsi="Garamond"/>
        </w:rPr>
        <w:t xml:space="preserve">Quinault</w:t>
      </w:r>
      <w:r>
        <w:rPr>
          <w:rStyle w:val="NotedebasdepageCar"/>
          <w:rFonts w:ascii="Garamond" w:hAnsi="Garamond"/>
        </w:rPr>
        <w:t xml:space="preserve">, « Critique d’</w:t>
      </w:r>
      <w:r>
        <w:rPr>
          <w:rStyle w:val="NotedebasdepageCar"/>
          <w:rFonts w:ascii="Garamond" w:hAnsi="Garamond"/>
          <w:i/>
        </w:rPr>
        <w:t xml:space="preserve">Alceste</w:t>
      </w:r>
      <w:r>
        <w:rPr>
          <w:rStyle w:val="NotedebasdepageCar"/>
          <w:rFonts w:ascii="Garamond" w:hAnsi="Garamond"/>
        </w:rPr>
        <w:t xml:space="preserve"> », dans </w:t>
      </w:r>
      <w:r>
        <w:rPr>
          <w:rStyle w:val="NotedebasdepageCar"/>
          <w:rFonts w:ascii="Garamond" w:hAnsi="Garamond"/>
          <w:i/>
        </w:rPr>
        <w:t xml:space="preserve">Alceste,</w:t>
      </w:r>
      <w:r>
        <w:rPr>
          <w:rStyle w:val="NotedebasdepageCar"/>
          <w:rFonts w:ascii="Garamond" w:hAnsi="Garamond"/>
        </w:rPr>
        <w:t xml:space="preserve"> suivi de </w:t>
      </w:r>
      <w:r>
        <w:rPr>
          <w:rStyle w:val="NotedebasdepageCar"/>
          <w:rFonts w:ascii="Garamond" w:hAnsi="Garamond"/>
          <w:i/>
        </w:rPr>
        <w:t xml:space="preserve">La Querelle d’Alceste, Anciens et Modernes avant 1680</w:t>
      </w:r>
      <w:r>
        <w:rPr>
          <w:rStyle w:val="NotedebasdepageCar"/>
          <w:rFonts w:ascii="Garamond" w:hAnsi="Garamond"/>
        </w:rPr>
        <w:t xml:space="preserve">, éd. William Brooks, Buford Norman, Jeanne Morganzarruchi, Genève, Droz, 1994, p.</w:t>
      </w:r>
      <w:r>
        <w:rPr>
          <w:rStyle w:val="NotedebasdepageCar"/>
          <w:rFonts w:ascii="Garamond" w:hAnsi="Garamond"/>
        </w:rPr>
        <w:t xml:space="preserve"> </w:t>
      </w:r>
      <w:r>
        <w:rPr>
          <w:rStyle w:val="NotedebasdepageCar"/>
          <w:rFonts w:ascii="Garamond" w:hAnsi="Garamond"/>
        </w:rPr>
        <w:t xml:space="preserve">100 (orthographe modernisée). D’après les éditeurs, Perrault se réfère à Quintilien sans le nommer.</w:t>
      </w:r>
    </w:p>
  </w:footnote>
  <w:footnote w:type="normal" w:id="7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Mais quand on se mêle de parler de ces grands Hommes, il s’en faut tenir au sentiment de Quintilien qui les a si bien connus : voici ce qu’il conseille à ceux qui en veulent juger. </w:t>
      </w:r>
      <w:r>
        <w:rPr>
          <w:rStyle w:val="NotedebasdepageCar"/>
          <w:rFonts w:ascii="Garamond" w:hAnsi="Garamond"/>
          <w:i/>
        </w:rPr>
        <w:t xml:space="preserve">De tantis viris modeste et circumspecto judicio pronunciandum, ne quod plerisque accidit, damnent quæ non intellegunt</w:t>
      </w:r>
      <w:r>
        <w:rPr>
          <w:rStyle w:val="NotedebasdepageCar"/>
          <w:rFonts w:ascii="Garamond" w:hAnsi="Garamond"/>
        </w:rPr>
        <w:t xml:space="preserve">. Quintil. lib. 10. cap. I ». L’attaque de la citation latine a été modifiée par Rapin pour renforcer la liaison anaphorique avec la référence à Démosthène et Cicéron qui précède.</w:t>
      </w:r>
    </w:p>
  </w:footnote>
  <w:footnote w:type="normal" w:id="7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Charles </w:t>
      </w:r>
      <w:r>
        <w:rPr>
          <w:rStyle w:val="NotedebasdepageCar"/>
          <w:rFonts w:ascii="Garamond" w:hAnsi="Garamond"/>
        </w:rPr>
        <w:t xml:space="preserve">Perrault</w:t>
      </w:r>
      <w:r>
        <w:rPr>
          <w:rStyle w:val="NotedebasdepageCar"/>
          <w:rFonts w:ascii="Garamond" w:hAnsi="Garamond"/>
        </w:rPr>
        <w:t xml:space="preserve">, lettre à Charpentier [1674], dans </w:t>
      </w:r>
      <w:r>
        <w:rPr>
          <w:rStyle w:val="NotedebasdepageCar"/>
          <w:rFonts w:ascii="Garamond" w:hAnsi="Garamond"/>
        </w:rPr>
        <w:t xml:space="preserve">Philippe </w:t>
      </w:r>
      <w:r>
        <w:rPr>
          <w:rStyle w:val="NotedebasdepageCar"/>
          <w:rFonts w:ascii="Garamond" w:hAnsi="Garamond"/>
        </w:rPr>
        <w:t xml:space="preserve">Quinault, </w:t>
      </w:r>
      <w:r>
        <w:rPr>
          <w:rStyle w:val="NotedebasdepageCar"/>
          <w:rFonts w:ascii="Garamond" w:hAnsi="Garamond"/>
          <w:i/>
        </w:rPr>
        <w:t xml:space="preserve">Alceste</w:t>
      </w:r>
      <w:r>
        <w:rPr>
          <w:rStyle w:val="NotedebasdepageCar"/>
          <w:rFonts w:ascii="Garamond" w:hAnsi="Garamond"/>
        </w:rPr>
        <w:t xml:space="preserve">, éd. citée, p. 120 (Cicéron, </w:t>
      </w:r>
      <w:r>
        <w:rPr>
          <w:rStyle w:val="NotedebasdepageCar"/>
          <w:rFonts w:ascii="Garamond" w:hAnsi="Garamond"/>
          <w:i/>
        </w:rPr>
        <w:t xml:space="preserve">Tusculunæ disputationes</w:t>
      </w:r>
      <w:r>
        <w:rPr>
          <w:rStyle w:val="NotedebasdepageCar"/>
          <w:rFonts w:ascii="Garamond" w:hAnsi="Garamond"/>
        </w:rPr>
        <w:t xml:space="preserve">, I, 1, 10).</w:t>
      </w:r>
    </w:p>
  </w:footnote>
  <w:footnote w:type="normal" w:id="7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154. La glose réprobatrice « il les appelle ainsi » est mal inspirée, puisque Quintilien ne donne ce titre qu’à Démosthène et Cicéron. C’est donc bien davantage la référence élargie par Racine qui est incriminée.</w:t>
      </w:r>
    </w:p>
  </w:footnote>
  <w:footnote w:type="normal" w:id="7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Hilaire-Berna</w:t>
      </w:r>
      <w:r>
        <w:rPr>
          <w:rStyle w:val="NotedebasdepageCar"/>
          <w:rFonts w:ascii="Garamond" w:hAnsi="Garamond"/>
        </w:rPr>
        <w:t xml:space="preserve">rd de</w:t>
      </w:r>
      <w:r>
        <w:rPr>
          <w:rStyle w:val="NotedebasdepageCar"/>
          <w:rFonts w:ascii="Garamond" w:hAnsi="Garamond"/>
        </w:rPr>
        <w:t xml:space="preserve"> Longepierre</w:t>
      </w:r>
      <w:r>
        <w:rPr>
          <w:rStyle w:val="NotedebasdepageCar"/>
          <w:rFonts w:ascii="Garamond" w:hAnsi="Garamond"/>
        </w:rPr>
        <w:t xml:space="preserve">, </w:t>
      </w:r>
      <w:r>
        <w:rPr>
          <w:rStyle w:val="NotedebasdepageCar"/>
          <w:rFonts w:ascii="Garamond" w:hAnsi="Garamond"/>
          <w:i/>
        </w:rPr>
        <w:t xml:space="preserve">Discours sur les Anciens</w:t>
      </w:r>
      <w:r>
        <w:rPr>
          <w:rStyle w:val="NotedebasdepageCar"/>
          <w:rFonts w:ascii="Garamond" w:hAnsi="Garamond"/>
        </w:rPr>
        <w:t xml:space="preserve">, Paris, Pierre Aubouin, Pierre Emery et Charles Clousier, 1687.</w:t>
      </w:r>
    </w:p>
  </w:footnote>
  <w:footnote w:type="normal" w:id="7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Nicolas Boileau-Despréaux</w:t>
      </w:r>
      <w:r>
        <w:rPr>
          <w:rStyle w:val="NotedebasdepageCar"/>
          <w:rFonts w:ascii="Garamond" w:hAnsi="Garamond"/>
        </w:rPr>
        <w:t xml:space="preserve">, </w:t>
      </w:r>
      <w:r>
        <w:rPr>
          <w:rStyle w:val="NotedebasdepageCar"/>
          <w:rFonts w:ascii="Garamond" w:hAnsi="Garamond"/>
          <w:i/>
        </w:rPr>
        <w:t xml:space="preserve">Œuvres diverses</w:t>
      </w:r>
      <w:r>
        <w:rPr>
          <w:rStyle w:val="NotedebasdepageCar"/>
          <w:rFonts w:ascii="Garamond" w:hAnsi="Garamond"/>
        </w:rPr>
        <w:t xml:space="preserve">, avec le </w:t>
      </w:r>
      <w:r>
        <w:rPr>
          <w:rStyle w:val="NotedebasdepageCar"/>
          <w:rFonts w:ascii="Garamond" w:hAnsi="Garamond"/>
          <w:i/>
        </w:rPr>
        <w:t xml:space="preserve">Traité sur le sublime</w:t>
      </w:r>
      <w:r>
        <w:rPr>
          <w:rStyle w:val="NotedebasdepageCar"/>
          <w:rFonts w:ascii="Garamond" w:hAnsi="Garamond"/>
        </w:rPr>
        <w:t xml:space="preserve">, Paris, Denys Thierry, 1701, p. 418.</w:t>
      </w:r>
    </w:p>
  </w:footnote>
  <w:footnote w:type="normal" w:id="7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419.</w:t>
      </w:r>
    </w:p>
  </w:footnote>
  <w:footnote w:type="normal" w:id="7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Pour une description précise de la chambre, dans une lettre du 12 janvier 1675 adressée par un correspondant inconnu à Bussy-Rabutin, voir George</w:t>
      </w:r>
      <w:r>
        <w:rPr>
          <w:rStyle w:val="NotedebasdepageCar"/>
          <w:rFonts w:ascii="Garamond" w:hAnsi="Garamond"/>
        </w:rPr>
        <w:t xml:space="preserve">s </w:t>
      </w:r>
      <w:r>
        <w:rPr>
          <w:rStyle w:val="NotedebasdepageCar"/>
          <w:rFonts w:ascii="Garamond" w:hAnsi="Garamond"/>
        </w:rPr>
        <w:t xml:space="preserve">Forestier</w:t>
      </w:r>
      <w:r>
        <w:rPr>
          <w:rStyle w:val="NotedebasdepageCar"/>
          <w:rFonts w:ascii="Garamond" w:hAnsi="Garamond"/>
        </w:rPr>
        <w:t xml:space="preserve">, </w:t>
      </w:r>
      <w:r>
        <w:rPr>
          <w:rStyle w:val="NotedebasdepageCar"/>
          <w:rFonts w:ascii="Garamond" w:hAnsi="Garamond"/>
          <w:i/>
        </w:rPr>
        <w:t xml:space="preserve">Racine</w:t>
      </w:r>
      <w:r>
        <w:rPr>
          <w:rStyle w:val="NotedebasdepageCar"/>
          <w:rFonts w:ascii="Garamond" w:hAnsi="Garamond"/>
        </w:rPr>
        <w:t xml:space="preserve">, Paris, Gallimard, 2006, p. 520.</w:t>
      </w:r>
    </w:p>
  </w:footnote>
  <w:footnote w:type="normal" w:id="8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521.</w:t>
      </w:r>
    </w:p>
  </w:footnote>
  <w:footnote w:type="normal" w:id="8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520.</w:t>
      </w:r>
    </w:p>
  </w:footnote>
  <w:footnote w:type="normal" w:id="8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Marc </w:t>
      </w:r>
      <w:r>
        <w:rPr>
          <w:rStyle w:val="NotedebasdepageCar"/>
          <w:rFonts w:ascii="Garamond" w:hAnsi="Garamond"/>
        </w:rPr>
        <w:t xml:space="preserve">Fumaroli</w:t>
      </w:r>
      <w:r>
        <w:rPr>
          <w:rStyle w:val="NotedebasdepageCar"/>
          <w:rFonts w:ascii="Garamond" w:hAnsi="Garamond"/>
        </w:rPr>
        <w:t xml:space="preserve">, </w:t>
      </w:r>
      <w:r>
        <w:rPr>
          <w:rStyle w:val="NotedebasdepageCar"/>
          <w:rFonts w:ascii="Garamond" w:hAnsi="Garamond"/>
          <w:i/>
        </w:rPr>
        <w:t xml:space="preserve">Les Abeilles et les Araignées</w:t>
      </w:r>
      <w:r>
        <w:rPr>
          <w:rStyle w:val="NotedebasdepageCar"/>
          <w:rFonts w:ascii="Garamond" w:hAnsi="Garamond"/>
        </w:rPr>
        <w:t xml:space="preserve">, dans Anne-Marie Lecoq, </w:t>
      </w:r>
      <w:r>
        <w:rPr>
          <w:rStyle w:val="NotedebasdepageCar"/>
          <w:rFonts w:ascii="Garamond" w:hAnsi="Garamond"/>
          <w:i/>
        </w:rPr>
        <w:t xml:space="preserve">La Querelle des Anciens et des Modernes</w:t>
      </w:r>
      <w:r>
        <w:rPr>
          <w:rStyle w:val="NotedebasdepageCar"/>
          <w:rFonts w:ascii="Garamond" w:hAnsi="Garamond"/>
        </w:rPr>
        <w:t xml:space="preserve">, Paris, Gallimard, 2001, p. 172.</w:t>
      </w:r>
    </w:p>
  </w:footnote>
  <w:footnote w:type="normal" w:id="8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rPr>
        <w:t xml:space="preserve">Jean </w:t>
      </w:r>
      <w:r>
        <w:rPr>
          <w:rStyle w:val="NotedebasdepageCar"/>
          <w:rFonts w:ascii="Garamond" w:hAnsi="Garamond"/>
        </w:rPr>
        <w:t xml:space="preserve">Racine</w:t>
      </w:r>
      <w:r>
        <w:rPr>
          <w:rStyle w:val="NotedebasdepageCar"/>
          <w:rFonts w:ascii="Garamond" w:hAnsi="Garamond"/>
        </w:rPr>
        <w:t xml:space="preserve">, </w:t>
      </w:r>
      <w:r>
        <w:rPr>
          <w:rStyle w:val="NotedebasdepageCar"/>
          <w:rFonts w:ascii="Garamond" w:hAnsi="Garamond"/>
          <w:i/>
        </w:rPr>
        <w:t xml:space="preserve">Œuvres</w:t>
      </w:r>
      <w:r>
        <w:rPr>
          <w:rStyle w:val="NotedebasdepageCar"/>
          <w:rFonts w:ascii="Garamond" w:hAnsi="Garamond"/>
        </w:rPr>
        <w:t xml:space="preserve">, éd. citée, note 1 de la p. 698, p. 1580-1581. L’état estimatif indique une édition de Pausanias in-folio ; la pagination donnée par Racine a permis à Paul Mesnard d’identifier à coup sûr l’édition Hanau, 1613, mais il n’existe aucune trace de l’exemplaire.</w:t>
      </w:r>
    </w:p>
  </w:footnote>
  <w:footnote w:type="normal" w:id="8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On dénombre douze occurrences du nom </w:t>
      </w:r>
      <w:r>
        <w:rPr>
          <w:rStyle w:val="NotedebasdepageCar"/>
          <w:rFonts w:ascii="Garamond" w:hAnsi="Garamond"/>
          <w:i/>
        </w:rPr>
        <w:t xml:space="preserve">Lesbos</w:t>
      </w:r>
      <w:r>
        <w:rPr>
          <w:rStyle w:val="NotedebasdepageCar"/>
          <w:rFonts w:ascii="Garamond" w:hAnsi="Garamond"/>
        </w:rPr>
        <w:t xml:space="preserve"> dans </w:t>
      </w:r>
      <w:r>
        <w:rPr>
          <w:rStyle w:val="NotedebasdepageCar"/>
          <w:rFonts w:ascii="Garamond" w:hAnsi="Garamond"/>
          <w:i/>
        </w:rPr>
        <w:t xml:space="preserve">Iphigénie</w:t>
      </w:r>
      <w:r>
        <w:rPr>
          <w:rStyle w:val="NotedebasdepageCar"/>
          <w:rFonts w:ascii="Garamond" w:hAnsi="Garamond"/>
        </w:rPr>
        <w:t xml:space="preserve"> ; Achille est désigné par périphrase comme « le Vainqueur de Lesbos ».</w:t>
      </w:r>
    </w:p>
  </w:footnote>
  <w:footnote w:type="normal" w:id="8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J</w:t>
      </w:r>
      <w:r>
        <w:rPr>
          <w:rStyle w:val="NotedebasdepageCar"/>
          <w:rFonts w:ascii="Garamond" w:hAnsi="Garamond"/>
        </w:rPr>
        <w:t xml:space="preserve">érôme Lecompte</w:t>
      </w:r>
      <w:r>
        <w:rPr>
          <w:rStyle w:val="NotedebasdepageCar"/>
          <w:rFonts w:ascii="Garamond" w:hAnsi="Garamond"/>
        </w:rPr>
        <w:t xml:space="preserve">, « La bibliothèque dispersée. Enquête sur les livres de Racine », </w:t>
      </w:r>
      <w:r>
        <w:rPr>
          <w:rStyle w:val="NotedebasdepageCar"/>
          <w:rFonts w:ascii="Garamond" w:hAnsi="Garamond"/>
        </w:rPr>
        <w:t xml:space="preserve">dans </w:t>
      </w:r>
      <w:r>
        <w:rPr>
          <w:rStyle w:val="NotedebasdepageCar"/>
          <w:rFonts w:ascii="Garamond" w:hAnsi="Garamond"/>
        </w:rPr>
        <w:t xml:space="preserve">Christine Ferlampin-Acher, Claire Lesage (éd.)</w:t>
      </w:r>
      <w:r>
        <w:rPr>
          <w:rStyle w:val="NotedebasdepageCar"/>
          <w:rFonts w:ascii="Garamond" w:hAnsi="Garamond"/>
        </w:rPr>
        <w:t xml:space="preserve">,</w:t>
      </w:r>
      <w:r>
        <w:rPr>
          <w:rStyle w:val="NotedebasdepageCar"/>
          <w:rFonts w:ascii="Garamond" w:hAnsi="Garamond"/>
        </w:rPr>
        <w:t xml:space="preserve"> </w:t>
      </w:r>
      <w:r>
        <w:rPr>
          <w:rStyle w:val="NotedebasdepageCar"/>
          <w:rFonts w:ascii="Garamond" w:hAnsi="Garamond"/>
          <w:i/>
        </w:rPr>
        <w:t xml:space="preserve">Dispersion</w:t>
      </w:r>
      <w:r>
        <w:rPr>
          <w:rStyle w:val="NotedebasdepageCar"/>
          <w:rFonts w:ascii="Garamond" w:hAnsi="Garamond"/>
        </w:rPr>
        <w:t xml:space="preserve">, Actes du colloque CELLAM 21-22 juin 2023, Université Rennes 2, PUR (à paraître).</w:t>
      </w:r>
    </w:p>
  </w:footnote>
  <w:footnote w:type="normal" w:id="8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Roy C.</w:t>
      </w:r>
      <w:r>
        <w:rPr>
          <w:rStyle w:val="NotedebasdepageCar"/>
          <w:rFonts w:ascii="Garamond" w:hAnsi="Garamond"/>
        </w:rPr>
        <w:t xml:space="preserve"> </w:t>
      </w:r>
      <w:r>
        <w:rPr>
          <w:rStyle w:val="NotedebasdepageCar"/>
          <w:rFonts w:ascii="Garamond" w:hAnsi="Garamond"/>
        </w:rPr>
        <w:t xml:space="preserve">Knight</w:t>
      </w:r>
      <w:r>
        <w:rPr>
          <w:rStyle w:val="NotedebasdepageCar"/>
          <w:rFonts w:ascii="Garamond" w:hAnsi="Garamond"/>
        </w:rPr>
        <w:t xml:space="preserve">, « Les livres grecs de Racine, deux séries inédites d’annotations marginales », </w:t>
      </w:r>
      <w:r>
        <w:rPr>
          <w:rStyle w:val="NotedebasdepageCar"/>
          <w:rFonts w:ascii="Garamond" w:hAnsi="Garamond"/>
          <w:i/>
        </w:rPr>
        <w:t xml:space="preserve">RHLF</w:t>
      </w:r>
      <w:r>
        <w:rPr>
          <w:rStyle w:val="NotedebasdepageCar"/>
          <w:rFonts w:ascii="Garamond" w:hAnsi="Garamond"/>
        </w:rPr>
        <w:t xml:space="preserve">, 49</w:t>
      </w:r>
      <w:r>
        <w:rPr>
          <w:rStyle w:val="NotedebasdepageCar"/>
          <w:rFonts w:ascii="Garamond" w:hAnsi="Garamond"/>
        </w:rPr>
        <w:t xml:space="preserve">e</w:t>
      </w:r>
      <w:r>
        <w:rPr>
          <w:rStyle w:val="NotedebasdepageCar"/>
          <w:rFonts w:ascii="Garamond" w:hAnsi="Garamond"/>
        </w:rPr>
        <w:t xml:space="preserve"> année, n° 1, 1949, p. 256-266 ; ces annotations n’ont pas été reprises dans </w:t>
      </w:r>
      <w:r>
        <w:rPr>
          <w:rStyle w:val="NotedebasdepageCar"/>
          <w:rFonts w:ascii="Garamond" w:hAnsi="Garamond"/>
          <w:i/>
        </w:rPr>
        <w:t xml:space="preserve">Racine et la Grèce</w:t>
      </w:r>
      <w:r>
        <w:rPr>
          <w:rStyle w:val="NotedebasdepageCar"/>
          <w:rFonts w:ascii="Garamond" w:hAnsi="Garamond"/>
        </w:rPr>
        <w:t xml:space="preserve">, Paris, Nizet, 2</w:t>
      </w:r>
      <w:r>
        <w:rPr>
          <w:rStyle w:val="NotedebasdepageCar"/>
          <w:rFonts w:ascii="Garamond" w:hAnsi="Garamond"/>
        </w:rPr>
        <w:t xml:space="preserve">e</w:t>
      </w:r>
      <w:r>
        <w:rPr>
          <w:rStyle w:val="NotedebasdepageCar"/>
          <w:rFonts w:ascii="Garamond" w:hAnsi="Garamond"/>
        </w:rPr>
        <w:t xml:space="preserve"> éd., 1974, mais dans Racine, </w:t>
      </w:r>
      <w:r>
        <w:rPr>
          <w:rStyle w:val="NotedebasdepageCar"/>
          <w:rFonts w:ascii="Garamond" w:hAnsi="Garamond"/>
          <w:i/>
        </w:rPr>
        <w:t xml:space="preserve">Œuvres complètes</w:t>
      </w:r>
      <w:r>
        <w:rPr>
          <w:rStyle w:val="NotedebasdepageCar"/>
          <w:rFonts w:ascii="Garamond" w:hAnsi="Garamond"/>
        </w:rPr>
        <w:t xml:space="preserve">, éd. Raymond Picard, t. II, 1966, p. 871.</w:t>
      </w:r>
    </w:p>
  </w:footnote>
  <w:footnote w:type="normal" w:id="8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Sophoclis tragoediæ septem una cum omnibus græcis scholiis &amp; cum latinis Ioach. Camerarii. Annotationes Henrici Stephani in Sophoclem &amp; Euripidem seorsum excusæ simul prodeunt</w:t>
      </w:r>
      <w:r>
        <w:rPr>
          <w:rStyle w:val="NotedebasdepageCar"/>
          <w:rFonts w:ascii="Garamond" w:hAnsi="Garamond"/>
        </w:rPr>
        <w:t xml:space="preserve">, [Parisiis], Henr. Stephanus, 1568, in-4°, KBR (</w:t>
      </w:r>
      <w:r>
        <w:rPr>
          <w:rStyle w:val="NotedebasdepageCar"/>
          <w:rFonts w:ascii="Garamond" w:hAnsi="Garamond"/>
        </w:rPr>
        <w:t xml:space="preserve">Bibliothèque</w:t>
      </w:r>
      <w:r>
        <w:rPr>
          <w:rStyle w:val="NotedebasdepageCar"/>
          <w:rFonts w:ascii="Garamond" w:hAnsi="Garamond"/>
        </w:rPr>
        <w:t xml:space="preserve"> Royale de Belgique), Bruxelles, cote VH 12-260 B (LP) (Bonnefon C, p. 214 ; Balmas 268).</w:t>
      </w:r>
    </w:p>
  </w:footnote>
  <w:footnote w:type="normal" w:id="8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128.</w:t>
      </w:r>
    </w:p>
  </w:footnote>
  <w:footnote w:type="normal" w:id="8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J. Camerarius, « Commentatio explicationuum omnium tragœdiarum Sophoclis », p. 92. L’abréviation </w:t>
      </w:r>
      <w:r>
        <w:rPr>
          <w:rStyle w:val="NotedebasdepageCar"/>
          <w:rFonts w:ascii="Garamond" w:hAnsi="Garamond"/>
          <w:i/>
        </w:rPr>
        <w:t xml:space="preserve">i.</w:t>
      </w:r>
      <w:r>
        <w:rPr>
          <w:rStyle w:val="NotedebasdepageCar"/>
          <w:rFonts w:ascii="Garamond" w:hAnsi="Garamond"/>
        </w:rPr>
        <w:t xml:space="preserve"> est mise pour </w:t>
      </w:r>
      <w:r>
        <w:rPr>
          <w:rStyle w:val="NotedebasdepageCar"/>
          <w:rFonts w:ascii="Garamond" w:hAnsi="Garamond"/>
          <w:i/>
        </w:rPr>
        <w:t xml:space="preserve">id. est</w:t>
      </w:r>
      <w:r>
        <w:rPr>
          <w:rStyle w:val="NotedebasdepageCar"/>
          <w:rFonts w:ascii="Garamond" w:hAnsi="Garamond"/>
        </w:rPr>
        <w:t xml:space="preserve"> (« c’est-à-dire »).</w:t>
      </w:r>
    </w:p>
  </w:footnote>
  <w:footnote w:type="normal" w:id="9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v. 111. Pour les autres occurrences, voir les v. 332, 1478 (Agamemnon) ; 625 (Clytemnestre) ; 1060, 1645 (Iphigénie) ; 1128 (Ériphile) ; 1417, 1581 (Achille).</w:t>
      </w:r>
    </w:p>
  </w:footnote>
  <w:footnote w:type="normal" w:id="9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Susanna</w:t>
      </w:r>
      <w:r>
        <w:rPr>
          <w:rStyle w:val="NotedebasdepageCar"/>
          <w:rFonts w:ascii="Garamond" w:hAnsi="Garamond"/>
        </w:rPr>
        <w:t xml:space="preserve"> </w:t>
      </w:r>
      <w:r>
        <w:rPr>
          <w:rStyle w:val="NotedebasdepageCar"/>
          <w:rFonts w:ascii="Garamond" w:hAnsi="Garamond"/>
        </w:rPr>
        <w:t xml:space="preserve">Phillippo</w:t>
      </w:r>
      <w:r>
        <w:rPr>
          <w:rStyle w:val="NotedebasdepageCar"/>
          <w:rFonts w:ascii="Garamond" w:hAnsi="Garamond"/>
        </w:rPr>
        <w:t xml:space="preserve">, </w:t>
      </w:r>
      <w:r>
        <w:rPr>
          <w:rStyle w:val="NotedebasdepageCar"/>
          <w:rFonts w:ascii="Garamond" w:hAnsi="Garamond"/>
          <w:i/>
        </w:rPr>
        <w:t xml:space="preserve">Silent Witness. Racine’s Non-Verbal Annotations of Euripides,</w:t>
      </w:r>
      <w:r>
        <w:rPr>
          <w:rStyle w:val="NotedebasdepageCar"/>
          <w:rFonts w:ascii="Garamond" w:hAnsi="Garamond"/>
        </w:rPr>
        <w:t xml:space="preserve"> Oxford, Legenda, Research Monographs in French Studies 14, 2003, p. 98-105.</w:t>
      </w:r>
    </w:p>
  </w:footnote>
  <w:footnote w:type="normal" w:id="9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Roy C.</w:t>
      </w:r>
      <w:r>
        <w:rPr>
          <w:rStyle w:val="NotedebasdepageCar"/>
          <w:rFonts w:ascii="Garamond" w:hAnsi="Garamond"/>
        </w:rPr>
        <w:t xml:space="preserve"> </w:t>
      </w:r>
      <w:r>
        <w:rPr>
          <w:rStyle w:val="NotedebasdepageCar"/>
          <w:rFonts w:ascii="Garamond" w:hAnsi="Garamond"/>
        </w:rPr>
        <w:t xml:space="preserve">Knight</w:t>
      </w:r>
      <w:r>
        <w:rPr>
          <w:rStyle w:val="NotedebasdepageCar"/>
          <w:rFonts w:ascii="Garamond" w:hAnsi="Garamond"/>
        </w:rPr>
        <w:t xml:space="preserve">, art. cité, p. 257.</w:t>
      </w:r>
    </w:p>
  </w:footnote>
  <w:footnote w:type="normal" w:id="9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Hesiod</w:t>
      </w:r>
      <w:r>
        <w:rPr>
          <w:rStyle w:val="NotedebasdepageCar"/>
          <w:rFonts w:ascii="Garamond" w:hAnsi="Garamond"/>
        </w:rPr>
        <w:t xml:space="preserve">, </w:t>
      </w:r>
      <w:r>
        <w:rPr>
          <w:rStyle w:val="NotedebasdepageCar"/>
          <w:rFonts w:ascii="Garamond" w:hAnsi="Garamond"/>
          <w:i/>
        </w:rPr>
        <w:t xml:space="preserve">The Shield. Catalogue of Women. Other Fragments</w:t>
      </w:r>
      <w:r>
        <w:rPr>
          <w:rStyle w:val="NotedebasdepageCar"/>
          <w:rFonts w:ascii="Garamond" w:hAnsi="Garamond"/>
        </w:rPr>
        <w:t xml:space="preserve">, Loeb Classical Library, Fr. 248, p. 356.</w:t>
      </w:r>
    </w:p>
  </w:footnote>
  <w:footnote w:type="normal" w:id="9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Racine</w:t>
      </w:r>
      <w:r>
        <w:rPr>
          <w:rStyle w:val="NotedebasdepageCar"/>
          <w:rFonts w:ascii="Garamond" w:hAnsi="Garamond"/>
        </w:rPr>
        <w:t xml:space="preserve">, </w:t>
      </w:r>
      <w:r>
        <w:rPr>
          <w:rStyle w:val="NotedebasdepageCar"/>
          <w:rFonts w:ascii="Garamond" w:hAnsi="Garamond"/>
          <w:i/>
        </w:rPr>
        <w:t xml:space="preserve">Œuvres</w:t>
      </w:r>
      <w:r>
        <w:rPr>
          <w:rStyle w:val="NotedebasdepageCar"/>
          <w:rFonts w:ascii="Garamond" w:hAnsi="Garamond"/>
        </w:rPr>
        <w:t xml:space="preserve">, éd. citée, p. 298. La marginale « Soph. Electra » confirme l’origine.</w:t>
      </w:r>
    </w:p>
  </w:footnote>
  <w:footnote w:type="normal" w:id="9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Vers 1656, Racine avait déjà copié la citation de Quintilien dans un long passage de son cahier d’extraits, ce qui ne nous intéresse pas ici (voir Fr. 12888, p. 412).</w:t>
      </w:r>
    </w:p>
  </w:footnote>
  <w:footnote w:type="normal" w:id="9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w:t>
      </w:r>
      <w:r>
        <w:rPr>
          <w:rStyle w:val="NotedebasdepageCar"/>
          <w:rFonts w:ascii="Garamond" w:hAnsi="Garamond"/>
        </w:rPr>
        <w:t xml:space="preserve"> Susanna Phillippo</w:t>
      </w:r>
      <w:r>
        <w:rPr>
          <w:rStyle w:val="NotedebasdepageCar"/>
          <w:rFonts w:ascii="Garamond" w:hAnsi="Garamond"/>
        </w:rPr>
        <w:t xml:space="preserve">, </w:t>
      </w:r>
      <w:r>
        <w:rPr>
          <w:rStyle w:val="NotedebasdepageCar"/>
          <w:rFonts w:ascii="Garamond" w:hAnsi="Garamond"/>
          <w:i/>
        </w:rPr>
        <w:t xml:space="preserve">Silent Witness</w:t>
      </w:r>
      <w:r>
        <w:rPr>
          <w:rStyle w:val="NotedebasdepageCar"/>
          <w:rFonts w:ascii="Garamond" w:hAnsi="Garamond"/>
        </w:rPr>
        <w:t xml:space="preserve">, ouvr. cité.</w:t>
      </w:r>
    </w:p>
  </w:footnote>
  <w:footnote w:type="normal" w:id="9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Sauf mention contraire, les traductions sont données d’après l’édition de Jean Cousin</w:t>
      </w:r>
      <w:r>
        <w:rPr>
          <w:rStyle w:val="NotedebasdepageCar"/>
          <w:rFonts w:ascii="Garamond" w:hAnsi="Garamond"/>
        </w:rPr>
        <w:t xml:space="preserve">, CUF, 1975-1980</w:t>
      </w:r>
      <w:r>
        <w:rPr>
          <w:rStyle w:val="NotedebasdepageCar"/>
          <w:rFonts w:ascii="Garamond" w:hAnsi="Garamond"/>
        </w:rPr>
        <w:t xml:space="preserve">.</w:t>
      </w:r>
    </w:p>
  </w:footnote>
  <w:footnote w:type="normal" w:id="9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Traduction adaptée à partir de Donald A.</w:t>
      </w:r>
      <w:r>
        <w:rPr>
          <w:rStyle w:val="NotedebasdepageCar"/>
          <w:rFonts w:ascii="Garamond" w:hAnsi="Garamond"/>
        </w:rPr>
        <w:t xml:space="preserve"> </w:t>
      </w:r>
      <w:r>
        <w:rPr>
          <w:rStyle w:val="NotedebasdepageCar"/>
          <w:rFonts w:ascii="Garamond" w:hAnsi="Garamond"/>
        </w:rPr>
        <w:t xml:space="preserve">Russell</w:t>
      </w:r>
      <w:r>
        <w:rPr>
          <w:rStyle w:val="NotedebasdepageCar"/>
          <w:rFonts w:ascii="Garamond" w:hAnsi="Garamond"/>
        </w:rPr>
        <w:t xml:space="preserve">, Cambridge / London, Harvard University Press, Loeb Classical Library, 2001.</w:t>
      </w:r>
    </w:p>
  </w:footnote>
  <w:footnote w:type="normal" w:id="9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Racine,</w:t>
      </w:r>
      <w:r>
        <w:rPr>
          <w:rStyle w:val="NotedebasdepageCar"/>
          <w:rFonts w:ascii="Garamond" w:hAnsi="Garamond"/>
        </w:rPr>
        <w:t xml:space="preserve"> Préface d’</w:t>
      </w:r>
      <w:r>
        <w:rPr>
          <w:rStyle w:val="NotedebasdepageCar"/>
          <w:rFonts w:ascii="Garamond" w:hAnsi="Garamond"/>
          <w:i/>
        </w:rPr>
        <w:t xml:space="preserve">Iphigénie</w:t>
      </w:r>
      <w:r>
        <w:rPr>
          <w:rStyle w:val="NotedebasdepageCar"/>
          <w:rFonts w:ascii="Garamond" w:hAnsi="Garamond"/>
        </w:rPr>
        <w:t xml:space="preserve">, éd. citée, p. 699.</w:t>
      </w:r>
    </w:p>
  </w:footnote>
  <w:footnote w:type="normal" w:id="10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Philippe Quinault</w:t>
      </w:r>
      <w:r>
        <w:rPr>
          <w:rStyle w:val="NotedebasdepageCar"/>
          <w:rFonts w:ascii="Garamond" w:hAnsi="Garamond"/>
        </w:rPr>
        <w:t xml:space="preserve">, </w:t>
      </w:r>
      <w:r>
        <w:rPr>
          <w:rStyle w:val="NotedebasdepageCar"/>
          <w:rFonts w:ascii="Garamond" w:hAnsi="Garamond"/>
          <w:i/>
        </w:rPr>
        <w:t xml:space="preserve">Alceste</w:t>
      </w:r>
      <w:r>
        <w:rPr>
          <w:rStyle w:val="NotedebasdepageCar"/>
          <w:rFonts w:ascii="Garamond" w:hAnsi="Garamond"/>
        </w:rPr>
        <w:t xml:space="preserve">, éd. citée, p. 43.</w:t>
      </w:r>
    </w:p>
  </w:footnote>
  <w:footnote w:type="normal" w:id="10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 8, v. 456-461, p. 43-44.</w:t>
      </w:r>
    </w:p>
  </w:footnote>
  <w:footnote w:type="normal" w:id="10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Racine,</w:t>
      </w:r>
      <w:r>
        <w:rPr>
          <w:rStyle w:val="NotedebasdepageCar"/>
          <w:rFonts w:ascii="Garamond" w:hAnsi="Garamond"/>
        </w:rPr>
        <w:t xml:space="preserve"> Préface d’</w:t>
      </w:r>
      <w:r>
        <w:rPr>
          <w:rStyle w:val="NotedebasdepageCar"/>
          <w:rFonts w:ascii="Garamond" w:hAnsi="Garamond"/>
          <w:i/>
        </w:rPr>
        <w:t xml:space="preserve">Iphigénie</w:t>
      </w:r>
      <w:r>
        <w:rPr>
          <w:rStyle w:val="NotedebasdepageCar"/>
          <w:rFonts w:ascii="Garamond" w:hAnsi="Garamond"/>
        </w:rPr>
        <w:t xml:space="preserve">, éd. citée, p. 700.</w:t>
      </w:r>
      <w:r>
        <w:rPr>
          <w:rStyle w:val="NotedebasdepageCar"/>
          <w:rFonts w:ascii="Garamond" w:hAnsi="Garamond"/>
          <w:b/>
        </w:rPr>
        <w:t xml:space="preserve"> </w:t>
      </w:r>
      <w:r>
        <w:rPr>
          <w:rStyle w:val="NotedebasdepageCar"/>
          <w:rFonts w:ascii="Garamond" w:hAnsi="Garamond"/>
        </w:rPr>
        <w:t xml:space="preserve">Traduction moderne : « </w:t>
      </w:r>
      <w:r>
        <w:rPr>
          <w:rStyle w:val="NotedebasdepageCar"/>
          <w:rFonts w:ascii="Garamond" w:hAnsi="Garamond"/>
          <w:i/>
        </w:rPr>
        <w:t xml:space="preserve">Je la vois sur le lac, je la vois, la barque à deux rames / </w:t>
      </w:r>
      <w:r>
        <w:rPr>
          <w:rStyle w:val="NotedebasdepageCar"/>
          <w:rFonts w:ascii="Garamond" w:hAnsi="Garamond"/>
          <w:i/>
        </w:rPr>
        <w:t xml:space="preserve">E</w:t>
      </w:r>
      <w:r>
        <w:rPr>
          <w:rStyle w:val="NotedebasdepageCar"/>
          <w:rFonts w:ascii="Garamond" w:hAnsi="Garamond"/>
          <w:i/>
        </w:rPr>
        <w:t xml:space="preserve">t le passeur des morts, la main sur la perche. / Il m’appelle, il crie : </w:t>
      </w:r>
      <w:r>
        <w:rPr>
          <w:rStyle w:val="NotedebasdepageCar"/>
          <w:rFonts w:ascii="Garamond" w:hAnsi="Garamond"/>
          <w:i/>
        </w:rPr>
        <w:t xml:space="preserve">“</w:t>
      </w:r>
      <w:r>
        <w:rPr>
          <w:rStyle w:val="NotedebasdepageCar"/>
          <w:rFonts w:ascii="Garamond" w:hAnsi="Garamond"/>
          <w:i/>
        </w:rPr>
        <w:t xml:space="preserve">Que tardes-tu ? / Mais hâte-toi donc ! C’est toi que j’attends</w:t>
      </w:r>
      <w:r>
        <w:rPr>
          <w:rStyle w:val="NotedebasdepageCar"/>
          <w:rFonts w:ascii="Garamond" w:hAnsi="Garamond"/>
          <w:i/>
        </w:rPr>
        <w:t xml:space="preserve">”</w:t>
      </w:r>
      <w:r>
        <w:rPr>
          <w:rStyle w:val="NotedebasdepageCar"/>
          <w:rFonts w:ascii="Garamond" w:hAnsi="Garamond"/>
          <w:i/>
        </w:rPr>
        <w:t xml:space="preserve">. Vois-tu comme il me presse, impétueusement</w:t>
      </w:r>
      <w:r>
        <w:rPr>
          <w:rStyle w:val="NotedebasdepageCar"/>
          <w:rFonts w:ascii="Garamond" w:hAnsi="Garamond"/>
        </w:rPr>
        <w:t xml:space="preserve"> » (</w:t>
      </w:r>
      <w:r>
        <w:rPr>
          <w:rStyle w:val="NotedebasdepageCar"/>
          <w:rFonts w:ascii="Garamond" w:hAnsi="Garamond"/>
        </w:rPr>
        <w:t xml:space="preserve">Euripide</w:t>
      </w:r>
      <w:r>
        <w:rPr>
          <w:rStyle w:val="NotedebasdepageCar"/>
          <w:rFonts w:ascii="Garamond" w:hAnsi="Garamond"/>
        </w:rPr>
        <w:t xml:space="preserve">, </w:t>
      </w:r>
      <w:r>
        <w:rPr>
          <w:rStyle w:val="NotedebasdepageCar"/>
          <w:rFonts w:ascii="Garamond" w:hAnsi="Garamond"/>
          <w:i/>
        </w:rPr>
        <w:t xml:space="preserve">Théâtre complet</w:t>
      </w:r>
      <w:r>
        <w:rPr>
          <w:rStyle w:val="NotedebasdepageCar"/>
          <w:rFonts w:ascii="Garamond" w:hAnsi="Garamond"/>
        </w:rPr>
        <w:t xml:space="preserve">, éd. Marie Delcourt-Curvers, Paris, Gallimard, 1962, p. 77).</w:t>
      </w:r>
    </w:p>
  </w:footnote>
  <w:footnote w:type="normal" w:id="10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René Rapin</w:t>
      </w:r>
      <w:r>
        <w:rPr>
          <w:rStyle w:val="NotedebasdepageCar"/>
          <w:rFonts w:ascii="Garamond" w:hAnsi="Garamond"/>
        </w:rPr>
        <w:t xml:space="preserve">, </w:t>
      </w:r>
      <w:r>
        <w:rPr>
          <w:rStyle w:val="NotedebasdepageCar"/>
          <w:rFonts w:ascii="Garamond" w:hAnsi="Garamond"/>
          <w:i/>
        </w:rPr>
        <w:t xml:space="preserve">Discours sur la comparaison de Démosthène et de Cicéron</w:t>
      </w:r>
      <w:r>
        <w:rPr>
          <w:rStyle w:val="NotedebasdepageCar"/>
          <w:rFonts w:ascii="Garamond" w:hAnsi="Garamond"/>
        </w:rPr>
        <w:t xml:space="preserve">, éd. citée, XVI, p. 214 (voir </w:t>
      </w:r>
      <w:r>
        <w:rPr>
          <w:rStyle w:val="NotedebasdepageCar"/>
          <w:rFonts w:ascii="Garamond" w:hAnsi="Garamond"/>
        </w:rPr>
        <w:t xml:space="preserve">Jérôme Lecompte</w:t>
      </w:r>
      <w:r>
        <w:rPr>
          <w:rStyle w:val="NotedebasdepageCar"/>
          <w:rFonts w:ascii="Garamond" w:hAnsi="Garamond"/>
        </w:rPr>
        <w:t xml:space="preserve">, </w:t>
      </w:r>
      <w:r>
        <w:rPr>
          <w:rStyle w:val="NotedebasdepageCar"/>
          <w:rFonts w:ascii="Garamond" w:hAnsi="Garamond"/>
          <w:i/>
        </w:rPr>
        <w:t xml:space="preserve">Raison et</w:t>
      </w:r>
      <w:r>
        <w:rPr>
          <w:rStyle w:val="NotedebasdepageCar"/>
          <w:rFonts w:ascii="Garamond" w:hAnsi="Garamond"/>
          <w:i/>
        </w:rPr>
        <w:t xml:space="preserve"> v</w:t>
      </w:r>
      <w:r>
        <w:rPr>
          <w:rStyle w:val="NotedebasdepageCar"/>
          <w:rFonts w:ascii="Garamond" w:hAnsi="Garamond"/>
          <w:i/>
        </w:rPr>
        <w:t xml:space="preserve">raisemblance à l’âge classique. Statut de la rhétorique dans les œuvres de René Rapin et de Jean Racine</w:t>
      </w:r>
      <w:r>
        <w:rPr>
          <w:rStyle w:val="NotedebasdepageCar"/>
          <w:rFonts w:ascii="Garamond" w:hAnsi="Garamond"/>
        </w:rPr>
        <w:t xml:space="preserve">, thèse, p. 273).</w:t>
      </w:r>
    </w:p>
  </w:footnote>
  <w:footnote w:type="normal" w:id="10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217.</w:t>
      </w:r>
    </w:p>
  </w:footnote>
  <w:footnote w:type="normal" w:id="10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Racine,</w:t>
      </w:r>
      <w:r>
        <w:rPr>
          <w:rStyle w:val="NotedebasdepageCar"/>
          <w:rFonts w:ascii="Garamond" w:hAnsi="Garamond"/>
        </w:rPr>
        <w:t xml:space="preserve"> </w:t>
      </w:r>
      <w:r>
        <w:rPr>
          <w:rStyle w:val="NotedebasdepageCar"/>
          <w:rFonts w:ascii="Garamond" w:hAnsi="Garamond"/>
          <w:i/>
        </w:rPr>
        <w:t xml:space="preserve">Correspondance</w:t>
      </w:r>
      <w:r>
        <w:rPr>
          <w:rStyle w:val="NotedebasdepageCar"/>
          <w:rFonts w:ascii="Garamond" w:hAnsi="Garamond"/>
        </w:rPr>
        <w:t xml:space="preserve">, éd. </w:t>
      </w:r>
      <w:r>
        <w:rPr>
          <w:rStyle w:val="NotedebasdepageCar"/>
          <w:rFonts w:ascii="Garamond" w:hAnsi="Garamond"/>
        </w:rPr>
        <w:t xml:space="preserve">Jean </w:t>
      </w:r>
      <w:r>
        <w:rPr>
          <w:rStyle w:val="NotedebasdepageCar"/>
          <w:rFonts w:ascii="Garamond" w:hAnsi="Garamond"/>
        </w:rPr>
        <w:t xml:space="preserve">Lesaulnier, n° 48, p. 218-219 ; voir </w:t>
      </w:r>
      <w:r>
        <w:rPr>
          <w:rStyle w:val="NotedebasdepageCar"/>
          <w:rFonts w:ascii="Garamond" w:hAnsi="Garamond"/>
        </w:rPr>
        <w:t xml:space="preserve">G</w:t>
      </w:r>
      <w:r>
        <w:rPr>
          <w:rStyle w:val="NotedebasdepageCar"/>
          <w:rFonts w:ascii="Garamond" w:hAnsi="Garamond"/>
        </w:rPr>
        <w:t xml:space="preserve">eorges</w:t>
      </w:r>
      <w:r>
        <w:rPr>
          <w:rStyle w:val="NotedebasdepageCar"/>
          <w:rFonts w:ascii="Garamond" w:hAnsi="Garamond"/>
        </w:rPr>
        <w:t xml:space="preserve"> </w:t>
      </w:r>
      <w:r>
        <w:rPr>
          <w:rStyle w:val="NotedebasdepageCar"/>
          <w:rFonts w:ascii="Garamond" w:hAnsi="Garamond"/>
        </w:rPr>
        <w:t xml:space="preserve">Forestier, </w:t>
      </w:r>
      <w:r>
        <w:rPr>
          <w:rStyle w:val="NotedebasdepageCar"/>
          <w:rFonts w:ascii="Garamond" w:hAnsi="Garamond"/>
          <w:i/>
        </w:rPr>
        <w:t xml:space="preserve">Racine</w:t>
      </w:r>
      <w:r>
        <w:rPr>
          <w:rStyle w:val="NotedebasdepageCar"/>
          <w:rFonts w:ascii="Garamond" w:hAnsi="Garamond"/>
        </w:rPr>
        <w:t xml:space="preserve">, ouvr. cité, p. 538, et fac-similé de la lettre, n° 25.</w:t>
      </w:r>
    </w:p>
  </w:footnote>
  <w:footnote w:type="normal" w:id="10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Georges Forestier</w:t>
      </w:r>
      <w:r>
        <w:rPr>
          <w:rStyle w:val="NotedebasdepageCar"/>
          <w:rFonts w:ascii="Garamond" w:hAnsi="Garamond"/>
        </w:rPr>
        <w:t xml:space="preserve">, </w:t>
      </w:r>
      <w:r>
        <w:rPr>
          <w:rStyle w:val="NotedebasdepageCar"/>
          <w:rFonts w:ascii="Garamond" w:hAnsi="Garamond"/>
          <w:i/>
        </w:rPr>
        <w:t xml:space="preserve">Racine</w:t>
      </w:r>
      <w:r>
        <w:rPr>
          <w:rStyle w:val="NotedebasdepageCar"/>
          <w:rFonts w:ascii="Garamond" w:hAnsi="Garamond"/>
        </w:rPr>
        <w:t xml:space="preserve">, ouvr. cité, p. 538-539.</w:t>
      </w:r>
    </w:p>
  </w:footnote>
  <w:footnote w:type="normal" w:id="10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G</w:t>
      </w:r>
      <w:r>
        <w:rPr>
          <w:rStyle w:val="NotedebasdepageCar"/>
          <w:rFonts w:ascii="Garamond" w:hAnsi="Garamond"/>
        </w:rPr>
        <w:t xml:space="preserve">eorges</w:t>
      </w:r>
      <w:r>
        <w:rPr>
          <w:rStyle w:val="NotedebasdepageCar"/>
          <w:rFonts w:ascii="Garamond" w:hAnsi="Garamond"/>
        </w:rPr>
        <w:t xml:space="preserve"> </w:t>
      </w:r>
      <w:r>
        <w:rPr>
          <w:rStyle w:val="NotedebasdepageCar"/>
          <w:rFonts w:ascii="Garamond" w:hAnsi="Garamond"/>
        </w:rPr>
        <w:t xml:space="preserve">Forestier dans </w:t>
      </w:r>
      <w:r>
        <w:rPr>
          <w:rStyle w:val="NotedebasdepageCar"/>
          <w:rFonts w:ascii="Garamond" w:hAnsi="Garamond"/>
        </w:rPr>
        <w:t xml:space="preserve">J</w:t>
      </w:r>
      <w:r>
        <w:rPr>
          <w:rStyle w:val="NotedebasdepageCar"/>
          <w:rFonts w:ascii="Garamond" w:hAnsi="Garamond"/>
        </w:rPr>
        <w:t xml:space="preserve">ean</w:t>
      </w:r>
      <w:r>
        <w:rPr>
          <w:rStyle w:val="NotedebasdepageCar"/>
          <w:rFonts w:ascii="Garamond" w:hAnsi="Garamond"/>
        </w:rPr>
        <w:t xml:space="preserve"> </w:t>
      </w:r>
      <w:r>
        <w:rPr>
          <w:rStyle w:val="NotedebasdepageCar"/>
          <w:rFonts w:ascii="Garamond" w:hAnsi="Garamond"/>
        </w:rPr>
        <w:t xml:space="preserve">Racine, </w:t>
      </w:r>
      <w:r>
        <w:rPr>
          <w:rStyle w:val="NotedebasdepageCar"/>
          <w:rFonts w:ascii="Garamond" w:hAnsi="Garamond"/>
          <w:i/>
        </w:rPr>
        <w:t xml:space="preserve">Œ</w:t>
      </w:r>
      <w:r>
        <w:rPr>
          <w:rStyle w:val="NotedebasdepageCar"/>
          <w:rFonts w:ascii="Garamond" w:hAnsi="Garamond"/>
          <w:i/>
        </w:rPr>
        <w:t xml:space="preserve">uvres complètes</w:t>
      </w:r>
      <w:r>
        <w:rPr>
          <w:rStyle w:val="NotedebasdepageCar"/>
          <w:rFonts w:ascii="Garamond" w:hAnsi="Garamond"/>
        </w:rPr>
        <w:t xml:space="preserve">,</w:t>
      </w:r>
      <w:r>
        <w:rPr>
          <w:rStyle w:val="NotedebasdepageCar"/>
          <w:rFonts w:ascii="Garamond" w:hAnsi="Garamond"/>
        </w:rPr>
        <w:t xml:space="preserve"> </w:t>
      </w:r>
      <w:r>
        <w:rPr>
          <w:rStyle w:val="NotedebasdepageCar"/>
          <w:rFonts w:ascii="Garamond" w:hAnsi="Garamond"/>
          <w:i/>
        </w:rPr>
        <w:t xml:space="preserve">Théâtre. Poésies</w:t>
      </w:r>
      <w:r>
        <w:rPr>
          <w:rStyle w:val="NotedebasdepageCar"/>
          <w:rFonts w:ascii="Garamond" w:hAnsi="Garamond"/>
        </w:rPr>
        <w:t xml:space="preserve">, </w:t>
      </w:r>
      <w:r>
        <w:rPr>
          <w:rStyle w:val="NotedebasdepageCar"/>
          <w:rFonts w:ascii="Garamond" w:hAnsi="Garamond"/>
        </w:rPr>
        <w:t xml:space="preserve">éd. Georges</w:t>
      </w:r>
      <w:r>
        <w:rPr>
          <w:rStyle w:val="NotedebasdepageCar"/>
          <w:rFonts w:ascii="Garamond" w:hAnsi="Garamond"/>
        </w:rPr>
        <w:t xml:space="preserve"> Forestier, Paris,</w:t>
      </w:r>
      <w:r>
        <w:rPr>
          <w:rStyle w:val="NotedebasdepageCar"/>
          <w:rFonts w:ascii="Garamond" w:hAnsi="Garamond"/>
        </w:rPr>
        <w:t xml:space="preserve"> Gallimard, Bibliothèque de la Pléiade, 1999, p. 1564.</w:t>
      </w:r>
    </w:p>
  </w:footnote>
  <w:footnote w:type="normal" w:id="10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Remarques sur l’Iphigénie de Mr. Racine</w:t>
      </w:r>
      <w:r>
        <w:rPr>
          <w:rStyle w:val="NotedebasdepageCar"/>
          <w:rFonts w:ascii="Garamond" w:hAnsi="Garamond"/>
        </w:rPr>
        <w:t xml:space="preserve">, dans </w:t>
      </w:r>
      <w:r>
        <w:rPr>
          <w:rStyle w:val="NotedebasdepageCar"/>
          <w:rFonts w:ascii="Garamond" w:hAnsi="Garamond"/>
        </w:rPr>
        <w:t xml:space="preserve">Jean </w:t>
      </w:r>
      <w:r>
        <w:rPr>
          <w:rStyle w:val="NotedebasdepageCar"/>
          <w:rFonts w:ascii="Garamond" w:hAnsi="Garamond"/>
        </w:rPr>
        <w:t xml:space="preserve">Racine,</w:t>
      </w:r>
      <w:r>
        <w:rPr>
          <w:rStyle w:val="NotedebasdepageCar"/>
          <w:rFonts w:ascii="Garamond" w:hAnsi="Garamond"/>
          <w:i/>
        </w:rPr>
        <w:t xml:space="preserve"> Théâtre. Poésies,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798.</w:t>
      </w:r>
    </w:p>
  </w:footnote>
  <w:footnote w:type="normal" w:id="10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798.</w:t>
      </w:r>
    </w:p>
  </w:footnote>
  <w:footnote w:type="normal" w:id="11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rPr>
        <w:t xml:space="preserve">J</w:t>
      </w:r>
      <w:r>
        <w:rPr>
          <w:rStyle w:val="NotedebasdepageCar"/>
          <w:rFonts w:ascii="Garamond" w:hAnsi="Garamond"/>
        </w:rPr>
        <w:t xml:space="preserve">érôme</w:t>
      </w:r>
      <w:r>
        <w:rPr>
          <w:rStyle w:val="NotedebasdepageCar"/>
          <w:rFonts w:ascii="Garamond" w:hAnsi="Garamond"/>
        </w:rPr>
        <w:t xml:space="preserve"> </w:t>
      </w:r>
      <w:r>
        <w:rPr>
          <w:rStyle w:val="NotedebasdepageCar"/>
          <w:rFonts w:ascii="Garamond" w:hAnsi="Garamond"/>
        </w:rPr>
        <w:t xml:space="preserve">Lecompte, « Tragédie et question primordiale : le modèle de la suasoire dans l’</w:t>
      </w:r>
      <w:r>
        <w:rPr>
          <w:rStyle w:val="NotedebasdepageCar"/>
          <w:rFonts w:ascii="Garamond" w:hAnsi="Garamond"/>
          <w:i/>
        </w:rPr>
        <w:t xml:space="preserve">Iphigénie</w:t>
      </w:r>
      <w:r>
        <w:rPr>
          <w:rStyle w:val="NotedebasdepageCar"/>
          <w:rFonts w:ascii="Garamond" w:hAnsi="Garamond"/>
        </w:rPr>
        <w:t xml:space="preserve"> de Racine » dans </w:t>
      </w:r>
      <w:r>
        <w:rPr>
          <w:rStyle w:val="NotedebasdepageCar"/>
          <w:rFonts w:ascii="Garamond" w:hAnsi="Garamond"/>
          <w:i/>
        </w:rPr>
        <w:t xml:space="preserve">Congrès Mondial de Linguistique Française</w:t>
      </w:r>
      <w:r>
        <w:rPr>
          <w:rStyle w:val="NotedebasdepageCar"/>
          <w:rFonts w:ascii="Garamond" w:hAnsi="Garamond"/>
        </w:rPr>
        <w:t xml:space="preserve">, Paris, France, 2008 (en ligne : </w:t>
      </w:r>
      <w:r>
        <w:rPr>
          <w:rStyle w:val="NotedebasdepageCar"/>
          <w:rFonts w:ascii="Garamond" w:hAnsi="Garamond"/>
        </w:rPr>
        <w:t xml:space="preserve">https://www.linguistiquefrancaise.org/articles/cmlf/abs/2008/01/cmlf08081/cmlf08081.html</w:t>
      </w:r>
      <w:r>
        <w:rPr>
          <w:rStyle w:val="NotedebasdepageCar"/>
          <w:rFonts w:ascii="Garamond" w:hAnsi="Garamond"/>
        </w:rPr>
        <w:t xml:space="preserve"> ; </w:t>
      </w:r>
      <w:r>
        <w:rPr>
          <w:rStyle w:val="NotedebasdepageCar"/>
          <w:rFonts w:ascii="Garamond" w:hAnsi="Garamond"/>
        </w:rPr>
        <w:t xml:space="preserve"> consulté le </w:t>
      </w:r>
      <w:r>
        <w:rPr>
          <w:rStyle w:val="NotedebasdepageCar"/>
          <w:rFonts w:ascii="Garamond" w:hAnsi="Garamond"/>
        </w:rPr>
        <w:t xml:space="preserve">25 mars </w:t>
      </w:r>
      <w:r>
        <w:rPr>
          <w:rStyle w:val="NotedebasdepageCar"/>
          <w:rFonts w:ascii="Garamond" w:hAnsi="Garamond"/>
        </w:rPr>
        <w:t xml:space="preserve">202</w:t>
      </w:r>
      <w:r>
        <w:rPr>
          <w:rStyle w:val="NotedebasdepageCar"/>
          <w:rFonts w:ascii="Garamond" w:hAnsi="Garamond"/>
        </w:rPr>
        <w:t xml:space="preserve">5</w:t>
      </w:r>
      <w:r>
        <w:rPr>
          <w:rStyle w:val="NotedebasdepageCar"/>
          <w:rFonts w:ascii="Garamond" w:hAnsi="Garamond"/>
        </w:rPr>
        <w:t xml:space="preserve">)</w:t>
      </w:r>
      <w:r>
        <w:rPr>
          <w:rStyle w:val="NotedebasdepageCar"/>
          <w:rFonts w:ascii="Garamond" w:hAnsi="Garamond"/>
          <w:i/>
        </w:rPr>
        <w:t xml:space="preserve">.</w:t>
      </w:r>
    </w:p>
  </w:footnote>
  <w:footnote w:type="normal" w:id="11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Antoine </w:t>
      </w:r>
      <w:r>
        <w:rPr>
          <w:rStyle w:val="NotedebasdepageCar"/>
          <w:rFonts w:ascii="Garamond" w:hAnsi="Garamond"/>
        </w:rPr>
        <w:t xml:space="preserve">Furetière, </w:t>
      </w:r>
      <w:r>
        <w:rPr>
          <w:rStyle w:val="NotedebasdepageCar"/>
          <w:rFonts w:ascii="Garamond" w:hAnsi="Garamond"/>
          <w:i/>
        </w:rPr>
        <w:t xml:space="preserve">Dictionnaire universel</w:t>
      </w:r>
      <w:r>
        <w:rPr>
          <w:rStyle w:val="NotedebasdepageCar"/>
          <w:rFonts w:ascii="Garamond" w:hAnsi="Garamond"/>
        </w:rPr>
        <w:t xml:space="preserve">, 1690, </w:t>
      </w:r>
      <w:r>
        <w:rPr>
          <w:rStyle w:val="NotedebasdepageCar"/>
          <w:rFonts w:ascii="Garamond" w:hAnsi="Garamond"/>
          <w:i/>
        </w:rPr>
        <w:t xml:space="preserve">sv</w:t>
      </w:r>
      <w:r>
        <w:rPr>
          <w:rStyle w:val="NotedebasdepageCar"/>
          <w:rFonts w:ascii="Garamond" w:hAnsi="Garamond"/>
        </w:rPr>
        <w:t xml:space="preserve"> « vent ».</w:t>
      </w:r>
    </w:p>
  </w:footnote>
  <w:footnote w:type="normal" w:id="11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w:t>
      </w:r>
      <w:r>
        <w:rPr>
          <w:rStyle w:val="NotedebasdepageCar"/>
          <w:rFonts w:ascii="Garamond" w:hAnsi="Garamond"/>
        </w:rPr>
        <w:t xml:space="preserve">ean</w:t>
      </w:r>
      <w:r>
        <w:rPr>
          <w:rStyle w:val="NotedebasdepageCar"/>
          <w:rFonts w:ascii="Garamond" w:hAnsi="Garamond"/>
        </w:rPr>
        <w:t xml:space="preserve"> </w:t>
      </w:r>
      <w:r>
        <w:rPr>
          <w:rStyle w:val="NotedebasdepageCar"/>
          <w:rFonts w:ascii="Garamond" w:hAnsi="Garamond"/>
        </w:rPr>
        <w:t xml:space="preserve">Racine, </w:t>
      </w:r>
      <w:r>
        <w:rPr>
          <w:rStyle w:val="NotedebasdepageCar"/>
          <w:rFonts w:ascii="Garamond" w:hAnsi="Garamond"/>
          <w:i/>
        </w:rPr>
        <w:t xml:space="preserve">Remarques sur l’Odyssée</w:t>
      </w:r>
      <w:r>
        <w:rPr>
          <w:rStyle w:val="NotedebasdepageCar"/>
          <w:rFonts w:ascii="Garamond" w:hAnsi="Garamond"/>
        </w:rPr>
        <w:t xml:space="preserve">, dans</w:t>
      </w:r>
      <w:r>
        <w:rPr>
          <w:rStyle w:val="NotedebasdepageCar"/>
          <w:rFonts w:ascii="Garamond" w:hAnsi="Garamond"/>
        </w:rPr>
        <w:t xml:space="preserve"> </w:t>
      </w:r>
      <w:r>
        <w:rPr>
          <w:rStyle w:val="NotedebasdepageCar"/>
          <w:rFonts w:ascii="Garamond" w:hAnsi="Garamond"/>
        </w:rPr>
        <w:t xml:space="preserve">J</w:t>
      </w:r>
      <w:r>
        <w:rPr>
          <w:rStyle w:val="NotedebasdepageCar"/>
          <w:rFonts w:ascii="Garamond" w:hAnsi="Garamond"/>
        </w:rPr>
        <w:t xml:space="preserve">ean</w:t>
      </w:r>
      <w:r>
        <w:rPr>
          <w:rStyle w:val="NotedebasdepageCar"/>
          <w:rFonts w:ascii="Garamond" w:hAnsi="Garamond"/>
        </w:rPr>
        <w:t xml:space="preserve"> </w:t>
      </w:r>
      <w:r>
        <w:rPr>
          <w:rStyle w:val="NotedebasdepageCar"/>
          <w:rFonts w:ascii="Garamond" w:hAnsi="Garamond"/>
        </w:rPr>
        <w:t xml:space="preserve">Racine, </w:t>
      </w:r>
      <w:r>
        <w:rPr>
          <w:rStyle w:val="NotedebasdepageCar"/>
          <w:rFonts w:ascii="Garamond" w:hAnsi="Garamond"/>
          <w:i/>
        </w:rPr>
        <w:t xml:space="preserve">Œuvres complètes. Prose</w:t>
      </w:r>
      <w:r>
        <w:rPr>
          <w:rStyle w:val="NotedebasdepageCar"/>
          <w:rFonts w:ascii="Garamond" w:hAnsi="Garamond"/>
        </w:rPr>
        <w:t xml:space="preserve">, t. 2, Bibliothèque de la Pléiade, éd. Raymond Picard, 1952, t. 2, p. 797.</w:t>
      </w:r>
    </w:p>
  </w:footnote>
  <w:footnote w:type="normal" w:id="11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le rapprochement de Racine avec Port-Royal, déjà amorcé à cette date, voir Jean Mesnard, « Racine et Port-Royal : autour d’un épisode inconnu », </w:t>
      </w:r>
      <w:r>
        <w:rPr>
          <w:rStyle w:val="NotedebasdepageCar"/>
          <w:rFonts w:ascii="Garamond" w:hAnsi="Garamond"/>
        </w:rPr>
        <w:t xml:space="preserve">dans </w:t>
      </w:r>
      <w:r>
        <w:rPr>
          <w:rStyle w:val="NotedebasdepageCar"/>
          <w:rFonts w:ascii="Garamond" w:hAnsi="Garamond"/>
        </w:rPr>
        <w:t xml:space="preserve"> </w:t>
      </w:r>
      <w:r>
        <w:rPr>
          <w:rStyle w:val="NotedebasdepageCar"/>
          <w:rFonts w:ascii="Garamond" w:hAnsi="Garamond"/>
          <w:i/>
        </w:rPr>
        <w:t xml:space="preserve">La « Guirlande » di Cecilia. Studi in onore di Cecilia Rizza</w:t>
      </w:r>
      <w:r>
        <w:rPr>
          <w:rStyle w:val="NotedebasdepageCar"/>
          <w:rFonts w:ascii="Garamond" w:hAnsi="Garamond"/>
        </w:rPr>
        <w:t xml:space="preserve">, éd. Rosa Galli Pellegrini, Fasano-Paris, Schena-Nizet, 1996, p. 557-565.</w:t>
      </w:r>
    </w:p>
  </w:footnote>
  <w:footnote w:type="normal" w:id="11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Sabine Gruffat, « La parole oraculaire dans </w:t>
      </w:r>
      <w:r>
        <w:rPr>
          <w:rStyle w:val="NotedebasdepageCar"/>
          <w:rFonts w:ascii="Garamond" w:hAnsi="Garamond"/>
          <w:i/>
        </w:rPr>
        <w:t xml:space="preserve">Iphigénie</w:t>
      </w:r>
      <w:r>
        <w:rPr>
          <w:rStyle w:val="NotedebasdepageCar"/>
          <w:rFonts w:ascii="Garamond" w:hAnsi="Garamond"/>
        </w:rPr>
        <w:t xml:space="preserve"> de Racine », dans </w:t>
      </w:r>
      <w:r>
        <w:rPr>
          <w:rStyle w:val="NotedebasdepageCar"/>
          <w:rFonts w:ascii="Garamond" w:hAnsi="Garamond"/>
          <w:i/>
        </w:rPr>
        <w:t xml:space="preserve">Parole de l’Autre et genres littéraires XVI</w:t>
      </w:r>
      <w:r>
        <w:rPr>
          <w:rStyle w:val="NotedebasdepageCar"/>
          <w:rFonts w:ascii="Garamond" w:hAnsi="Garamond"/>
          <w:i/>
        </w:rPr>
        <w:t xml:space="preserve">e</w:t>
      </w:r>
      <w:r>
        <w:rPr>
          <w:rStyle w:val="NotedebasdepageCar"/>
          <w:rFonts w:ascii="Garamond" w:hAnsi="Garamond"/>
          <w:i/>
        </w:rPr>
        <w:t xml:space="preserve">-XVII</w:t>
      </w:r>
      <w:r>
        <w:rPr>
          <w:rStyle w:val="NotedebasdepageCar"/>
          <w:rFonts w:ascii="Garamond" w:hAnsi="Garamond"/>
          <w:i/>
        </w:rPr>
        <w:t xml:space="preserve">e</w:t>
      </w:r>
      <w:r>
        <w:rPr>
          <w:rStyle w:val="NotedebasdepageCar"/>
          <w:rFonts w:ascii="Garamond" w:hAnsi="Garamond"/>
          <w:i/>
        </w:rPr>
        <w:t xml:space="preserve"> siècles. Illustrations, interactions, subversions</w:t>
      </w:r>
      <w:r>
        <w:rPr>
          <w:rStyle w:val="NotedebasdepageCar"/>
          <w:rFonts w:ascii="Garamond" w:hAnsi="Garamond"/>
        </w:rPr>
        <w:t xml:space="preserve">, </w:t>
      </w:r>
      <w:r>
        <w:rPr>
          <w:rStyle w:val="NotedebasdepageCar"/>
          <w:rFonts w:ascii="Garamond" w:hAnsi="Garamond"/>
        </w:rPr>
        <w:t xml:space="preserve">Cahiers du GADGES</w:t>
      </w:r>
      <w:r>
        <w:rPr>
          <w:rStyle w:val="NotedebasdepageCar"/>
          <w:rFonts w:ascii="Garamond" w:hAnsi="Garamond"/>
        </w:rPr>
        <w:t xml:space="preserve">, 2007, pp. 231-255. Voir Blaise Pascal, </w:t>
      </w:r>
      <w:r>
        <w:rPr>
          <w:rStyle w:val="NotedebasdepageCar"/>
          <w:rFonts w:ascii="Garamond" w:hAnsi="Garamond"/>
          <w:i/>
        </w:rPr>
        <w:t xml:space="preserve">Traité de la prédestination et de la grâce</w:t>
      </w:r>
      <w:r>
        <w:rPr>
          <w:rStyle w:val="NotedebasdepageCar"/>
          <w:rFonts w:ascii="Garamond" w:hAnsi="Garamond"/>
        </w:rPr>
        <w:t xml:space="preserve">, dans </w:t>
      </w:r>
      <w:r>
        <w:rPr>
          <w:rStyle w:val="NotedebasdepageCar"/>
          <w:rFonts w:ascii="Garamond" w:hAnsi="Garamond"/>
          <w:i/>
        </w:rPr>
        <w:t xml:space="preserve">Œuvres Complètes,</w:t>
      </w:r>
      <w:r>
        <w:rPr>
          <w:rStyle w:val="NotedebasdepageCar"/>
          <w:rFonts w:ascii="Garamond" w:hAnsi="Garamond"/>
        </w:rPr>
        <w:t xml:space="preserve"> III, éd. </w:t>
      </w:r>
      <w:r>
        <w:rPr>
          <w:rStyle w:val="NotedebasdepageCar"/>
          <w:rFonts w:ascii="Garamond" w:hAnsi="Garamond"/>
        </w:rPr>
        <w:t xml:space="preserve">Jean </w:t>
      </w:r>
      <w:r>
        <w:rPr>
          <w:rStyle w:val="NotedebasdepageCar"/>
          <w:rFonts w:ascii="Garamond" w:hAnsi="Garamond"/>
        </w:rPr>
        <w:t xml:space="preserve">Mesnard, p. 793-794 : « La concupiscence s’est donc élevée dans ses membres et a chatouillé et délecté sa volonté dans le mal, et les ténèbres ont rempli son esprit de telle sorte que sa volonté, auparavant indifférente pour le bien et le mal, sans délectation ni chatouillement ni dans l’un ni dans l’autre, mais suivant, sans aucun appétit prévenant de sa part, ce qu’il connaissait de plus convenable à sa félicité, se trouve maintenant charmée par la concupiscence qui s’est élevée dans ses membres. Et son esprit très fort, très juste, très éclairé, est obscurci et dans l’ignorance ».</w:t>
      </w:r>
    </w:p>
  </w:footnote>
  <w:footnote w:type="normal" w:id="11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L</w:t>
      </w:r>
      <w:r>
        <w:rPr>
          <w:rStyle w:val="NotedebasdepageCar"/>
          <w:rFonts w:ascii="Garamond" w:hAnsi="Garamond"/>
        </w:rPr>
        <w:t xml:space="preserve">azare</w:t>
      </w:r>
      <w:r>
        <w:rPr>
          <w:rStyle w:val="NotedebasdepageCar"/>
          <w:rFonts w:ascii="Garamond" w:hAnsi="Garamond"/>
        </w:rPr>
        <w:t xml:space="preserve"> </w:t>
      </w:r>
      <w:r>
        <w:rPr>
          <w:rStyle w:val="NotedebasdepageCar"/>
          <w:rFonts w:ascii="Garamond" w:hAnsi="Garamond"/>
        </w:rPr>
        <w:t xml:space="preserve">Rivière, </w:t>
      </w:r>
      <w:r>
        <w:rPr>
          <w:rStyle w:val="NotedebasdepageCar"/>
          <w:rFonts w:ascii="Garamond" w:hAnsi="Garamond"/>
          <w:i/>
        </w:rPr>
        <w:t xml:space="preserve">La Pratique de médecine</w:t>
      </w:r>
      <w:r>
        <w:rPr>
          <w:rStyle w:val="NotedebasdepageCar"/>
          <w:rFonts w:ascii="Garamond" w:hAnsi="Garamond"/>
        </w:rPr>
        <w:t xml:space="preserve">, 1682, Lyon, chez </w:t>
      </w:r>
      <w:r>
        <w:rPr>
          <w:rStyle w:val="NotedebasdepageCar"/>
          <w:rFonts w:ascii="Garamond" w:hAnsi="Garamond"/>
        </w:rPr>
        <w:t xml:space="preserve">J</w:t>
      </w:r>
      <w:r>
        <w:rPr>
          <w:rStyle w:val="NotedebasdepageCar"/>
          <w:rFonts w:ascii="Garamond" w:hAnsi="Garamond"/>
        </w:rPr>
        <w:t xml:space="preserve">ean</w:t>
      </w:r>
      <w:r>
        <w:rPr>
          <w:rStyle w:val="NotedebasdepageCar"/>
          <w:rFonts w:ascii="Garamond" w:hAnsi="Garamond"/>
        </w:rPr>
        <w:t xml:space="preserve"> </w:t>
      </w:r>
      <w:r>
        <w:rPr>
          <w:rStyle w:val="NotedebasdepageCar"/>
          <w:rFonts w:ascii="Garamond" w:hAnsi="Garamond"/>
        </w:rPr>
        <w:t xml:space="preserve">Certes, p. 108. De même en un sens figuré : « un vent d’ambition, qui me pourrait chatouiller sans cause » (</w:t>
      </w:r>
      <w:r>
        <w:rPr>
          <w:rStyle w:val="NotedebasdepageCar"/>
          <w:rFonts w:ascii="Garamond" w:hAnsi="Garamond"/>
          <w:i/>
        </w:rPr>
        <w:t xml:space="preserve">Coutumes et usages de la ville</w:t>
      </w:r>
      <w:r>
        <w:rPr>
          <w:rStyle w:val="NotedebasdepageCar"/>
          <w:rFonts w:ascii="Garamond" w:hAnsi="Garamond"/>
        </w:rPr>
        <w:t xml:space="preserve">, Lille, 1626, </w:t>
      </w:r>
      <w:r>
        <w:rPr>
          <w:rStyle w:val="NotedebasdepageCar"/>
          <w:rFonts w:ascii="Garamond" w:hAnsi="Garamond"/>
        </w:rPr>
        <w:t xml:space="preserve">« Épître</w:t>
      </w:r>
      <w:r>
        <w:rPr>
          <w:rStyle w:val="NotedebasdepageCar"/>
          <w:rFonts w:ascii="Garamond" w:hAnsi="Garamond"/>
        </w:rPr>
        <w:t xml:space="preserve"> </w:t>
      </w:r>
      <w:r>
        <w:rPr>
          <w:rStyle w:val="NotedebasdepageCar"/>
          <w:rFonts w:ascii="Garamond" w:hAnsi="Garamond"/>
        </w:rPr>
        <w:t xml:space="preserve">dédicatoire »).</w:t>
      </w:r>
    </w:p>
  </w:footnote>
  <w:footnote w:type="normal" w:id="11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Saint Augustin, </w:t>
      </w:r>
      <w:r>
        <w:rPr>
          <w:rStyle w:val="NotedebasdepageCar"/>
          <w:rFonts w:ascii="Garamond" w:hAnsi="Garamond"/>
          <w:i/>
        </w:rPr>
        <w:t xml:space="preserve">La Cité de Dieu</w:t>
      </w:r>
      <w:r>
        <w:rPr>
          <w:rStyle w:val="NotedebasdepageCar"/>
          <w:rFonts w:ascii="Garamond" w:hAnsi="Garamond"/>
        </w:rPr>
        <w:t xml:space="preserve">, IV 3, trad. Louis Giry, 1665, Paris, chez Pierre Le Petit, t. 1, p. 373. </w:t>
      </w:r>
    </w:p>
  </w:footnote>
  <w:footnote w:type="normal" w:id="11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rPr>
        <w:t xml:space="preserve">G</w:t>
      </w:r>
      <w:r>
        <w:rPr>
          <w:rStyle w:val="NotedebasdepageCar"/>
          <w:rFonts w:ascii="Garamond" w:hAnsi="Garamond"/>
        </w:rPr>
        <w:t xml:space="preserve">eorges</w:t>
      </w:r>
      <w:r>
        <w:rPr>
          <w:rStyle w:val="NotedebasdepageCar"/>
          <w:rFonts w:ascii="Garamond" w:hAnsi="Garamond"/>
        </w:rPr>
        <w:t xml:space="preserve"> </w:t>
      </w:r>
      <w:r>
        <w:rPr>
          <w:rStyle w:val="NotedebasdepageCar"/>
          <w:rFonts w:ascii="Garamond" w:hAnsi="Garamond"/>
        </w:rPr>
        <w:t xml:space="preserve">Forestier dans </w:t>
      </w:r>
      <w:r>
        <w:rPr>
          <w:rStyle w:val="NotedebasdepageCar"/>
          <w:rFonts w:ascii="Garamond" w:hAnsi="Garamond"/>
        </w:rPr>
        <w:t xml:space="preserve">J</w:t>
      </w:r>
      <w:r>
        <w:rPr>
          <w:rStyle w:val="NotedebasdepageCar"/>
          <w:rFonts w:ascii="Garamond" w:hAnsi="Garamond"/>
        </w:rPr>
        <w:t xml:space="preserve">ean</w:t>
      </w:r>
      <w:r>
        <w:rPr>
          <w:rStyle w:val="NotedebasdepageCar"/>
          <w:rFonts w:ascii="Garamond" w:hAnsi="Garamond"/>
        </w:rPr>
        <w:t xml:space="preserve"> </w:t>
      </w:r>
      <w:r>
        <w:rPr>
          <w:rStyle w:val="NotedebasdepageCar"/>
          <w:rFonts w:ascii="Garamond" w:hAnsi="Garamond"/>
        </w:rPr>
        <w:t xml:space="preserve">Racine, </w:t>
      </w:r>
      <w:r>
        <w:rPr>
          <w:rStyle w:val="NotedebasdepageCar"/>
          <w:rFonts w:ascii="Garamond" w:hAnsi="Garamond"/>
          <w:i/>
        </w:rPr>
        <w:t xml:space="preserve">Œuvres complètes</w:t>
      </w:r>
      <w:r>
        <w:rPr>
          <w:rStyle w:val="NotedebasdepageCar"/>
          <w:rFonts w:ascii="Garamond" w:hAnsi="Garamond"/>
        </w:rPr>
        <w:t xml:space="preserve">,</w:t>
      </w:r>
      <w:r>
        <w:rPr>
          <w:rStyle w:val="NotedebasdepageCar"/>
          <w:rFonts w:ascii="Garamond" w:hAnsi="Garamond"/>
        </w:rPr>
        <w:t xml:space="preserve"> </w:t>
      </w:r>
      <w:r>
        <w:rPr>
          <w:rStyle w:val="NotedebasdepageCar"/>
          <w:rFonts w:ascii="Garamond" w:hAnsi="Garamond"/>
          <w:i/>
        </w:rPr>
        <w:t xml:space="preserve">Théâtre. Poésies</w:t>
      </w:r>
      <w:r>
        <w:rPr>
          <w:rStyle w:val="NotedebasdepageCar"/>
          <w:rFonts w:ascii="Garamond" w:hAnsi="Garamond"/>
        </w:rPr>
        <w:t xml:space="preserve">, </w:t>
      </w:r>
      <w:r>
        <w:rPr>
          <w:rStyle w:val="NotedebasdepageCar"/>
          <w:rFonts w:ascii="Garamond" w:hAnsi="Garamond"/>
        </w:rPr>
        <w:t xml:space="preserve">éd</w:t>
      </w:r>
      <w:r>
        <w:rPr>
          <w:rStyle w:val="NotedebasdepageCar"/>
          <w:rFonts w:ascii="Garamond" w:hAnsi="Garamond"/>
        </w:rPr>
        <w:t xml:space="preserve">. </w:t>
      </w:r>
      <w:r>
        <w:rPr>
          <w:rStyle w:val="NotedebasdepageCar"/>
          <w:rFonts w:ascii="Garamond" w:hAnsi="Garamond"/>
        </w:rPr>
        <w:t xml:space="preserve">cit.,</w:t>
      </w:r>
      <w:r>
        <w:rPr>
          <w:rStyle w:val="NotedebasdepageCar"/>
          <w:rFonts w:ascii="Garamond" w:hAnsi="Garamond"/>
        </w:rPr>
        <w:t xml:space="preserve"> p. 1574-1575.</w:t>
      </w:r>
    </w:p>
  </w:footnote>
  <w:footnote w:type="normal" w:id="11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Remarques sur l’Iphigénie de Mr. Racine, op. cit.</w:t>
      </w:r>
      <w:r>
        <w:rPr>
          <w:rStyle w:val="NotedebasdepageCar"/>
          <w:rFonts w:ascii="Garamond" w:hAnsi="Garamond"/>
        </w:rPr>
        <w:t xml:space="preserve">, p. 796.</w:t>
      </w:r>
    </w:p>
  </w:footnote>
  <w:footnote w:type="normal" w:id="11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Il devint le plus cruel de tous les hommes pour suivre son ambition » (</w:t>
      </w:r>
      <w:r>
        <w:rPr>
          <w:rStyle w:val="NotedebasdepageCar"/>
          <w:rFonts w:ascii="Garamond" w:hAnsi="Garamond"/>
          <w:i/>
        </w:rPr>
        <w:t xml:space="preserve">ibid.</w:t>
      </w:r>
      <w:r>
        <w:rPr>
          <w:rStyle w:val="NotedebasdepageCar"/>
          <w:rFonts w:ascii="Garamond" w:hAnsi="Garamond"/>
        </w:rPr>
        <w:t xml:space="preserve">, p. 796) ; il « la veut immoler à sa seule ambition » (</w:t>
      </w:r>
      <w:r>
        <w:rPr>
          <w:rStyle w:val="NotedebasdepageCar"/>
          <w:rFonts w:ascii="Garamond" w:hAnsi="Garamond"/>
          <w:i/>
        </w:rPr>
        <w:t xml:space="preserve">ibid.</w:t>
      </w:r>
      <w:r>
        <w:rPr>
          <w:rStyle w:val="NotedebasdepageCar"/>
          <w:rFonts w:ascii="Garamond" w:hAnsi="Garamond"/>
        </w:rPr>
        <w:t xml:space="preserve">, p. 800) ; et encore : « il n’est pas vraisemblable aussi que l'ardeur de son ambition ait pu le porter à cette barbarie » (</w:t>
      </w:r>
      <w:r>
        <w:rPr>
          <w:rStyle w:val="NotedebasdepageCar"/>
          <w:rFonts w:ascii="Garamond" w:hAnsi="Garamond"/>
          <w:i/>
        </w:rPr>
        <w:t xml:space="preserve">ibid.</w:t>
      </w:r>
      <w:r>
        <w:rPr>
          <w:rStyle w:val="NotedebasdepageCar"/>
          <w:rFonts w:ascii="Garamond" w:hAnsi="Garamond"/>
        </w:rPr>
        <w:t xml:space="preserve"> p. 801). </w:t>
      </w:r>
    </w:p>
  </w:footnote>
  <w:footnote w:type="normal" w:id="12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L’esthétique tragique d’</w:t>
      </w:r>
      <w:r>
        <w:rPr>
          <w:rStyle w:val="NotedebasdepageCar"/>
          <w:rFonts w:ascii="Garamond" w:hAnsi="Garamond"/>
          <w:i/>
        </w:rPr>
        <w:t xml:space="preserve">Iphigénie</w:t>
      </w:r>
      <w:r>
        <w:rPr>
          <w:rStyle w:val="NotedebasdepageCar"/>
          <w:rFonts w:ascii="Garamond" w:hAnsi="Garamond"/>
        </w:rPr>
        <w:t xml:space="preserve"> repose sur l’</w:t>
      </w:r>
      <w:r>
        <w:rPr>
          <w:rStyle w:val="NotedebasdepageCar"/>
          <w:rFonts w:ascii="Garamond" w:hAnsi="Garamond"/>
          <w:i/>
        </w:rPr>
        <w:t xml:space="preserve">hybris</w:t>
      </w:r>
      <w:r>
        <w:rPr>
          <w:rStyle w:val="NotedebasdepageCar"/>
          <w:rFonts w:ascii="Garamond" w:hAnsi="Garamond"/>
        </w:rPr>
        <w:t xml:space="preserve"> qui entraîne les protagonistes […] et en particulier sur la </w:t>
      </w:r>
      <w:r>
        <w:rPr>
          <w:rStyle w:val="NotedebasdepageCar"/>
          <w:rFonts w:ascii="Garamond" w:hAnsi="Garamond"/>
          <w:i/>
        </w:rPr>
        <w:t xml:space="preserve">libido dominandi</w:t>
      </w:r>
      <w:r>
        <w:rPr>
          <w:rStyle w:val="NotedebasdepageCar"/>
          <w:rFonts w:ascii="Garamond" w:hAnsi="Garamond"/>
        </w:rPr>
        <w:t xml:space="preserve"> qui caractérise l’ethos d’Agamemnon » (</w:t>
      </w:r>
      <w:r>
        <w:rPr>
          <w:rStyle w:val="NotedebasdepageCar"/>
          <w:rFonts w:ascii="Garamond" w:hAnsi="Garamond"/>
        </w:rPr>
        <w:t xml:space="preserve"> </w:t>
      </w:r>
      <w:r>
        <w:rPr>
          <w:rStyle w:val="NotedebasdepageCar"/>
          <w:rFonts w:ascii="Garamond" w:hAnsi="Garamond"/>
        </w:rPr>
        <w:t xml:space="preserve">A</w:t>
      </w:r>
      <w:r>
        <w:rPr>
          <w:rStyle w:val="NotedebasdepageCar"/>
          <w:rFonts w:ascii="Garamond" w:hAnsi="Garamond"/>
        </w:rPr>
        <w:t xml:space="preserve">lain</w:t>
      </w:r>
      <w:r>
        <w:rPr>
          <w:rStyle w:val="NotedebasdepageCar"/>
          <w:rFonts w:ascii="Garamond" w:hAnsi="Garamond"/>
        </w:rPr>
        <w:t xml:space="preserve"> </w:t>
      </w:r>
      <w:r>
        <w:rPr>
          <w:rStyle w:val="NotedebasdepageCar"/>
          <w:rFonts w:ascii="Garamond" w:hAnsi="Garamond"/>
        </w:rPr>
        <w:t xml:space="preserve">Viala, « L’Empire de l’Asie » dans </w:t>
      </w:r>
      <w:r>
        <w:rPr>
          <w:rStyle w:val="NotedebasdepageCar"/>
          <w:rFonts w:ascii="Garamond" w:hAnsi="Garamond"/>
        </w:rPr>
        <w:t xml:space="preserve">I</w:t>
      </w:r>
      <w:r>
        <w:rPr>
          <w:rStyle w:val="NotedebasdepageCar"/>
          <w:rFonts w:ascii="Garamond" w:hAnsi="Garamond"/>
        </w:rPr>
        <w:t xml:space="preserve">sabelle</w:t>
      </w:r>
      <w:r>
        <w:rPr>
          <w:rStyle w:val="NotedebasdepageCar"/>
          <w:rFonts w:ascii="Garamond" w:hAnsi="Garamond"/>
        </w:rPr>
        <w:t xml:space="preserve"> </w:t>
      </w:r>
      <w:r>
        <w:rPr>
          <w:rStyle w:val="NotedebasdepageCar"/>
          <w:rFonts w:ascii="Garamond" w:hAnsi="Garamond"/>
        </w:rPr>
        <w:t xml:space="preserve">Martin et </w:t>
      </w:r>
      <w:r>
        <w:rPr>
          <w:rStyle w:val="NotedebasdepageCar"/>
          <w:rFonts w:ascii="Garamond" w:hAnsi="Garamond"/>
        </w:rPr>
        <w:t xml:space="preserve">R</w:t>
      </w:r>
      <w:r>
        <w:rPr>
          <w:rStyle w:val="NotedebasdepageCar"/>
          <w:rFonts w:ascii="Garamond" w:hAnsi="Garamond"/>
        </w:rPr>
        <w:t xml:space="preserve">obert</w:t>
      </w:r>
      <w:r>
        <w:rPr>
          <w:rStyle w:val="NotedebasdepageCar"/>
          <w:rFonts w:ascii="Garamond" w:hAnsi="Garamond"/>
        </w:rPr>
        <w:t xml:space="preserve"> </w:t>
      </w:r>
      <w:r>
        <w:rPr>
          <w:rStyle w:val="NotedebasdepageCar"/>
          <w:rFonts w:ascii="Garamond" w:hAnsi="Garamond"/>
        </w:rPr>
        <w:t xml:space="preserve">Elbaz, (dir.), </w:t>
      </w:r>
      <w:r>
        <w:rPr>
          <w:rStyle w:val="NotedebasdepageCar"/>
          <w:rFonts w:ascii="Garamond" w:hAnsi="Garamond"/>
          <w:i/>
        </w:rPr>
        <w:t xml:space="preserve">Jean Racine et l’Orient</w:t>
      </w:r>
      <w:r>
        <w:rPr>
          <w:rStyle w:val="NotedebasdepageCar"/>
          <w:rFonts w:ascii="Garamond" w:hAnsi="Garamond"/>
        </w:rPr>
        <w:t xml:space="preserve">, </w:t>
      </w:r>
      <w:r>
        <w:rPr>
          <w:rStyle w:val="NotedebasdepageCar"/>
          <w:rFonts w:ascii="Garamond" w:hAnsi="Garamond"/>
          <w:i/>
        </w:rPr>
        <w:t xml:space="preserve">Biblio 17</w:t>
      </w:r>
      <w:r>
        <w:rPr>
          <w:rStyle w:val="NotedebasdepageCar"/>
          <w:rFonts w:ascii="Garamond" w:hAnsi="Garamond"/>
        </w:rPr>
        <w:t xml:space="preserve">, 148, 2003, p. 77).</w:t>
      </w:r>
    </w:p>
  </w:footnote>
  <w:footnote w:type="normal" w:id="12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A</w:t>
      </w:r>
      <w:r>
        <w:rPr>
          <w:rStyle w:val="NotedebasdepageCar"/>
          <w:rFonts w:ascii="Garamond" w:hAnsi="Garamond"/>
        </w:rPr>
        <w:t xml:space="preserve">ntoine</w:t>
      </w:r>
      <w:r>
        <w:rPr>
          <w:rStyle w:val="NotedebasdepageCar"/>
          <w:rFonts w:ascii="Garamond" w:hAnsi="Garamond"/>
        </w:rPr>
        <w:t xml:space="preserve"> </w:t>
      </w:r>
      <w:r>
        <w:rPr>
          <w:rStyle w:val="NotedebasdepageCar"/>
          <w:rFonts w:ascii="Garamond" w:hAnsi="Garamond"/>
        </w:rPr>
        <w:t xml:space="preserve">Furetière, </w:t>
      </w:r>
      <w:r>
        <w:rPr>
          <w:rStyle w:val="NotedebasdepageCar"/>
          <w:rFonts w:ascii="Garamond" w:hAnsi="Garamond"/>
          <w:i/>
        </w:rPr>
        <w:t xml:space="preserve">Dictionnaire universel</w:t>
      </w:r>
      <w:r>
        <w:rPr>
          <w:rStyle w:val="NotedebasdepageCar"/>
          <w:rFonts w:ascii="Garamond" w:hAnsi="Garamond"/>
        </w:rPr>
        <w:t xml:space="preserve">, </w:t>
      </w:r>
      <w:r>
        <w:rPr>
          <w:rStyle w:val="NotedebasdepageCar"/>
          <w:rFonts w:ascii="Garamond" w:hAnsi="Garamond"/>
          <w:i/>
        </w:rPr>
        <w:t xml:space="preserve">sv</w:t>
      </w:r>
      <w:r>
        <w:rPr>
          <w:rStyle w:val="NotedebasdepageCar"/>
          <w:rFonts w:ascii="Garamond" w:hAnsi="Garamond"/>
        </w:rPr>
        <w:t xml:space="preserve"> « grandeur ».</w:t>
      </w:r>
    </w:p>
  </w:footnote>
  <w:footnote w:type="normal" w:id="12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Sa jalousie envers Hélène transparaît de la manière dont elle se plaît à l’accabler </w:t>
      </w:r>
      <w:r>
        <w:rPr>
          <w:rStyle w:val="NotedebasdepageCar"/>
          <w:rFonts w:ascii="Garamond" w:hAnsi="Garamond"/>
        </w:rPr>
        <w:t xml:space="preserve">–</w:t>
      </w:r>
      <w:r>
        <w:rPr>
          <w:rStyle w:val="NotedebasdepageCar"/>
          <w:rFonts w:ascii="Garamond" w:hAnsi="Garamond"/>
        </w:rPr>
        <w:t xml:space="preserve"> « sa coupable moitié, dont il est trop épris » dit-elle de Ménélas (v. 1272) </w:t>
      </w:r>
      <w:r>
        <w:rPr>
          <w:rStyle w:val="NotedebasdepageCar"/>
          <w:rFonts w:ascii="Garamond" w:hAnsi="Garamond"/>
        </w:rPr>
        <w:t xml:space="preserve">–</w:t>
      </w:r>
      <w:r>
        <w:rPr>
          <w:rStyle w:val="NotedebasdepageCar"/>
          <w:rFonts w:ascii="Garamond" w:hAnsi="Garamond"/>
        </w:rPr>
        <w:t xml:space="preserve">, de même que dans la périphrase dont elle la désigne </w:t>
      </w:r>
      <w:r>
        <w:rPr>
          <w:rStyle w:val="NotedebasdepageCar"/>
          <w:rFonts w:ascii="Garamond" w:hAnsi="Garamond"/>
        </w:rPr>
        <w:t xml:space="preserve">–</w:t>
      </w:r>
      <w:r>
        <w:rPr>
          <w:rStyle w:val="NotedebasdepageCar"/>
          <w:rFonts w:ascii="Garamond" w:hAnsi="Garamond"/>
        </w:rPr>
        <w:t xml:space="preserve"> « cet Objet de tant de jalousies » (v. 1277) </w:t>
      </w:r>
      <w:r>
        <w:rPr>
          <w:rStyle w:val="NotedebasdepageCar"/>
          <w:rFonts w:ascii="Garamond" w:hAnsi="Garamond"/>
        </w:rPr>
        <w:t xml:space="preserve">–</w:t>
      </w:r>
      <w:r>
        <w:rPr>
          <w:rStyle w:val="NotedebasdepageCar"/>
          <w:rFonts w:ascii="Garamond" w:hAnsi="Garamond"/>
        </w:rPr>
        <w:t xml:space="preserve">, s’entend l’aveu de sa propre jalousie.</w:t>
      </w:r>
    </w:p>
  </w:footnote>
  <w:footnote w:type="normal" w:id="12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Vous ne démentez point une race funeste,</w:t>
      </w:r>
      <w:r>
        <w:rPr>
          <w:rStyle w:val="NotedebasdepageCar"/>
          <w:rFonts w:ascii="Garamond" w:hAnsi="Garamond"/>
        </w:rPr>
        <w:t xml:space="preserve"> </w:t>
      </w:r>
      <w:r>
        <w:rPr>
          <w:rStyle w:val="NotedebasdepageCar"/>
          <w:rFonts w:ascii="Garamond" w:hAnsi="Garamond"/>
        </w:rPr>
        <w:t xml:space="preserve">/ Oui vous êtes le sang d’Atrée et de Thyeste » (v. 1249-1250). Et : « Reconnais l’héritier et le vrai Fils d’Atrée » (v. 1690).</w:t>
      </w:r>
    </w:p>
  </w:footnote>
  <w:footnote w:type="normal" w:id="12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Courir après le vent pour l’attraper, dit saint Chrysostome, c’est courir après la gloire des hommes » (Nicolas Fontaine, </w:t>
      </w:r>
      <w:r>
        <w:rPr>
          <w:rStyle w:val="NotedebasdepageCar"/>
          <w:rFonts w:ascii="Garamond" w:hAnsi="Garamond"/>
          <w:i/>
        </w:rPr>
        <w:t xml:space="preserve">Dictionnaire chrétien</w:t>
      </w:r>
      <w:r>
        <w:rPr>
          <w:rStyle w:val="NotedebasdepageCar"/>
          <w:rFonts w:ascii="Garamond" w:hAnsi="Garamond"/>
        </w:rPr>
        <w:t xml:space="preserve">, 1691, Paris, chez Elie Josset, p. 631). </w:t>
      </w:r>
    </w:p>
  </w:footnote>
  <w:footnote w:type="normal" w:id="12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dans cette scène les v. 962, 986, et 992.</w:t>
      </w:r>
    </w:p>
  </w:footnote>
  <w:footnote w:type="normal" w:id="12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Jean-Baptiste Nougaret, </w:t>
      </w:r>
      <w:r>
        <w:rPr>
          <w:rStyle w:val="NotedebasdepageCar"/>
          <w:rFonts w:ascii="Garamond" w:hAnsi="Garamond"/>
          <w:i/>
        </w:rPr>
        <w:t xml:space="preserve">De l’Art du théâtre</w:t>
      </w:r>
      <w:r>
        <w:rPr>
          <w:rStyle w:val="NotedebasdepageCar"/>
          <w:rFonts w:ascii="Garamond" w:hAnsi="Garamond"/>
        </w:rPr>
        <w:t xml:space="preserve">, Paris, chez Cailleau, 1769, t. 1, p. 310.</w:t>
      </w:r>
    </w:p>
  </w:footnote>
  <w:footnote w:type="normal" w:id="12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w:t>
      </w:r>
      <w:r>
        <w:rPr>
          <w:rStyle w:val="NotedebasdepageCar"/>
          <w:rFonts w:ascii="Garamond" w:hAnsi="Garamond"/>
        </w:rPr>
        <w:t xml:space="preserve">acques</w:t>
      </w:r>
      <w:r>
        <w:rPr>
          <w:rStyle w:val="NotedebasdepageCar"/>
          <w:rFonts w:ascii="Garamond" w:hAnsi="Garamond"/>
        </w:rPr>
        <w:t xml:space="preserve"> </w:t>
      </w:r>
      <w:r>
        <w:rPr>
          <w:rStyle w:val="NotedebasdepageCar"/>
          <w:rFonts w:ascii="Garamond" w:hAnsi="Garamond"/>
        </w:rPr>
        <w:t xml:space="preserve">Esprit, </w:t>
      </w:r>
      <w:r>
        <w:rPr>
          <w:rStyle w:val="NotedebasdepageCar"/>
          <w:rFonts w:ascii="Garamond" w:hAnsi="Garamond"/>
          <w:i/>
        </w:rPr>
        <w:t xml:space="preserve">La Fausseté des vertus humaines</w:t>
      </w:r>
      <w:r>
        <w:rPr>
          <w:rStyle w:val="NotedebasdepageCar"/>
          <w:rFonts w:ascii="Garamond" w:hAnsi="Garamond"/>
        </w:rPr>
        <w:t xml:space="preserve">, Aubier, Paris, 1996, t. 2, chap. XIX, p. 445.</w:t>
      </w:r>
    </w:p>
  </w:footnote>
  <w:footnote w:type="normal" w:id="12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le rôle trouble de Calchas, voir Tony Gheeraert, « Voix de Dieu, voix des dieux : oracles, visions et prophéties chez Jean Racine », </w:t>
      </w:r>
      <w:r>
        <w:rPr>
          <w:rStyle w:val="NotedebasdepageCar"/>
          <w:rFonts w:ascii="Garamond" w:hAnsi="Garamond"/>
          <w:i/>
        </w:rPr>
        <w:t xml:space="preserve">É</w:t>
      </w:r>
      <w:r>
        <w:rPr>
          <w:rStyle w:val="NotedebasdepageCar"/>
          <w:rFonts w:ascii="Garamond" w:hAnsi="Garamond"/>
          <w:i/>
        </w:rPr>
        <w:t xml:space="preserve">tudes épistémè</w:t>
      </w:r>
      <w:r>
        <w:rPr>
          <w:rStyle w:val="NotedebasdepageCar"/>
          <w:rFonts w:ascii="Garamond" w:hAnsi="Garamond"/>
        </w:rPr>
        <w:t xml:space="preserve">, 2007, en ligne : </w:t>
      </w:r>
      <w:r>
        <w:rPr>
          <w:rStyle w:val="NotedebasdepageCar"/>
          <w:rFonts w:ascii="Garamond" w:hAnsi="Garamond"/>
        </w:rPr>
        <w:t xml:space="preserve">https://journals.openedition.org/episteme/922?lang=en</w:t>
      </w:r>
      <w:r>
        <w:rPr>
          <w:rStyle w:val="NotedebasdepageCar"/>
          <w:rFonts w:ascii="Garamond" w:hAnsi="Garamond"/>
        </w:rPr>
        <w:t xml:space="preserve"> consulté le 25 mars 2025 ; et Sabine Gruffat, art. cit., p. 242-243.</w:t>
      </w:r>
      <w:r>
        <w:rPr>
          <w:rStyle w:val="NotedebasdepageCar"/>
          <w:rFonts w:ascii="Garamond" w:hAnsi="Garamond"/>
        </w:rPr>
        <w:t xml:space="preserve">
</w:t>
      </w:r>
    </w:p>
  </w:footnote>
  <w:footnote w:type="normal" w:id="12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w:t>
      </w:r>
      <w:r>
        <w:rPr>
          <w:rStyle w:val="NotedebasdepageCar"/>
          <w:rFonts w:ascii="Garamond" w:hAnsi="Garamond"/>
        </w:rPr>
        <w:t xml:space="preserve">Racine, </w:t>
      </w:r>
      <w:r>
        <w:rPr>
          <w:rStyle w:val="NotedebasdepageCar"/>
          <w:rFonts w:ascii="Garamond" w:hAnsi="Garamond"/>
          <w:i/>
        </w:rPr>
        <w:t xml:space="preserve">Iphigénie</w:t>
      </w:r>
      <w:r>
        <w:rPr>
          <w:rStyle w:val="NotedebasdepageCar"/>
          <w:rFonts w:ascii="Garamond" w:hAnsi="Garamond"/>
        </w:rPr>
        <w:t xml:space="preserve">, « préface » dans </w:t>
      </w:r>
      <w:r>
        <w:rPr>
          <w:rStyle w:val="NotedebasdepageCar"/>
          <w:rFonts w:ascii="Garamond" w:hAnsi="Garamond"/>
        </w:rPr>
        <w:t xml:space="preserve">Jean </w:t>
      </w:r>
      <w:r>
        <w:rPr>
          <w:rStyle w:val="NotedebasdepageCar"/>
          <w:rFonts w:ascii="Garamond" w:hAnsi="Garamond"/>
        </w:rPr>
        <w:t xml:space="preserve">Racine, </w:t>
      </w:r>
      <w:r>
        <w:rPr>
          <w:rStyle w:val="NotedebasdepageCar"/>
          <w:rFonts w:ascii="Garamond" w:hAnsi="Garamond"/>
          <w:i/>
        </w:rPr>
        <w:t xml:space="preserve">Œuvres complètes</w:t>
      </w:r>
      <w:r>
        <w:rPr>
          <w:rStyle w:val="NotedebasdepageCar"/>
          <w:rFonts w:ascii="Garamond" w:hAnsi="Garamond"/>
        </w:rPr>
        <w:t xml:space="preserve">, </w:t>
      </w:r>
      <w:r>
        <w:rPr>
          <w:rStyle w:val="NotedebasdepageCar"/>
          <w:rFonts w:ascii="Garamond" w:hAnsi="Garamond"/>
          <w:i/>
        </w:rPr>
        <w:t xml:space="preserve">Théâtre. Poésies</w:t>
      </w:r>
      <w:r>
        <w:rPr>
          <w:rStyle w:val="NotedebasdepageCar"/>
          <w:rFonts w:ascii="Garamond" w:hAnsi="Garamond"/>
        </w:rPr>
        <w:t xml:space="preserve">, éd. cit., p. 698.</w:t>
      </w:r>
    </w:p>
  </w:footnote>
  <w:footnote w:type="normal" w:id="13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Gabrilla Violato et Flavia Mariotti, « Racine et la duplication de la guerre de Troie », dans </w:t>
      </w:r>
      <w:r>
        <w:rPr>
          <w:rStyle w:val="NotedebasdepageCar"/>
          <w:rFonts w:ascii="Garamond" w:hAnsi="Garamond"/>
          <w:i/>
        </w:rPr>
        <w:t xml:space="preserve">Revue italienne d’études françaises</w:t>
      </w:r>
      <w:r>
        <w:rPr>
          <w:rStyle w:val="NotedebasdepageCar"/>
          <w:rFonts w:ascii="Garamond" w:hAnsi="Garamond"/>
        </w:rPr>
        <w:t xml:space="preserve">, 2012.</w:t>
      </w:r>
    </w:p>
  </w:footnote>
  <w:footnote w:type="normal" w:id="13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En effet, en dépit du salut final d’Iphigénie, Racine n’a pas éliminé de sa pièce les suites légendaires du sacrifice. L’ironie tragique repose en effet sur les données du mythe (l’assassinat d’Agamemnon par Clytemnestre et </w:t>
      </w:r>
      <w:r>
        <w:rPr>
          <w:rStyle w:val="NotedebasdepageCar"/>
          <w:rFonts w:ascii="Garamond" w:hAnsi="Garamond"/>
        </w:rPr>
        <w:t xml:space="preserve">É</w:t>
      </w:r>
      <w:r>
        <w:rPr>
          <w:rStyle w:val="NotedebasdepageCar"/>
          <w:rFonts w:ascii="Garamond" w:hAnsi="Garamond"/>
        </w:rPr>
        <w:t xml:space="preserve">gisthe, celui de Clytemnestre par Oreste) comme si la survie de l’héroïne ne devait rien changer au cours funeste des événements, soit que le consentement initial d’Agamemnon au sacrifice de sa fille suffise à motiver son assassinat, soit que celui-ci dût être entrepris pour des raisons indépendantes du sacrifice : voir les adieux d’Iphigénie à Clytemnestre aux vers 1649-1650 et 1661-1662.</w:t>
      </w:r>
    </w:p>
  </w:footnote>
  <w:footnote w:type="normal" w:id="13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Dictys de Crète, </w:t>
      </w:r>
      <w:r>
        <w:rPr>
          <w:rStyle w:val="NotedebasdepageCar"/>
          <w:rFonts w:ascii="Garamond" w:hAnsi="Garamond"/>
          <w:i/>
        </w:rPr>
        <w:t xml:space="preserve">Éphéméride de la guerre de Troie</w:t>
      </w:r>
      <w:r>
        <w:rPr>
          <w:rStyle w:val="NotedebasdepageCar"/>
          <w:rFonts w:ascii="Garamond" w:hAnsi="Garamond"/>
        </w:rPr>
        <w:t xml:space="preserve">, livre 1, chap. 19</w:t>
      </w:r>
      <w:r>
        <w:rPr>
          <w:rStyle w:val="NotedebasdepageCar"/>
          <w:rFonts w:ascii="Garamond" w:hAnsi="Garamond"/>
          <w:b/>
        </w:rPr>
        <w:t xml:space="preserve">. </w:t>
      </w:r>
      <w:r>
        <w:rPr>
          <w:rStyle w:val="NotedebasdepageCar"/>
          <w:rFonts w:ascii="Garamond" w:hAnsi="Garamond"/>
        </w:rPr>
        <w:t xml:space="preserve">Dans la tragi-comédie de Rotrou, l’orage accompagne l’épiphanie de la déesse (voir </w:t>
      </w:r>
      <w:r>
        <w:rPr>
          <w:rStyle w:val="NotedebasdepageCar"/>
          <w:rFonts w:ascii="Garamond" w:hAnsi="Garamond"/>
        </w:rPr>
        <w:t xml:space="preserve">J</w:t>
      </w:r>
      <w:r>
        <w:rPr>
          <w:rStyle w:val="NotedebasdepageCar"/>
          <w:rFonts w:ascii="Garamond" w:hAnsi="Garamond"/>
        </w:rPr>
        <w:t xml:space="preserve">ean </w:t>
      </w:r>
      <w:r>
        <w:rPr>
          <w:rStyle w:val="NotedebasdepageCar"/>
          <w:rFonts w:ascii="Garamond" w:hAnsi="Garamond"/>
        </w:rPr>
        <w:t xml:space="preserve">de Rotrou, </w:t>
      </w:r>
      <w:r>
        <w:rPr>
          <w:rStyle w:val="NotedebasdepageCar"/>
          <w:rFonts w:ascii="Garamond" w:hAnsi="Garamond"/>
          <w:i/>
        </w:rPr>
        <w:t xml:space="preserve">Iphygénie en Aulide</w:t>
      </w:r>
      <w:r>
        <w:rPr>
          <w:rStyle w:val="NotedebasdepageCar"/>
          <w:rFonts w:ascii="Garamond" w:hAnsi="Garamond"/>
        </w:rPr>
        <w:t xml:space="preserve">, Acte V, sc. 3).</w:t>
      </w:r>
    </w:p>
  </w:footnote>
  <w:footnote w:type="normal" w:id="13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Énée ne vit-il pas Priam auprès des autels mourir d’une main meurtrière, « et souiller de son sang les autels que lui-même avait dressés aux dieux » ? N’est-il pas dit de Diomède et d’Ulysse : « ayant égorgé les soldats destinés pour garder le temple de Pallas, rien ne leur fut sacré, leur insolence extrême osa bien enlever la déesse elle-même » […]. Depuis ils firent périr Troie par le fer et par les flammes, depuis enfin ils tuèrent Priam qui avait cherché son asile au milieu des autels. » (</w:t>
      </w:r>
      <w:r>
        <w:rPr>
          <w:rStyle w:val="NotedebasdepageCar"/>
          <w:rFonts w:ascii="Garamond" w:hAnsi="Garamond"/>
          <w:i/>
        </w:rPr>
        <w:t xml:space="preserve">La Cité de Dieu</w:t>
      </w:r>
      <w:r>
        <w:rPr>
          <w:rStyle w:val="NotedebasdepageCar"/>
          <w:rFonts w:ascii="Garamond" w:hAnsi="Garamond"/>
        </w:rPr>
        <w:t xml:space="preserve">, I, 2, Louis Giry, Paris, Pierre Le Petit, 1665, p. 8).</w:t>
      </w:r>
    </w:p>
  </w:footnote>
  <w:footnote w:type="normal" w:id="13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Là les malheureux ont perdu la liberté ; ici la liberté a été conservée. Là on a fait des captifs, ici il a été défendu d’en faire. Là des ennemis insolents réduisaient sous une misérable servitude, ceux dont ils se faisaient les maîtres ; ici des ennemis pleins de compassion semblaient conduire ceux qui devaient être délivrés par leur bonté » (</w:t>
      </w:r>
      <w:r>
        <w:rPr>
          <w:rStyle w:val="NotedebasdepageCar"/>
          <w:rFonts w:ascii="Garamond" w:hAnsi="Garamond"/>
          <w:i/>
        </w:rPr>
        <w:t xml:space="preserve">Ibid.</w:t>
      </w:r>
      <w:r>
        <w:rPr>
          <w:rStyle w:val="NotedebasdepageCar"/>
          <w:rFonts w:ascii="Garamond" w:hAnsi="Garamond"/>
        </w:rPr>
        <w:t xml:space="preserve">, I, 4, p. 15). </w:t>
      </w:r>
    </w:p>
  </w:footnote>
  <w:footnote w:type="normal" w:id="13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Orose emploie le vocable </w:t>
      </w:r>
      <w:r>
        <w:rPr>
          <w:rStyle w:val="NotedebasdepageCar"/>
          <w:rFonts w:ascii="Garamond" w:hAnsi="Garamond"/>
          <w:i/>
        </w:rPr>
        <w:t xml:space="preserve">turbo,</w:t>
      </w:r>
      <w:r>
        <w:rPr>
          <w:rStyle w:val="NotedebasdepageCar"/>
          <w:rFonts w:ascii="Garamond" w:hAnsi="Garamond"/>
        </w:rPr>
        <w:t xml:space="preserve"> soit «  tourmente, tourbillon de vents » (Orose, </w:t>
      </w:r>
      <w:r>
        <w:rPr>
          <w:rStyle w:val="NotedebasdepageCar"/>
          <w:rFonts w:ascii="Garamond" w:hAnsi="Garamond"/>
          <w:i/>
        </w:rPr>
        <w:t xml:space="preserve">Histoires</w:t>
      </w:r>
      <w:r>
        <w:rPr>
          <w:rStyle w:val="NotedebasdepageCar"/>
          <w:rFonts w:ascii="Garamond" w:hAnsi="Garamond"/>
        </w:rPr>
        <w:t xml:space="preserve">, I, 17, 1-2). Voir </w:t>
      </w:r>
      <w:r>
        <w:rPr>
          <w:rStyle w:val="NotedebasdepageCar"/>
          <w:rFonts w:ascii="Garamond" w:hAnsi="Garamond"/>
        </w:rPr>
        <w:t xml:space="preserve">Magali Coumert</w:t>
      </w:r>
      <w:r>
        <w:rPr>
          <w:rStyle w:val="NotedebasdepageCar"/>
          <w:rFonts w:ascii="Garamond" w:hAnsi="Garamond"/>
        </w:rPr>
        <w:t xml:space="preserve">, « La mémoire de Troie en Occident, d’Orose à Benoît de Sainte-Maure », dans </w:t>
      </w:r>
      <w:r>
        <w:rPr>
          <w:rStyle w:val="NotedebasdepageCar"/>
          <w:rFonts w:ascii="Garamond" w:hAnsi="Garamond"/>
          <w:i/>
        </w:rPr>
        <w:t xml:space="preserve">Les Villes capitales au Moye</w:t>
      </w:r>
      <w:r>
        <w:rPr>
          <w:rStyle w:val="NotedebasdepageCar"/>
          <w:rFonts w:ascii="Garamond" w:hAnsi="Garamond"/>
          <w:i/>
        </w:rPr>
        <w:t xml:space="preserve">n</w:t>
      </w:r>
      <w:r>
        <w:rPr>
          <w:rStyle w:val="NotedebasdepageCar"/>
          <w:rFonts w:ascii="Garamond" w:hAnsi="Garamond"/>
          <w:i/>
        </w:rPr>
        <w:t xml:space="preserve"> Â</w:t>
      </w:r>
      <w:r>
        <w:rPr>
          <w:rStyle w:val="NotedebasdepageCar"/>
          <w:rFonts w:ascii="Garamond" w:hAnsi="Garamond"/>
          <w:i/>
        </w:rPr>
        <w:t xml:space="preserve">ge</w:t>
      </w:r>
      <w:r>
        <w:rPr>
          <w:rStyle w:val="NotedebasdepageCar"/>
          <w:rFonts w:ascii="Garamond" w:hAnsi="Garamond"/>
        </w:rPr>
        <w:t xml:space="preserve">, Publications de la Sorbonne, 2005, p. 327-347.</w:t>
      </w:r>
    </w:p>
  </w:footnote>
  <w:footnote w:type="normal" w:id="13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rPr>
        <w:t xml:space="preserve">R</w:t>
      </w:r>
      <w:r>
        <w:rPr>
          <w:rStyle w:val="NotedebasdepageCar"/>
          <w:rFonts w:ascii="Garamond" w:hAnsi="Garamond"/>
        </w:rPr>
        <w:t xml:space="preserve">oland </w:t>
      </w:r>
      <w:r>
        <w:rPr>
          <w:rStyle w:val="NotedebasdepageCar"/>
          <w:rFonts w:ascii="Garamond" w:hAnsi="Garamond"/>
        </w:rPr>
        <w:t xml:space="preserve">Barthes, </w:t>
      </w:r>
      <w:r>
        <w:rPr>
          <w:rStyle w:val="NotedebasdepageCar"/>
          <w:rFonts w:ascii="Garamond" w:hAnsi="Garamond"/>
          <w:i/>
        </w:rPr>
        <w:t xml:space="preserve">Sur Racine</w:t>
      </w:r>
      <w:r>
        <w:rPr>
          <w:rStyle w:val="NotedebasdepageCar"/>
          <w:rFonts w:ascii="Garamond" w:hAnsi="Garamond"/>
        </w:rPr>
        <w:t xml:space="preserve">, Seuil, 1963, p. 108-115.</w:t>
      </w:r>
    </w:p>
  </w:footnote>
  <w:footnote w:type="normal" w:id="13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N</w:t>
      </w:r>
      <w:r>
        <w:rPr>
          <w:rStyle w:val="NotedebasdepageCar"/>
          <w:rFonts w:ascii="Garamond" w:hAnsi="Garamond"/>
        </w:rPr>
        <w:t xml:space="preserve">icolas</w:t>
      </w:r>
      <w:r>
        <w:rPr>
          <w:rStyle w:val="NotedebasdepageCar"/>
          <w:rFonts w:ascii="Garamond" w:hAnsi="Garamond"/>
        </w:rPr>
        <w:t xml:space="preserve"> </w:t>
      </w:r>
      <w:r>
        <w:rPr>
          <w:rStyle w:val="NotedebasdepageCar"/>
          <w:rFonts w:ascii="Garamond" w:hAnsi="Garamond"/>
        </w:rPr>
        <w:t xml:space="preserve">de Hauteville, </w:t>
      </w:r>
      <w:r>
        <w:rPr>
          <w:rStyle w:val="NotedebasdepageCar"/>
          <w:rFonts w:ascii="Garamond" w:hAnsi="Garamond"/>
          <w:i/>
        </w:rPr>
        <w:t xml:space="preserve">La Théologie angélique</w:t>
      </w:r>
      <w:r>
        <w:rPr>
          <w:rStyle w:val="NotedebasdepageCar"/>
          <w:rFonts w:ascii="Garamond" w:hAnsi="Garamond"/>
        </w:rPr>
        <w:t xml:space="preserve">, 1657, t. 4, p. 256.</w:t>
      </w:r>
    </w:p>
  </w:footnote>
  <w:footnote w:type="normal" w:id="13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Ne dit-on pas, au sens propre : « le corps du vaisseau n’étant retenu de rien, cède au vent qui le pousse et fait glisser sur l’eau » (Georges Fournier, </w:t>
      </w:r>
      <w:r>
        <w:rPr>
          <w:rStyle w:val="NotedebasdepageCar"/>
          <w:rFonts w:ascii="Garamond" w:hAnsi="Garamond"/>
          <w:i/>
        </w:rPr>
        <w:t xml:space="preserve">Hydrographie contenant la théorie et la pratique de toutes les parties de la navigation</w:t>
      </w:r>
      <w:r>
        <w:rPr>
          <w:rStyle w:val="NotedebasdepageCar"/>
          <w:rFonts w:ascii="Garamond" w:hAnsi="Garamond"/>
        </w:rPr>
        <w:t xml:space="preserve">, Paris, </w:t>
      </w:r>
      <w:r>
        <w:rPr>
          <w:rStyle w:val="NotedebasdepageCar"/>
          <w:rFonts w:ascii="Garamond" w:hAnsi="Garamond"/>
        </w:rPr>
        <w:t xml:space="preserve">M</w:t>
      </w:r>
      <w:r>
        <w:rPr>
          <w:rStyle w:val="NotedebasdepageCar"/>
          <w:rFonts w:ascii="Garamond" w:hAnsi="Garamond"/>
        </w:rPr>
        <w:t xml:space="preserve">ichel</w:t>
      </w:r>
      <w:r>
        <w:rPr>
          <w:rStyle w:val="NotedebasdepageCar"/>
          <w:rFonts w:ascii="Garamond" w:hAnsi="Garamond"/>
        </w:rPr>
        <w:t xml:space="preserve"> </w:t>
      </w:r>
      <w:r>
        <w:rPr>
          <w:rStyle w:val="NotedebasdepageCar"/>
          <w:rFonts w:ascii="Garamond" w:hAnsi="Garamond"/>
        </w:rPr>
        <w:t xml:space="preserve">Soly, 1643, p. 656), comme au sens figuré : « le Ministre Sage</w:t>
      </w:r>
      <w:r>
        <w:rPr>
          <w:rStyle w:val="NotedebasdepageCar"/>
          <w:rFonts w:ascii="Garamond" w:hAnsi="Garamond"/>
        </w:rPr>
        <w:t xml:space="preserve"> </w:t>
      </w:r>
      <w:r>
        <w:rPr>
          <w:rStyle w:val="NotedebasdepageCar"/>
          <w:rFonts w:ascii="Garamond" w:hAnsi="Garamond"/>
        </w:rPr>
        <w:t xml:space="preserve">/ Doit caler la voile à l’orage</w:t>
      </w:r>
      <w:r>
        <w:rPr>
          <w:rStyle w:val="NotedebasdepageCar"/>
          <w:rFonts w:ascii="Garamond" w:hAnsi="Garamond"/>
        </w:rPr>
        <w:t xml:space="preserve"> </w:t>
      </w:r>
      <w:r>
        <w:rPr>
          <w:rStyle w:val="NotedebasdepageCar"/>
          <w:rFonts w:ascii="Garamond" w:hAnsi="Garamond"/>
        </w:rPr>
        <w:t xml:space="preserve">/ Et céder au vent furieux</w:t>
      </w:r>
      <w:r>
        <w:rPr>
          <w:rStyle w:val="NotedebasdepageCar"/>
          <w:rFonts w:ascii="Garamond" w:hAnsi="Garamond"/>
        </w:rPr>
        <w:t xml:space="preserve"> </w:t>
      </w:r>
      <w:r>
        <w:rPr>
          <w:rStyle w:val="NotedebasdepageCar"/>
          <w:rFonts w:ascii="Garamond" w:hAnsi="Garamond"/>
        </w:rPr>
        <w:t xml:space="preserve">/ D’un peuple chaud et bilieux » (</w:t>
      </w:r>
      <w:r>
        <w:rPr>
          <w:rStyle w:val="NotedebasdepageCar"/>
          <w:rFonts w:ascii="Garamond" w:hAnsi="Garamond"/>
          <w:i/>
        </w:rPr>
        <w:t xml:space="preserve">Lettre surprise écrite à Jules Mazarin par ses nièces</w:t>
      </w:r>
      <w:r>
        <w:rPr>
          <w:rStyle w:val="NotedebasdepageCar"/>
          <w:rFonts w:ascii="Garamond" w:hAnsi="Garamond"/>
        </w:rPr>
        <w:t xml:space="preserve">, Paris, </w:t>
      </w:r>
      <w:r>
        <w:rPr>
          <w:rStyle w:val="NotedebasdepageCar"/>
          <w:rFonts w:ascii="Garamond" w:hAnsi="Garamond"/>
        </w:rPr>
        <w:t xml:space="preserve">J</w:t>
      </w:r>
      <w:r>
        <w:rPr>
          <w:rStyle w:val="NotedebasdepageCar"/>
          <w:rFonts w:ascii="Garamond" w:hAnsi="Garamond"/>
        </w:rPr>
        <w:t xml:space="preserve">acques</w:t>
      </w:r>
      <w:r>
        <w:rPr>
          <w:rStyle w:val="NotedebasdepageCar"/>
          <w:rFonts w:ascii="Garamond" w:hAnsi="Garamond"/>
        </w:rPr>
        <w:t xml:space="preserve"> </w:t>
      </w:r>
      <w:r>
        <w:rPr>
          <w:rStyle w:val="NotedebasdepageCar"/>
          <w:rFonts w:ascii="Garamond" w:hAnsi="Garamond"/>
        </w:rPr>
        <w:t xml:space="preserve">Guillery, 1649, s.p.) ?</w:t>
      </w:r>
    </w:p>
  </w:footnote>
  <w:footnote w:type="normal" w:id="13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On dit […] d’un homme en fortune qu’il est au-dessus du vent » (</w:t>
      </w:r>
      <w:r>
        <w:rPr>
          <w:rStyle w:val="NotedebasdepageCar"/>
          <w:rFonts w:ascii="Garamond" w:hAnsi="Garamond"/>
          <w:i/>
        </w:rPr>
        <w:t xml:space="preserve">Dictionnaire universel</w:t>
      </w:r>
      <w:r>
        <w:rPr>
          <w:rStyle w:val="NotedebasdepageCar"/>
          <w:rFonts w:ascii="Garamond" w:hAnsi="Garamond"/>
        </w:rPr>
        <w:t xml:space="preserve">, sv « vent »</w:t>
      </w:r>
      <w:r>
        <w:rPr>
          <w:rStyle w:val="NotedebasdepageCar"/>
          <w:rFonts w:ascii="Garamond" w:hAnsi="Garamond"/>
        </w:rPr>
        <w:t xml:space="preserve">).</w:t>
      </w:r>
    </w:p>
  </w:footnote>
  <w:footnote w:type="normal" w:id="14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Saint Augustin, </w:t>
      </w:r>
      <w:r>
        <w:rPr>
          <w:rStyle w:val="NotedebasdepageCar"/>
          <w:rFonts w:ascii="Garamond" w:hAnsi="Garamond"/>
          <w:i/>
        </w:rPr>
        <w:t xml:space="preserve">Confessions</w:t>
      </w:r>
      <w:r>
        <w:rPr>
          <w:rStyle w:val="NotedebasdepageCar"/>
          <w:rFonts w:ascii="Garamond" w:hAnsi="Garamond"/>
        </w:rPr>
        <w:t xml:space="preserve">, IV, 14, trad. Arnauld d’Andilly, Gallimard, Folio, 1993, p. 138-139.</w:t>
      </w:r>
    </w:p>
  </w:footnote>
  <w:footnote w:type="normal" w:id="14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w:t>
      </w:r>
      <w:r>
        <w:rPr>
          <w:rStyle w:val="NotedebasdepageCar"/>
          <w:rFonts w:ascii="Garamond" w:hAnsi="Garamond"/>
        </w:rPr>
        <w:t xml:space="preserve">ean</w:t>
      </w:r>
      <w:r>
        <w:rPr>
          <w:rStyle w:val="NotedebasdepageCar"/>
          <w:rFonts w:ascii="Garamond" w:hAnsi="Garamond"/>
        </w:rPr>
        <w:t xml:space="preserve"> </w:t>
      </w:r>
      <w:r>
        <w:rPr>
          <w:rStyle w:val="NotedebasdepageCar"/>
          <w:rFonts w:ascii="Garamond" w:hAnsi="Garamond"/>
        </w:rPr>
        <w:t xml:space="preserve">Racine, </w:t>
      </w:r>
      <w:r>
        <w:rPr>
          <w:rStyle w:val="NotedebasdepageCar"/>
          <w:rFonts w:ascii="Garamond" w:hAnsi="Garamond"/>
          <w:i/>
        </w:rPr>
        <w:t xml:space="preserve">Œuvres complètes</w:t>
      </w:r>
      <w:r>
        <w:rPr>
          <w:rStyle w:val="NotedebasdepageCar"/>
          <w:rFonts w:ascii="Garamond" w:hAnsi="Garamond"/>
        </w:rPr>
        <w:t xml:space="preserve"> </w:t>
      </w:r>
      <w:r>
        <w:rPr>
          <w:rStyle w:val="NotedebasdepageCar"/>
          <w:rFonts w:ascii="Garamond" w:hAnsi="Garamond"/>
          <w:i/>
        </w:rPr>
        <w:t xml:space="preserve">II.</w:t>
      </w:r>
      <w:r>
        <w:rPr>
          <w:rStyle w:val="NotedebasdepageCar"/>
          <w:rFonts w:ascii="Garamond" w:hAnsi="Garamond"/>
        </w:rPr>
        <w:t xml:space="preserve"> </w:t>
      </w:r>
      <w:r>
        <w:rPr>
          <w:rStyle w:val="NotedebasdepageCar"/>
          <w:rFonts w:ascii="Garamond" w:hAnsi="Garamond"/>
          <w:i/>
        </w:rPr>
        <w:t xml:space="preserve">Prose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71</w:t>
      </w:r>
      <w:r>
        <w:rPr>
          <w:rStyle w:val="NotedebasdepageCar"/>
          <w:rFonts w:ascii="Garamond" w:hAnsi="Garamond"/>
        </w:rPr>
        <w:t xml:space="preserve">4.</w:t>
      </w:r>
    </w:p>
  </w:footnote>
  <w:footnote w:type="normal" w:id="14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Celui qui voudra peindre le sacrifice d’Iphigénie, ne la mettra pas toute seule au pied de l’autel avec Calchas. Mais à l’exemple de Timanthes, il y ajoutera tous les princes grecs avec une contenance assez triste, Ménélas son oncle avec un visage extrêmement affligé, Clytemnestre sa mère pleurant et comme désespérée, enfin Agamemnon avec un voile sur son visage pour cacher sa tendresse naturelle aux chefs de son armée, et montrer néanmoins par cette adresse l’excès de sa douleur. » Abbé d’Aubignac, </w:t>
      </w:r>
      <w:r>
        <w:rPr>
          <w:rStyle w:val="NotedebasdepageCar"/>
          <w:rFonts w:ascii="Garamond" w:hAnsi="Garamond"/>
          <w:i/>
        </w:rPr>
        <w:t xml:space="preserve">La Pratique du théâtre</w:t>
      </w:r>
      <w:r>
        <w:rPr>
          <w:rStyle w:val="NotedebasdepageCar"/>
          <w:rFonts w:ascii="Garamond" w:hAnsi="Garamond"/>
        </w:rPr>
        <w:t xml:space="preserve">, Paris, </w:t>
      </w:r>
      <w:r>
        <w:rPr>
          <w:rStyle w:val="NotedebasdepageCar"/>
          <w:rFonts w:ascii="Garamond" w:hAnsi="Garamond"/>
        </w:rPr>
        <w:t xml:space="preserve">Antoine de</w:t>
      </w:r>
      <w:r>
        <w:rPr>
          <w:rStyle w:val="NotedebasdepageCar"/>
          <w:rFonts w:ascii="Garamond" w:hAnsi="Garamond"/>
        </w:rPr>
        <w:t xml:space="preserve"> Sommaville, 1657, p. 107-108.</w:t>
      </w:r>
    </w:p>
  </w:footnote>
  <w:footnote w:type="normal" w:id="14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Curieusement c’est par l’exemple du rôle d’Agamemnon que saint Augustin introduit une réflexion sur l’hypocrisie : « Celui qui, dans une tragédie par exemple, représente Agamemnon ou quelque autre, représente ce qu’il n’est pas, et demeure toujours ce qu’il est, c’est pourquoi on l’appelle hypocrite. De même dans l’Église, ou dans le commerce de la vie, quiconque veut paraître ce qu’il n’est pas, est un hypocrite » (</w:t>
      </w:r>
      <w:r>
        <w:rPr>
          <w:rStyle w:val="NotedebasdepageCar"/>
          <w:rFonts w:ascii="Garamond" w:hAnsi="Garamond"/>
          <w:i/>
        </w:rPr>
        <w:t xml:space="preserve">Les Commentaires de Saint Augustin sur le Sermon de Notre-Seigneur sur la Montagne</w:t>
      </w:r>
      <w:r>
        <w:rPr>
          <w:rStyle w:val="NotedebasdepageCar"/>
          <w:rFonts w:ascii="Garamond" w:hAnsi="Garamond"/>
        </w:rPr>
        <w:t xml:space="preserve">, Paris, </w:t>
      </w:r>
      <w:r>
        <w:rPr>
          <w:rStyle w:val="NotedebasdepageCar"/>
          <w:rFonts w:ascii="Garamond" w:hAnsi="Garamond"/>
        </w:rPr>
        <w:t xml:space="preserve">A</w:t>
      </w:r>
      <w:r>
        <w:rPr>
          <w:rStyle w:val="NotedebasdepageCar"/>
          <w:rFonts w:ascii="Garamond" w:hAnsi="Garamond"/>
        </w:rPr>
        <w:t xml:space="preserve">ndré</w:t>
      </w:r>
      <w:r>
        <w:rPr>
          <w:rStyle w:val="NotedebasdepageCar"/>
          <w:rFonts w:ascii="Garamond" w:hAnsi="Garamond"/>
        </w:rPr>
        <w:t xml:space="preserve"> </w:t>
      </w:r>
      <w:r>
        <w:rPr>
          <w:rStyle w:val="NotedebasdepageCar"/>
          <w:rFonts w:ascii="Garamond" w:hAnsi="Garamond"/>
        </w:rPr>
        <w:t xml:space="preserve">Pralard, trad. Pierre Lombert, 1683, p. 162-163). Voir aussi Jean-Michel Gliksohn, </w:t>
      </w:r>
      <w:r>
        <w:rPr>
          <w:rStyle w:val="NotedebasdepageCar"/>
          <w:rFonts w:ascii="Garamond" w:hAnsi="Garamond"/>
          <w:i/>
        </w:rPr>
        <w:t xml:space="preserve">Iphigénie : De la Grèce antique à l'Europe des Lumières,</w:t>
      </w:r>
      <w:r>
        <w:rPr>
          <w:rStyle w:val="NotedebasdepageCar"/>
          <w:rFonts w:ascii="Garamond" w:hAnsi="Garamond"/>
        </w:rPr>
        <w:t xml:space="preserve"> PUF, 1984 : « Ne peut-on voir, dès lors, en Iphigénie, moins l’incarnation de l’héroïsme national que la victime naïve d’un discours hypocrite ? Un chef ambitieux et faible sourdement menacé par une armée qui se désagrège : si l’on accepte cette interprétation, le tableau n’est pas précisément patriotique ».</w:t>
      </w:r>
    </w:p>
  </w:footnote>
  <w:footnote w:type="normal" w:id="14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Remarques sur les Iphigénies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797.</w:t>
      </w:r>
    </w:p>
  </w:footnote>
  <w:footnote w:type="normal" w:id="14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Que penser aussi de ces rêves - un détail ajouté par Racine </w:t>
      </w:r>
      <w:r>
        <w:rPr>
          <w:rStyle w:val="NotedebasdepageCar"/>
          <w:rFonts w:ascii="Garamond" w:hAnsi="Garamond"/>
        </w:rPr>
        <w:t xml:space="preserve">–</w:t>
      </w:r>
      <w:r>
        <w:rPr>
          <w:rStyle w:val="NotedebasdepageCar"/>
          <w:rFonts w:ascii="Garamond" w:hAnsi="Garamond"/>
        </w:rPr>
        <w:t xml:space="preserve"> dans lesquels il dit voir les Dieux, « vengeant de leurs autels le sanglant privilège », lui « reprocher [s]a pitié sacrilège » (v. 85-86) ? Une interprétation qu’au sein même du système de croyances des personnages le dénouement suffirait à démentir, car si les dieux voulaient la mort d’Ériphile, pourquoi seraient-ils apparus en rêve à Agamemnon pour le convaincre de sacrifier Iphigénie ? Ces rêves doivent-ils passer pour le fait d’une imagination troublée, ou pour une invention </w:t>
      </w:r>
      <w:r>
        <w:rPr>
          <w:rStyle w:val="NotedebasdepageCar"/>
          <w:rFonts w:ascii="Garamond" w:hAnsi="Garamond"/>
        </w:rPr>
        <w:t xml:space="preserve">destinée </w:t>
      </w:r>
      <w:r>
        <w:rPr>
          <w:rStyle w:val="NotedebasdepageCar"/>
          <w:rFonts w:ascii="Garamond" w:hAnsi="Garamond"/>
        </w:rPr>
        <w:t xml:space="preserve">à faire excuser son consentement à la mort de sa fille ?</w:t>
      </w:r>
    </w:p>
  </w:footnote>
  <w:footnote w:type="normal" w:id="14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T</w:t>
      </w:r>
      <w:r>
        <w:rPr>
          <w:rStyle w:val="NotedebasdepageCar"/>
          <w:rFonts w:ascii="Garamond" w:hAnsi="Garamond"/>
        </w:rPr>
        <w:t xml:space="preserve">ony</w:t>
      </w:r>
      <w:r>
        <w:rPr>
          <w:rStyle w:val="NotedebasdepageCar"/>
          <w:rFonts w:ascii="Garamond" w:hAnsi="Garamond"/>
        </w:rPr>
        <w:t xml:space="preserve"> </w:t>
      </w:r>
      <w:r>
        <w:rPr>
          <w:rStyle w:val="NotedebasdepageCar"/>
          <w:rFonts w:ascii="Garamond" w:hAnsi="Garamond"/>
        </w:rPr>
        <w:t xml:space="preserve">Gheeraert, art. cit. Cette lecture est déjà celle de l’auteur des </w:t>
      </w:r>
      <w:r>
        <w:rPr>
          <w:rStyle w:val="NotedebasdepageCar"/>
          <w:rFonts w:ascii="Garamond" w:hAnsi="Garamond"/>
          <w:i/>
        </w:rPr>
        <w:t xml:space="preserve">Remarques</w:t>
      </w:r>
      <w:r>
        <w:rPr>
          <w:rStyle w:val="NotedebasdepageCar"/>
          <w:rFonts w:ascii="Garamond" w:hAnsi="Garamond"/>
        </w:rPr>
        <w:t xml:space="preserve">, qui voit ainsi, dans la substitution finale d’Ériphile à Iphigénie, « une adresse de Calchas pour sauver la fille d’Agamemnon et l’amante d’Achille » (</w:t>
      </w:r>
      <w:r>
        <w:rPr>
          <w:rStyle w:val="NotedebasdepageCar"/>
          <w:rFonts w:ascii="Garamond" w:hAnsi="Garamond"/>
          <w:i/>
        </w:rPr>
        <w:t xml:space="preserve">op. cit.,</w:t>
      </w:r>
      <w:r>
        <w:rPr>
          <w:rStyle w:val="NotedebasdepageCar"/>
          <w:rFonts w:ascii="Garamond" w:hAnsi="Garamond"/>
        </w:rPr>
        <w:t xml:space="preserve"> p. 810).</w:t>
      </w:r>
    </w:p>
  </w:footnote>
  <w:footnote w:type="normal" w:id="14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N</w:t>
      </w:r>
      <w:r>
        <w:rPr>
          <w:rStyle w:val="NotedebasdepageCar"/>
          <w:rFonts w:ascii="Garamond" w:hAnsi="Garamond"/>
        </w:rPr>
        <w:t xml:space="preserve">icolas</w:t>
      </w:r>
      <w:r>
        <w:rPr>
          <w:rStyle w:val="NotedebasdepageCar"/>
          <w:rFonts w:ascii="Garamond" w:hAnsi="Garamond"/>
        </w:rPr>
        <w:t xml:space="preserve"> </w:t>
      </w:r>
      <w:r>
        <w:rPr>
          <w:rStyle w:val="NotedebasdepageCar"/>
          <w:rFonts w:ascii="Garamond" w:hAnsi="Garamond"/>
        </w:rPr>
        <w:t xml:space="preserve">Fontaine, </w:t>
      </w:r>
      <w:r>
        <w:rPr>
          <w:rStyle w:val="NotedebasdepageCar"/>
          <w:rFonts w:ascii="Garamond" w:hAnsi="Garamond"/>
          <w:i/>
        </w:rPr>
        <w:t xml:space="preserve">Dictionnaire chrétien</w:t>
      </w:r>
      <w:r>
        <w:rPr>
          <w:rStyle w:val="NotedebasdepageCar"/>
          <w:rFonts w:ascii="Garamond" w:hAnsi="Garamond"/>
        </w:rPr>
        <w:t xml:space="preserve">, p. 631.</w:t>
      </w:r>
    </w:p>
  </w:footnote>
  <w:footnote w:type="normal" w:id="14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Laurence Gosserez, « La tempête dans les deux préfaces du </w:t>
      </w:r>
      <w:r>
        <w:rPr>
          <w:rStyle w:val="NotedebasdepageCar"/>
          <w:rFonts w:ascii="Garamond" w:hAnsi="Garamond"/>
          <w:i/>
        </w:rPr>
        <w:t xml:space="preserve">Contre Symmaque</w:t>
      </w:r>
      <w:r>
        <w:rPr>
          <w:rStyle w:val="NotedebasdepageCar"/>
          <w:rFonts w:ascii="Garamond" w:hAnsi="Garamond"/>
        </w:rPr>
        <w:t xml:space="preserve"> de Prudence » dans</w:t>
      </w:r>
      <w:r>
        <w:rPr>
          <w:rStyle w:val="NotedebasdepageCar"/>
          <w:rFonts w:ascii="Garamond" w:hAnsi="Garamond"/>
        </w:rPr>
        <w:t xml:space="preserve"> Michel Viegnes (dir.)</w:t>
      </w:r>
      <w:r>
        <w:rPr>
          <w:rStyle w:val="NotedebasdepageCar"/>
          <w:rFonts w:ascii="Garamond" w:hAnsi="Garamond"/>
        </w:rPr>
        <w:t xml:space="preserve">, </w:t>
      </w:r>
      <w:r>
        <w:rPr>
          <w:rStyle w:val="NotedebasdepageCar"/>
          <w:rFonts w:ascii="Garamond" w:hAnsi="Garamond"/>
          <w:i/>
        </w:rPr>
        <w:t xml:space="preserve">Imaginaires du vent</w:t>
      </w:r>
      <w:r>
        <w:rPr>
          <w:rStyle w:val="NotedebasdepageCar"/>
          <w:rFonts w:ascii="Garamond" w:hAnsi="Garamond"/>
        </w:rPr>
        <w:t xml:space="preserve">,</w:t>
      </w:r>
      <w:r>
        <w:rPr>
          <w:rStyle w:val="NotedebasdepageCar"/>
          <w:rFonts w:ascii="Garamond" w:hAnsi="Garamond"/>
          <w:i/>
        </w:rPr>
        <w:t xml:space="preserve"> </w:t>
      </w:r>
      <w:r>
        <w:rPr>
          <w:rStyle w:val="NotedebasdepageCar"/>
          <w:rFonts w:ascii="Garamond" w:hAnsi="Garamond"/>
        </w:rPr>
        <w:t xml:space="preserve">p. n. 26.</w:t>
      </w:r>
    </w:p>
  </w:footnote>
  <w:footnote w:type="normal" w:id="14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N</w:t>
      </w:r>
      <w:r>
        <w:rPr>
          <w:rStyle w:val="NotedebasdepageCar"/>
          <w:rFonts w:ascii="Garamond" w:hAnsi="Garamond"/>
        </w:rPr>
        <w:t xml:space="preserve">icolas</w:t>
      </w:r>
      <w:r>
        <w:rPr>
          <w:rStyle w:val="NotedebasdepageCar"/>
          <w:rFonts w:ascii="Garamond" w:hAnsi="Garamond"/>
        </w:rPr>
        <w:t xml:space="preserve"> </w:t>
      </w:r>
      <w:r>
        <w:rPr>
          <w:rStyle w:val="NotedebasdepageCar"/>
          <w:rFonts w:ascii="Garamond" w:hAnsi="Garamond"/>
        </w:rPr>
        <w:t xml:space="preserve">Fontaine, </w:t>
      </w:r>
      <w:r>
        <w:rPr>
          <w:rStyle w:val="NotedebasdepageCar"/>
          <w:rFonts w:ascii="Garamond" w:hAnsi="Garamond"/>
          <w:i/>
        </w:rPr>
        <w:t xml:space="preserve">Dictionnaire chrétien</w:t>
      </w:r>
      <w:r>
        <w:rPr>
          <w:rStyle w:val="NotedebasdepageCar"/>
          <w:rFonts w:ascii="Garamond" w:hAnsi="Garamond"/>
        </w:rPr>
        <w:t xml:space="preserve">, p. 629.</w:t>
      </w:r>
    </w:p>
  </w:footnote>
  <w:footnote w:type="normal" w:id="15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Saint Augustin, </w:t>
      </w:r>
      <w:r>
        <w:rPr>
          <w:rStyle w:val="NotedebasdepageCar"/>
          <w:rFonts w:ascii="Garamond" w:hAnsi="Garamond"/>
          <w:i/>
        </w:rPr>
        <w:t xml:space="preserve">Confessions</w:t>
      </w:r>
      <w:r>
        <w:rPr>
          <w:rStyle w:val="NotedebasdepageCar"/>
          <w:rFonts w:ascii="Garamond" w:hAnsi="Garamond"/>
        </w:rPr>
        <w:t xml:space="preserve">, IV, 2, p. 117-118. Ce proverbe est aussi convoqué dans les </w:t>
      </w:r>
      <w:r>
        <w:rPr>
          <w:rStyle w:val="NotedebasdepageCar"/>
          <w:rFonts w:ascii="Garamond" w:hAnsi="Garamond"/>
          <w:i/>
        </w:rPr>
        <w:t xml:space="preserve">Mémoires</w:t>
      </w:r>
      <w:r>
        <w:rPr>
          <w:rStyle w:val="NotedebasdepageCar"/>
          <w:rFonts w:ascii="Garamond" w:hAnsi="Garamond"/>
        </w:rPr>
        <w:t xml:space="preserve"> de </w:t>
      </w:r>
      <w:r>
        <w:rPr>
          <w:rStyle w:val="NotedebasdepageCar"/>
          <w:rFonts w:ascii="Garamond" w:hAnsi="Garamond"/>
        </w:rPr>
        <w:t xml:space="preserve">Nicolas </w:t>
      </w:r>
      <w:r>
        <w:rPr>
          <w:rStyle w:val="NotedebasdepageCar"/>
          <w:rFonts w:ascii="Garamond" w:hAnsi="Garamond"/>
        </w:rPr>
        <w:t xml:space="preserve">Fontaine à propos des philosophes stoïciens et épicuriens : « C’est pourquoi il [M. de Sacy] conseillerait toujours à ces personnes de ne pas s’exposer légèrement à ces lectures de peur de se perdre avec ces philosophes, et de devenir le jouet des démons et la pâture des vents, selon le langage de l’Écriture comme ces philosophes l’ont été : </w:t>
      </w:r>
      <w:r>
        <w:rPr>
          <w:rStyle w:val="NotedebasdepageCar"/>
          <w:rFonts w:ascii="Garamond" w:hAnsi="Garamond"/>
          <w:i/>
        </w:rPr>
        <w:t xml:space="preserve">quid est aliud pascere ventos quam ipsos daemones ; hoc est errando eis esse voluptati atque derisui</w:t>
      </w:r>
      <w:r>
        <w:rPr>
          <w:rStyle w:val="NotedebasdepageCar"/>
          <w:rFonts w:ascii="Garamond" w:hAnsi="Garamond"/>
        </w:rPr>
        <w:t xml:space="preserve"> » (</w:t>
      </w:r>
      <w:r>
        <w:rPr>
          <w:rStyle w:val="NotedebasdepageCar"/>
          <w:rFonts w:ascii="Garamond" w:hAnsi="Garamond"/>
          <w:i/>
        </w:rPr>
        <w:t xml:space="preserve">Mémoires ou histoire des Solitaires de Port-Royal</w:t>
      </w:r>
      <w:r>
        <w:rPr>
          <w:rStyle w:val="NotedebasdepageCar"/>
          <w:rFonts w:ascii="Garamond" w:hAnsi="Garamond"/>
        </w:rPr>
        <w:t xml:space="preserve">, éd. Pascale Thouvenin, Paris, </w:t>
      </w:r>
      <w:r>
        <w:rPr>
          <w:rStyle w:val="NotedebasdepageCar"/>
          <w:rFonts w:ascii="Garamond" w:hAnsi="Garamond"/>
        </w:rPr>
        <w:t xml:space="preserve">Honoré </w:t>
      </w:r>
      <w:r>
        <w:rPr>
          <w:rStyle w:val="NotedebasdepageCar"/>
          <w:rFonts w:ascii="Garamond" w:hAnsi="Garamond"/>
        </w:rPr>
        <w:t xml:space="preserve">Champion, 2001, p. 611-612). Or, plutôt que le verset du livre des </w:t>
      </w:r>
      <w:r>
        <w:rPr>
          <w:rStyle w:val="NotedebasdepageCar"/>
          <w:rFonts w:ascii="Garamond" w:hAnsi="Garamond"/>
          <w:i/>
        </w:rPr>
        <w:t xml:space="preserve">Proverbes</w:t>
      </w:r>
      <w:r>
        <w:rPr>
          <w:rStyle w:val="NotedebasdepageCar"/>
          <w:rFonts w:ascii="Garamond" w:hAnsi="Garamond"/>
        </w:rPr>
        <w:t xml:space="preserve"> auquel il est seulement fait allusion, c’est la paraphrase qu’en offre Augustin dans les </w:t>
      </w:r>
      <w:r>
        <w:rPr>
          <w:rStyle w:val="NotedebasdepageCar"/>
          <w:rFonts w:ascii="Garamond" w:hAnsi="Garamond"/>
          <w:i/>
        </w:rPr>
        <w:t xml:space="preserve">Confessions</w:t>
      </w:r>
      <w:r>
        <w:rPr>
          <w:rStyle w:val="NotedebasdepageCar"/>
          <w:rFonts w:ascii="Garamond" w:hAnsi="Garamond"/>
        </w:rPr>
        <w:t xml:space="preserve"> que cite Fontaine. La familiarité de Racine avec les </w:t>
      </w:r>
      <w:r>
        <w:rPr>
          <w:rStyle w:val="NotedebasdepageCar"/>
          <w:rFonts w:ascii="Garamond" w:hAnsi="Garamond"/>
          <w:i/>
        </w:rPr>
        <w:t xml:space="preserve">Confessions </w:t>
      </w:r>
      <w:r>
        <w:rPr>
          <w:rStyle w:val="NotedebasdepageCar"/>
          <w:rFonts w:ascii="Garamond" w:hAnsi="Garamond"/>
        </w:rPr>
        <w:t xml:space="preserve">d’Augustin n’eut sans doute rien à envier à celle de son condisciple aux Petites Écoles.</w:t>
      </w:r>
    </w:p>
  </w:footnote>
  <w:footnote w:type="normal" w:id="15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Le Divan ridicule</w:t>
      </w:r>
      <w:r>
        <w:rPr>
          <w:rStyle w:val="NotedebasdepageCar"/>
          <w:rFonts w:ascii="Garamond" w:hAnsi="Garamond"/>
        </w:rPr>
        <w:t xml:space="preserve">, 1684, p. 11.</w:t>
      </w:r>
    </w:p>
  </w:footnote>
  <w:footnote w:type="normal" w:id="15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Aristote, </w:t>
      </w:r>
      <w:r>
        <w:rPr>
          <w:rStyle w:val="NotedebasdepageCar"/>
          <w:rFonts w:ascii="Garamond" w:hAnsi="Garamond"/>
          <w:i/>
        </w:rPr>
        <w:t xml:space="preserve">Poétique</w:t>
      </w:r>
      <w:r>
        <w:rPr>
          <w:rStyle w:val="NotedebasdepageCar"/>
          <w:rFonts w:ascii="Garamond" w:hAnsi="Garamond"/>
        </w:rPr>
        <w:t xml:space="preserve">, éd. Barbara Gernez, Paris, Les Belles Lettres, 2002 [2001], p. 21 (chap. 6) ; et « Difficultés théoriques : quelles passions ? » dans Georges Forestier, </w:t>
      </w:r>
      <w:r>
        <w:rPr>
          <w:rStyle w:val="NotedebasdepageCar"/>
          <w:rFonts w:ascii="Garamond" w:hAnsi="Garamond"/>
          <w:i/>
        </w:rPr>
        <w:t xml:space="preserve">La Tragédie française. Passions tragiques et règles classiques</w:t>
      </w:r>
      <w:r>
        <w:rPr>
          <w:rStyle w:val="NotedebasdepageCar"/>
          <w:rFonts w:ascii="Garamond" w:hAnsi="Garamond"/>
        </w:rPr>
        <w:t xml:space="preserve">, Paris, Armand Colin, 2010 [2003], p. 112-129.</w:t>
      </w:r>
    </w:p>
  </w:footnote>
  <w:footnote w:type="normal" w:id="15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Racine, préface d’</w:t>
      </w:r>
      <w:r>
        <w:rPr>
          <w:rStyle w:val="NotedebasdepageCar"/>
          <w:rFonts w:ascii="Garamond" w:hAnsi="Garamond"/>
          <w:i/>
        </w:rPr>
        <w:t xml:space="preserve">Iphigénie, Tragédie</w:t>
      </w:r>
      <w:r>
        <w:rPr>
          <w:rStyle w:val="NotedebasdepageCar"/>
          <w:rFonts w:ascii="Garamond" w:hAnsi="Garamond"/>
        </w:rPr>
        <w:t xml:space="preserve"> [1675], dans </w:t>
      </w:r>
      <w:r>
        <w:rPr>
          <w:rStyle w:val="NotedebasdepageCar"/>
          <w:rFonts w:ascii="Garamond" w:hAnsi="Garamond"/>
          <w:i/>
        </w:rPr>
        <w:t xml:space="preserve">Œuvres complètes I, Théâtre – Poésie</w:t>
      </w:r>
      <w:r>
        <w:rPr>
          <w:rStyle w:val="NotedebasdepageCar"/>
          <w:rFonts w:ascii="Garamond" w:hAnsi="Garamond"/>
        </w:rPr>
        <w:t xml:space="preserve">, éd. Georges Forestier, Paris, Gallimard, « Bibliothèque de la Pléiade », 1999, p. 699.</w:t>
      </w:r>
    </w:p>
  </w:footnote>
  <w:footnote w:type="normal" w:id="15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Racine, </w:t>
      </w:r>
      <w:r>
        <w:rPr>
          <w:rStyle w:val="NotedebasdepageCar"/>
          <w:rFonts w:ascii="Garamond" w:hAnsi="Garamond"/>
          <w:i/>
        </w:rPr>
        <w:t xml:space="preserve">Iphigénie</w:t>
      </w:r>
      <w:r>
        <w:rPr>
          <w:rStyle w:val="NotedebasdepageCar"/>
          <w:rFonts w:ascii="Garamond" w:hAnsi="Garamond"/>
        </w:rPr>
        <w:t xml:space="preserve">, éd. citée, p. 762 (V, 6, v. 1749).</w:t>
      </w:r>
    </w:p>
  </w:footnote>
  <w:footnote w:type="normal" w:id="15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Racine, préface d’</w:t>
      </w:r>
      <w:r>
        <w:rPr>
          <w:rStyle w:val="NotedebasdepageCar"/>
          <w:rFonts w:ascii="Garamond" w:hAnsi="Garamond"/>
          <w:i/>
        </w:rPr>
        <w:t xml:space="preserve">Iphigénie</w:t>
      </w:r>
      <w:r>
        <w:rPr>
          <w:rStyle w:val="NotedebasdepageCar"/>
          <w:rFonts w:ascii="Garamond" w:hAnsi="Garamond"/>
        </w:rPr>
        <w:t xml:space="preserve">, éd. citée., p. 698.</w:t>
      </w:r>
    </w:p>
  </w:footnote>
  <w:footnote w:type="normal" w:id="15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Et, en l’occurrence, une figure tragique complète car à la fois pathétique et terrible. C’est pourquoi il importe de ne pas suivre Philip Butler quand il écrit qu’« il est vain de prétendre que le spectateur accueille la nouvelle de la mort d’Ériphile avec autre chose que du soulagement », et que « Racine a tout fait pour que [la] perte [du personnage] nous soit légère » (</w:t>
      </w:r>
      <w:r>
        <w:rPr>
          <w:rStyle w:val="NotedebasdepageCar"/>
          <w:rFonts w:ascii="Garamond" w:hAnsi="Garamond"/>
          <w:i/>
        </w:rPr>
        <w:t xml:space="preserve">Classicisme et baroque dans l’œuvre de Racine</w:t>
      </w:r>
      <w:r>
        <w:rPr>
          <w:rStyle w:val="NotedebasdepageCar"/>
          <w:rFonts w:ascii="Garamond" w:hAnsi="Garamond"/>
        </w:rPr>
        <w:t xml:space="preserve">, Paris, Nizet, 1959, p. 247 et 248).</w:t>
      </w:r>
    </w:p>
  </w:footnote>
  <w:footnote w:type="normal" w:id="15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Isaac de Benserade, </w:t>
      </w:r>
      <w:r>
        <w:rPr>
          <w:rStyle w:val="NotedebasdepageCar"/>
          <w:rFonts w:ascii="Garamond" w:hAnsi="Garamond"/>
          <w:i/>
        </w:rPr>
        <w:t xml:space="preserve">La Mort d’Achille et la dispute de ses armes, Tragédie</w:t>
      </w:r>
      <w:r>
        <w:rPr>
          <w:rStyle w:val="NotedebasdepageCar"/>
          <w:rFonts w:ascii="Garamond" w:hAnsi="Garamond"/>
        </w:rPr>
        <w:t xml:space="preserve">, Paris, Antoine de Sommaville, 1636 ; et Thomas Corneille, </w:t>
      </w:r>
      <w:r>
        <w:rPr>
          <w:rStyle w:val="NotedebasdepageCar"/>
          <w:rFonts w:ascii="Garamond" w:hAnsi="Garamond"/>
          <w:i/>
        </w:rPr>
        <w:t xml:space="preserve">La Mort d’Achille, Tragédie</w:t>
      </w:r>
      <w:r>
        <w:rPr>
          <w:rStyle w:val="NotedebasdepageCar"/>
          <w:rFonts w:ascii="Garamond" w:hAnsi="Garamond"/>
        </w:rPr>
        <w:t xml:space="preserve">, Paris, Claude Barbin, 1674. – La ressemblance d’Ériphile avec ces deux figures a été relevée par Henry Carrington Lancaster (voir </w:t>
      </w:r>
      <w:r>
        <w:rPr>
          <w:rStyle w:val="NotedebasdepageCar"/>
          <w:rFonts w:ascii="Garamond" w:hAnsi="Garamond"/>
          <w:i/>
        </w:rPr>
        <w:t xml:space="preserve">A History of French Dramatic Literature in the Seventeenth Century, Part II. The Period of Corneille, 1635-1651</w:t>
      </w:r>
      <w:r>
        <w:rPr>
          <w:rStyle w:val="NotedebasdepageCar"/>
          <w:rFonts w:ascii="Garamond" w:hAnsi="Garamond"/>
        </w:rPr>
        <w:t xml:space="preserve">, vol. 1, Baltimore, The Johns Hopkins Press / Londres, Humphrey Milford / Oxford, Oxford University Press, 1932, p. 47 ; et </w:t>
      </w:r>
      <w:r>
        <w:rPr>
          <w:rStyle w:val="NotedebasdepageCar"/>
          <w:rFonts w:ascii="Garamond" w:hAnsi="Garamond"/>
          <w:i/>
        </w:rPr>
        <w:t xml:space="preserve">A History of French Dramatic Literature in the Seventeenth Century, Part IV. The Period of Racine, 1673-1700</w:t>
      </w:r>
      <w:r>
        <w:rPr>
          <w:rStyle w:val="NotedebasdepageCar"/>
          <w:rFonts w:ascii="Garamond" w:hAnsi="Garamond"/>
        </w:rPr>
        <w:t xml:space="preserve">, vol. 1, Baltimore, The Johns Hopkins Press, 1940, p. 89).</w:t>
      </w:r>
    </w:p>
  </w:footnote>
  <w:footnote w:type="normal" w:id="15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Racine, préface d’</w:t>
      </w:r>
      <w:r>
        <w:rPr>
          <w:rStyle w:val="NotedebasdepageCar"/>
          <w:rFonts w:ascii="Garamond" w:hAnsi="Garamond"/>
          <w:i/>
        </w:rPr>
        <w:t xml:space="preserve">Iphigénie</w:t>
      </w:r>
      <w:r>
        <w:rPr>
          <w:rStyle w:val="NotedebasdepageCar"/>
          <w:rFonts w:ascii="Garamond" w:hAnsi="Garamond"/>
        </w:rPr>
        <w:t xml:space="preserve">, éd. citée, p. 698.</w:t>
      </w:r>
    </w:p>
  </w:footnote>
  <w:footnote w:type="normal" w:id="15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Ibid</w:t>
      </w:r>
      <w:r>
        <w:rPr>
          <w:rStyle w:val="NotedebasdepageCar"/>
          <w:rFonts w:ascii="Garamond" w:hAnsi="Garamond"/>
        </w:rPr>
        <w:t xml:space="preserve">.</w:t>
      </w:r>
    </w:p>
  </w:footnote>
  <w:footnote w:type="normal" w:id="16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w:t>
      </w:r>
      <w:r>
        <w:rPr>
          <w:rStyle w:val="NotedebasdepageCar"/>
          <w:rFonts w:ascii="Garamond" w:hAnsi="Garamond"/>
          <w:i/>
        </w:rPr>
        <w:t xml:space="preserve">Pausanias’s Description of Greece</w:t>
      </w:r>
      <w:r>
        <w:rPr>
          <w:rStyle w:val="NotedebasdepageCar"/>
          <w:rFonts w:ascii="Garamond" w:hAnsi="Garamond"/>
        </w:rPr>
        <w:t xml:space="preserve">, trad. anglaise par J. G. Frazer, vol. 1, Londres, MacMillan and Co., 1898, p. 52-53 (</w:t>
      </w:r>
      <w:r>
        <w:rPr>
          <w:rStyle w:val="NotedebasdepageCar"/>
          <w:rFonts w:ascii="Garamond" w:hAnsi="Garamond"/>
          <w:i/>
        </w:rPr>
        <w:t xml:space="preserve">Attica</w:t>
      </w:r>
      <w:r>
        <w:rPr>
          <w:rStyle w:val="NotedebasdepageCar"/>
          <w:rFonts w:ascii="Garamond" w:hAnsi="Garamond"/>
        </w:rPr>
        <w:t xml:space="preserve"> ; I, 34, </w:t>
      </w:r>
      <w:r>
        <w:rPr>
          <w:rStyle w:val="NotedebasdepageCar"/>
          <w:rFonts w:ascii="Garamond" w:hAnsi="Garamond"/>
        </w:rPr>
        <w:t xml:space="preserve">3</w:t>
      </w:r>
      <w:r>
        <w:rPr>
          <w:rStyle w:val="NotedebasdepageCar"/>
          <w:rFonts w:ascii="Garamond" w:hAnsi="Garamond"/>
        </w:rPr>
        <w:t xml:space="preserve">), 72 (</w:t>
      </w:r>
      <w:r>
        <w:rPr>
          <w:rStyle w:val="NotedebasdepageCar"/>
          <w:rFonts w:ascii="Garamond" w:hAnsi="Garamond"/>
          <w:i/>
        </w:rPr>
        <w:t xml:space="preserve">Corinth</w:t>
      </w:r>
      <w:r>
        <w:rPr>
          <w:rStyle w:val="NotedebasdepageCar"/>
          <w:rFonts w:ascii="Garamond" w:hAnsi="Garamond"/>
        </w:rPr>
        <w:t xml:space="preserve"> ; II, 1, </w:t>
      </w:r>
      <w:r>
        <w:rPr>
          <w:rStyle w:val="NotedebasdepageCar"/>
          <w:rFonts w:ascii="Garamond" w:hAnsi="Garamond"/>
        </w:rPr>
        <w:t xml:space="preserve">8</w:t>
      </w:r>
      <w:r>
        <w:rPr>
          <w:rStyle w:val="NotedebasdepageCar"/>
          <w:rFonts w:ascii="Garamond" w:hAnsi="Garamond"/>
        </w:rPr>
        <w:t xml:space="preserve">), 106 (</w:t>
      </w:r>
      <w:r>
        <w:rPr>
          <w:rStyle w:val="NotedebasdepageCar"/>
          <w:rFonts w:ascii="Garamond" w:hAnsi="Garamond"/>
          <w:i/>
        </w:rPr>
        <w:t xml:space="preserve">Corinth </w:t>
      </w:r>
      <w:r>
        <w:rPr>
          <w:rStyle w:val="NotedebasdepageCar"/>
          <w:rFonts w:ascii="Garamond" w:hAnsi="Garamond"/>
        </w:rPr>
        <w:t xml:space="preserve">; II, 23, </w:t>
      </w:r>
      <w:r>
        <w:rPr>
          <w:rStyle w:val="NotedebasdepageCar"/>
          <w:rFonts w:ascii="Garamond" w:hAnsi="Garamond"/>
        </w:rPr>
        <w:t xml:space="preserve">2</w:t>
      </w:r>
      <w:r>
        <w:rPr>
          <w:rStyle w:val="NotedebasdepageCar"/>
          <w:rFonts w:ascii="Garamond" w:hAnsi="Garamond"/>
        </w:rPr>
        <w:t xml:space="preserve">), 402 (</w:t>
      </w:r>
      <w:r>
        <w:rPr>
          <w:rStyle w:val="NotedebasdepageCar"/>
          <w:rFonts w:ascii="Garamond" w:hAnsi="Garamond"/>
          <w:i/>
        </w:rPr>
        <w:t xml:space="preserve">Arcadia</w:t>
      </w:r>
      <w:r>
        <w:rPr>
          <w:rStyle w:val="NotedebasdepageCar"/>
          <w:rFonts w:ascii="Garamond" w:hAnsi="Garamond"/>
        </w:rPr>
        <w:t xml:space="preserve"> ; VIII, 24, </w:t>
      </w:r>
      <w:r>
        <w:rPr>
          <w:rStyle w:val="NotedebasdepageCar"/>
          <w:rFonts w:ascii="Garamond" w:hAnsi="Garamond"/>
        </w:rPr>
        <w:t xml:space="preserve">7-10</w:t>
      </w:r>
      <w:r>
        <w:rPr>
          <w:rStyle w:val="NotedebasdepageCar"/>
          <w:rFonts w:ascii="Garamond" w:hAnsi="Garamond"/>
        </w:rPr>
        <w:t xml:space="preserve">), 497-498 (</w:t>
      </w:r>
      <w:r>
        <w:rPr>
          <w:rStyle w:val="NotedebasdepageCar"/>
          <w:rFonts w:ascii="Garamond" w:hAnsi="Garamond"/>
          <w:i/>
        </w:rPr>
        <w:t xml:space="preserve">Boeotia</w:t>
      </w:r>
      <w:r>
        <w:rPr>
          <w:rStyle w:val="NotedebasdepageCar"/>
          <w:rFonts w:ascii="Garamond" w:hAnsi="Garamond"/>
        </w:rPr>
        <w:t xml:space="preserve"> ; IX, 41, </w:t>
      </w:r>
      <w:r>
        <w:rPr>
          <w:rStyle w:val="NotedebasdepageCar"/>
          <w:rFonts w:ascii="Garamond" w:hAnsi="Garamond"/>
        </w:rPr>
        <w:t xml:space="preserve">2-5</w:t>
      </w:r>
      <w:r>
        <w:rPr>
          <w:rStyle w:val="NotedebasdepageCar"/>
          <w:rFonts w:ascii="Garamond" w:hAnsi="Garamond"/>
        </w:rPr>
        <w:t xml:space="preserve">) et 543 (</w:t>
      </w:r>
      <w:r>
        <w:rPr>
          <w:rStyle w:val="NotedebasdepageCar"/>
          <w:rFonts w:ascii="Garamond" w:hAnsi="Garamond"/>
          <w:i/>
        </w:rPr>
        <w:t xml:space="preserve">Phocis</w:t>
      </w:r>
      <w:r>
        <w:rPr>
          <w:rStyle w:val="NotedebasdepageCar"/>
          <w:rFonts w:ascii="Garamond" w:hAnsi="Garamond"/>
        </w:rPr>
        <w:t xml:space="preserve"> ; X, 29, </w:t>
      </w:r>
      <w:r>
        <w:rPr>
          <w:rStyle w:val="NotedebasdepageCar"/>
          <w:rFonts w:ascii="Garamond" w:hAnsi="Garamond"/>
        </w:rPr>
        <w:t xml:space="preserve">7-8</w:t>
      </w:r>
      <w:r>
        <w:rPr>
          <w:rStyle w:val="NotedebasdepageCar"/>
          <w:rFonts w:ascii="Garamond" w:hAnsi="Garamond"/>
        </w:rPr>
        <w:t xml:space="preserve">).</w:t>
      </w:r>
    </w:p>
  </w:footnote>
  <w:footnote w:type="normal" w:id="16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Le nom d’Ériphyle est celui d’un personnage antique célèbre : la femme du devin Amphiaraüs qui périt par suite d’une trahison d’Ériphyle, devant Thèbes. Ce nom est mentionné par Homère (</w:t>
      </w:r>
      <w:r>
        <w:rPr>
          <w:rStyle w:val="NotedebasdepageCar"/>
          <w:rFonts w:ascii="Garamond" w:hAnsi="Garamond"/>
          <w:i/>
        </w:rPr>
        <w:t xml:space="preserve">Odyssée</w:t>
      </w:r>
      <w:r>
        <w:rPr>
          <w:rStyle w:val="NotedebasdepageCar"/>
          <w:rFonts w:ascii="Garamond" w:hAnsi="Garamond"/>
        </w:rPr>
        <w:t xml:space="preserve"> XI 326), et dans la </w:t>
      </w:r>
      <w:r>
        <w:rPr>
          <w:rStyle w:val="NotedebasdepageCar"/>
          <w:rFonts w:ascii="Garamond" w:hAnsi="Garamond"/>
          <w:i/>
        </w:rPr>
        <w:t xml:space="preserve">Poétique</w:t>
      </w:r>
      <w:r>
        <w:rPr>
          <w:rStyle w:val="NotedebasdepageCar"/>
          <w:rFonts w:ascii="Garamond" w:hAnsi="Garamond"/>
        </w:rPr>
        <w:t xml:space="preserve"> d’Aristote ; dans l’</w:t>
      </w:r>
      <w:r>
        <w:rPr>
          <w:rStyle w:val="NotedebasdepageCar"/>
          <w:rFonts w:ascii="Garamond" w:hAnsi="Garamond"/>
          <w:i/>
        </w:rPr>
        <w:t xml:space="preserve">Électre</w:t>
      </w:r>
      <w:r>
        <w:rPr>
          <w:rStyle w:val="NotedebasdepageCar"/>
          <w:rFonts w:ascii="Garamond" w:hAnsi="Garamond"/>
        </w:rPr>
        <w:t xml:space="preserve"> de Sophocle, où seul le nom d’Amphiaraüs paraît, Racine a inscrit celui d’Ériphyle dans une note marginale. C’est aussi le nom, dans le </w:t>
      </w:r>
      <w:r>
        <w:rPr>
          <w:rStyle w:val="NotedebasdepageCar"/>
          <w:rFonts w:ascii="Garamond" w:hAnsi="Garamond"/>
          <w:i/>
        </w:rPr>
        <w:t xml:space="preserve">Timocrate</w:t>
      </w:r>
      <w:r>
        <w:rPr>
          <w:rStyle w:val="NotedebasdepageCar"/>
          <w:rFonts w:ascii="Garamond" w:hAnsi="Garamond"/>
        </w:rPr>
        <w:t xml:space="preserve"> de Th. Corneille, de l’héroïne, fille de la reine d’Argos (et c’est à Argos, que, selon Pausanias, la fille d’Hélène a vu le jour). Le nom devrait s’écrire </w:t>
      </w:r>
      <w:r>
        <w:rPr>
          <w:rStyle w:val="NotedebasdepageCar"/>
          <w:rFonts w:ascii="Garamond" w:hAnsi="Garamond"/>
          <w:i/>
        </w:rPr>
        <w:t xml:space="preserve">Ériphyle</w:t>
      </w:r>
      <w:r>
        <w:rPr>
          <w:rStyle w:val="NotedebasdepageCar"/>
          <w:rFonts w:ascii="Garamond" w:hAnsi="Garamond"/>
        </w:rPr>
        <w:t xml:space="preserve"> avec un </w:t>
      </w:r>
      <w:r>
        <w:rPr>
          <w:rStyle w:val="NotedebasdepageCar"/>
          <w:rFonts w:ascii="Garamond" w:hAnsi="Garamond"/>
          <w:i/>
        </w:rPr>
        <w:t xml:space="preserve">y</w:t>
      </w:r>
      <w:r>
        <w:rPr>
          <w:rStyle w:val="NotedebasdepageCar"/>
          <w:rFonts w:ascii="Garamond" w:hAnsi="Garamond"/>
        </w:rPr>
        <w:t xml:space="preserve">. Il n’y a pas lieu de s’inquiéter de ce changement : le XVII</w:t>
      </w:r>
      <w:r>
        <w:rPr>
          <w:rStyle w:val="NotedebasdepageCar"/>
          <w:rFonts w:ascii="Garamond" w:hAnsi="Garamond"/>
        </w:rPr>
        <w:t xml:space="preserve">e</w:t>
      </w:r>
      <w:r>
        <w:rPr>
          <w:rStyle w:val="NotedebasdepageCar"/>
          <w:rFonts w:ascii="Garamond" w:hAnsi="Garamond"/>
        </w:rPr>
        <w:t xml:space="preserve"> siècle semble avoir considéré l’</w:t>
      </w:r>
      <w:r>
        <w:rPr>
          <w:rStyle w:val="NotedebasdepageCar"/>
          <w:rFonts w:ascii="Garamond" w:hAnsi="Garamond"/>
          <w:i/>
        </w:rPr>
        <w:t xml:space="preserve">y</w:t>
      </w:r>
      <w:r>
        <w:rPr>
          <w:rStyle w:val="NotedebasdepageCar"/>
          <w:rFonts w:ascii="Garamond" w:hAnsi="Garamond"/>
        </w:rPr>
        <w:t xml:space="preserve"> et l’</w:t>
      </w:r>
      <w:r>
        <w:rPr>
          <w:rStyle w:val="NotedebasdepageCar"/>
          <w:rFonts w:ascii="Garamond" w:hAnsi="Garamond"/>
          <w:i/>
        </w:rPr>
        <w:t xml:space="preserve">i</w:t>
      </w:r>
      <w:r>
        <w:rPr>
          <w:rStyle w:val="NotedebasdepageCar"/>
          <w:rFonts w:ascii="Garamond" w:hAnsi="Garamond"/>
        </w:rPr>
        <w:t xml:space="preserve"> comme lettres interchangeables. » Roy Clement Knight, </w:t>
      </w:r>
      <w:r>
        <w:rPr>
          <w:rStyle w:val="NotedebasdepageCar"/>
          <w:rFonts w:ascii="Garamond" w:hAnsi="Garamond"/>
          <w:i/>
        </w:rPr>
        <w:t xml:space="preserve">Racine et la Grèce</w:t>
      </w:r>
      <w:r>
        <w:rPr>
          <w:rStyle w:val="NotedebasdepageCar"/>
          <w:rFonts w:ascii="Garamond" w:hAnsi="Garamond"/>
        </w:rPr>
        <w:t xml:space="preserve">, Paris, Boivin et C</w:t>
      </w:r>
      <w:r>
        <w:rPr>
          <w:rStyle w:val="NotedebasdepageCar"/>
          <w:rFonts w:ascii="Garamond" w:hAnsi="Garamond"/>
        </w:rPr>
        <w:t xml:space="preserve">ie</w:t>
      </w:r>
      <w:r>
        <w:rPr>
          <w:rStyle w:val="NotedebasdepageCar"/>
          <w:rFonts w:ascii="Garamond" w:hAnsi="Garamond"/>
        </w:rPr>
        <w:t xml:space="preserve">, 1950, p. 317-318.</w:t>
      </w:r>
    </w:p>
  </w:footnote>
  <w:footnote w:type="normal" w:id="16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Nous soulignons.</w:t>
      </w:r>
    </w:p>
  </w:footnote>
  <w:footnote w:type="normal" w:id="16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Racine, </w:t>
      </w:r>
      <w:r>
        <w:rPr>
          <w:rStyle w:val="NotedebasdepageCar"/>
          <w:rFonts w:ascii="Garamond" w:hAnsi="Garamond"/>
          <w:i/>
        </w:rPr>
        <w:t xml:space="preserve">Andromaque, Tragédie</w:t>
      </w:r>
      <w:r>
        <w:rPr>
          <w:rStyle w:val="NotedebasdepageCar"/>
          <w:rFonts w:ascii="Garamond" w:hAnsi="Garamond"/>
        </w:rPr>
        <w:t xml:space="preserve">, Paris, Claude Barbin, 1668 ; nous citerons désormais la pièce d’après l’édition établie par Georges Forestier (dans Jean Racine, </w:t>
      </w:r>
      <w:r>
        <w:rPr>
          <w:rStyle w:val="NotedebasdepageCar"/>
          <w:rFonts w:ascii="Garamond" w:hAnsi="Garamond"/>
          <w:i/>
        </w:rPr>
        <w:t xml:space="preserve">Œuvres complètes I</w:t>
      </w:r>
      <w:r>
        <w:rPr>
          <w:rStyle w:val="NotedebasdepageCar"/>
          <w:rFonts w:ascii="Garamond" w:hAnsi="Garamond"/>
        </w:rPr>
        <w:t xml:space="preserve">, éd. citée).</w:t>
      </w:r>
    </w:p>
  </w:footnote>
  <w:footnote w:type="normal" w:id="16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Charles Mazouer, </w:t>
      </w:r>
      <w:r>
        <w:rPr>
          <w:rStyle w:val="NotedebasdepageCar"/>
          <w:rFonts w:ascii="Garamond" w:hAnsi="Garamond"/>
          <w:i/>
        </w:rPr>
        <w:t xml:space="preserve">Le Théâtre français de l’âge classique II, L’Apogée du classicisme</w:t>
      </w:r>
      <w:r>
        <w:rPr>
          <w:rStyle w:val="NotedebasdepageCar"/>
          <w:rFonts w:ascii="Garamond" w:hAnsi="Garamond"/>
        </w:rPr>
        <w:t xml:space="preserve">, Paris, Honoré Champion, 2010, p. 386. Sur ce point, Charles Mazouer rejoint notamment Tom Bruyer (voir </w:t>
      </w:r>
      <w:r>
        <w:rPr>
          <w:rStyle w:val="NotedebasdepageCar"/>
          <w:rFonts w:ascii="Garamond" w:hAnsi="Garamond"/>
          <w:i/>
        </w:rPr>
        <w:t xml:space="preserve">Le Sang et les larmes, Le Suicide dans les tragédies profanes de Jean Racine</w:t>
      </w:r>
      <w:r>
        <w:rPr>
          <w:rStyle w:val="NotedebasdepageCar"/>
          <w:rFonts w:ascii="Garamond" w:hAnsi="Garamond"/>
        </w:rPr>
        <w:t xml:space="preserve">, Amsterdam, Rodopi, 2012, p. 303), Christian Delmas (voir </w:t>
      </w:r>
      <w:r>
        <w:rPr>
          <w:rStyle w:val="NotedebasdepageCar"/>
          <w:rFonts w:ascii="Garamond" w:hAnsi="Garamond"/>
          <w:i/>
        </w:rPr>
        <w:t xml:space="preserve">Mythologie et mythe dans le théâtre français (1650-1676)</w:t>
      </w:r>
      <w:r>
        <w:rPr>
          <w:rStyle w:val="NotedebasdepageCar"/>
          <w:rFonts w:ascii="Garamond" w:hAnsi="Garamond"/>
        </w:rPr>
        <w:t xml:space="preserve">, Genève, Droz, 1985, p. 236, note 23) et Mitchell Greenberg (voir </w:t>
      </w:r>
      <w:r>
        <w:rPr>
          <w:rStyle w:val="NotedebasdepageCar"/>
          <w:rFonts w:ascii="Garamond" w:hAnsi="Garamond"/>
          <w:i/>
        </w:rPr>
        <w:t xml:space="preserve">Racine, From Ancient Myth to Tragic Modernity</w:t>
      </w:r>
      <w:r>
        <w:rPr>
          <w:rStyle w:val="NotedebasdepageCar"/>
          <w:rFonts w:ascii="Garamond" w:hAnsi="Garamond"/>
        </w:rPr>
        <w:t xml:space="preserve">, Londres / Minneapolis, University of Minnesota Press, 2010, p. 186). – Le rapprochement d’Ériphile et d’Hermione s’impose d’autant plus que toutes deux sont « Filles d’Hélène » : </w:t>
      </w:r>
      <w:r>
        <w:rPr>
          <w:rStyle w:val="NotedebasdepageCar"/>
          <w:rFonts w:ascii="Garamond" w:hAnsi="Garamond"/>
          <w:i/>
        </w:rPr>
        <w:t xml:space="preserve">cf</w:t>
      </w:r>
      <w:r>
        <w:rPr>
          <w:rStyle w:val="NotedebasdepageCar"/>
          <w:rFonts w:ascii="Garamond" w:hAnsi="Garamond"/>
        </w:rPr>
        <w:t xml:space="preserve">. </w:t>
      </w:r>
      <w:r>
        <w:rPr>
          <w:rStyle w:val="NotedebasdepageCar"/>
          <w:rFonts w:ascii="Garamond" w:hAnsi="Garamond"/>
          <w:i/>
        </w:rPr>
        <w:t xml:space="preserve">Andromaque, Tragédie </w:t>
      </w:r>
      <w:r>
        <w:rPr>
          <w:rStyle w:val="NotedebasdepageCar"/>
          <w:rFonts w:ascii="Garamond" w:hAnsi="Garamond"/>
        </w:rPr>
        <w:t xml:space="preserve">[1668], dans </w:t>
      </w:r>
      <w:r>
        <w:rPr>
          <w:rStyle w:val="NotedebasdepageCar"/>
          <w:rFonts w:ascii="Garamond" w:hAnsi="Garamond"/>
          <w:i/>
        </w:rPr>
        <w:t xml:space="preserve">Œuvres complètes I</w:t>
      </w:r>
      <w:r>
        <w:rPr>
          <w:rStyle w:val="NotedebasdepageCar"/>
          <w:rFonts w:ascii="Garamond" w:hAnsi="Garamond"/>
        </w:rPr>
        <w:t xml:space="preserve">, éd. citée, p. 198 (liste des acteurs), 206 (I, 2, v. 245), 209 (I, 4, v. 342) et 245 (IV, 5, v. 1328) ; et </w:t>
      </w:r>
      <w:r>
        <w:rPr>
          <w:rStyle w:val="NotedebasdepageCar"/>
          <w:rFonts w:ascii="Garamond" w:hAnsi="Garamond"/>
          <w:i/>
        </w:rPr>
        <w:t xml:space="preserve">Iphigénie</w:t>
      </w:r>
      <w:r>
        <w:rPr>
          <w:rStyle w:val="NotedebasdepageCar"/>
          <w:rFonts w:ascii="Garamond" w:hAnsi="Garamond"/>
        </w:rPr>
        <w:t xml:space="preserve">, éd. citée, p. 702 (liste des acteurs), 705 (I, 1, v. 59) et 762 (V, 6, v. 1751-1754).</w:t>
      </w:r>
    </w:p>
  </w:footnote>
  <w:footnote w:type="normal" w:id="16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En rapprochant </w:t>
      </w:r>
      <w:r>
        <w:rPr>
          <w:rStyle w:val="NotedebasdepageCar"/>
          <w:rFonts w:ascii="Garamond" w:hAnsi="Garamond"/>
          <w:i/>
        </w:rPr>
        <w:t xml:space="preserve">Iphigénie</w:t>
      </w:r>
      <w:r>
        <w:rPr>
          <w:rStyle w:val="NotedebasdepageCar"/>
          <w:rFonts w:ascii="Garamond" w:hAnsi="Garamond"/>
        </w:rPr>
        <w:t xml:space="preserve"> d’</w:t>
      </w:r>
      <w:r>
        <w:rPr>
          <w:rStyle w:val="NotedebasdepageCar"/>
          <w:rFonts w:ascii="Garamond" w:hAnsi="Garamond"/>
          <w:i/>
        </w:rPr>
        <w:t xml:space="preserve">Andromaque</w:t>
      </w:r>
      <w:r>
        <w:rPr>
          <w:rStyle w:val="NotedebasdepageCar"/>
          <w:rFonts w:ascii="Garamond" w:hAnsi="Garamond"/>
        </w:rPr>
        <w:t xml:space="preserve">, nous suivons l’exemple de Françoise Jaouën, mais de façon nouvelle et paradoxale, puisque cette dernière n’évoque pas le personnage d’Ériphile (« Et bien qu’il s’agisse de faire commencer l’histoire [d’</w:t>
      </w:r>
      <w:r>
        <w:rPr>
          <w:rStyle w:val="NotedebasdepageCar"/>
          <w:rFonts w:ascii="Garamond" w:hAnsi="Garamond"/>
          <w:i/>
        </w:rPr>
        <w:t xml:space="preserve">Iphigénie</w:t>
      </w:r>
      <w:r>
        <w:rPr>
          <w:rStyle w:val="NotedebasdepageCar"/>
          <w:rFonts w:ascii="Garamond" w:hAnsi="Garamond"/>
        </w:rPr>
        <w:t xml:space="preserve">], qui est en l’occurrence un mythe, il s’agit aussi d’une certaine manière d’un retour en arrière : </w:t>
      </w:r>
      <w:r>
        <w:rPr>
          <w:rStyle w:val="NotedebasdepageCar"/>
          <w:rFonts w:ascii="Garamond" w:hAnsi="Garamond"/>
          <w:i/>
        </w:rPr>
        <w:t xml:space="preserve">Andromaque</w:t>
      </w:r>
      <w:r>
        <w:rPr>
          <w:rStyle w:val="NotedebasdepageCar"/>
          <w:rFonts w:ascii="Garamond" w:hAnsi="Garamond"/>
        </w:rPr>
        <w:t xml:space="preserve"> a précédé </w:t>
      </w:r>
      <w:r>
        <w:rPr>
          <w:rStyle w:val="NotedebasdepageCar"/>
          <w:rFonts w:ascii="Garamond" w:hAnsi="Garamond"/>
          <w:i/>
        </w:rPr>
        <w:t xml:space="preserve">Iphigénie</w:t>
      </w:r>
      <w:r>
        <w:rPr>
          <w:rStyle w:val="NotedebasdepageCar"/>
          <w:rFonts w:ascii="Garamond" w:hAnsi="Garamond"/>
        </w:rPr>
        <w:t xml:space="preserve">. Nous sommes déjà au pied de Troie, et Troie est déjà détruite. L’image de la destruction et du massacre est déjà un tableau de l’histoire. Cette nouvelle pièce ne peut donc rien nous apprendre de nouveau, si ce n’est peut-être à lire et à relire encore cette histoire appartenant déjà à l’Histoire, écrite sur le mode du futur, et de tous les possibles, et qui va devenir “l’éternel entretien des siècles à venir” (I, 5, v. 396). » Françoise Jaouën, « </w:t>
      </w:r>
      <w:r>
        <w:rPr>
          <w:rStyle w:val="NotedebasdepageCar"/>
          <w:rFonts w:ascii="Garamond" w:hAnsi="Garamond"/>
          <w:i/>
        </w:rPr>
        <w:t xml:space="preserve">Iphigénie </w:t>
      </w:r>
      <w:r>
        <w:rPr>
          <w:rStyle w:val="NotedebasdepageCar"/>
          <w:rFonts w:ascii="Garamond" w:hAnsi="Garamond"/>
        </w:rPr>
        <w:t xml:space="preserve">: poétique et politique du sacrifice »</w:t>
      </w:r>
      <w:r>
        <w:rPr>
          <w:rStyle w:val="NotedebasdepageCar"/>
          <w:rFonts w:ascii="Garamond" w:hAnsi="Garamond"/>
          <w:i/>
        </w:rPr>
        <w:t xml:space="preserve">, Littérature</w:t>
      </w:r>
      <w:r>
        <w:rPr>
          <w:rStyle w:val="NotedebasdepageCar"/>
          <w:rFonts w:ascii="Garamond" w:hAnsi="Garamond"/>
        </w:rPr>
        <w:t xml:space="preserve">, n° 103, 1996, p. 6).</w:t>
      </w:r>
    </w:p>
  </w:footnote>
  <w:footnote w:type="normal" w:id="16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 </w:t>
      </w:r>
      <w:r>
        <w:rPr>
          <w:rStyle w:val="NotedebasdepageCar"/>
          <w:rFonts w:ascii="Garamond" w:hAnsi="Garamond"/>
        </w:rPr>
        <w:t xml:space="preserve">Jean Racine, </w:t>
      </w:r>
      <w:r>
        <w:rPr>
          <w:rStyle w:val="NotedebasdepageCar"/>
          <w:rFonts w:ascii="Garamond" w:hAnsi="Garamond"/>
          <w:i/>
        </w:rPr>
        <w:t xml:space="preserve">Andromaque</w:t>
      </w:r>
      <w:r>
        <w:rPr>
          <w:rStyle w:val="NotedebasdepageCar"/>
          <w:rFonts w:ascii="Garamond" w:hAnsi="Garamond"/>
        </w:rPr>
        <w:t xml:space="preserve">, éd. citée, p. 198 (liste des acteurs), 202 (I, 1, v. 112), 208-209 (I, 4, v. 301 et 352) et 212 (II, 1, v. 423 et 435) ; et </w:t>
      </w:r>
      <w:r>
        <w:rPr>
          <w:rStyle w:val="NotedebasdepageCar"/>
          <w:rFonts w:ascii="Garamond" w:hAnsi="Garamond"/>
          <w:i/>
        </w:rPr>
        <w:t xml:space="preserve">Iphigénie</w:t>
      </w:r>
      <w:r>
        <w:rPr>
          <w:rStyle w:val="NotedebasdepageCar"/>
          <w:rFonts w:ascii="Garamond" w:hAnsi="Garamond"/>
        </w:rPr>
        <w:t xml:space="preserve">, éd. citée, p. 707 (I, 1, v. 155), 710 (I, 2, v. 238), 715-717 (II, 1, v. 401 et 470) et 731-732 (III, 4, v. 867 et 878).</w:t>
      </w:r>
    </w:p>
  </w:footnote>
  <w:footnote w:type="normal" w:id="16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 </w:t>
      </w:r>
      <w:r>
        <w:rPr>
          <w:rStyle w:val="NotedebasdepageCar"/>
          <w:rFonts w:ascii="Garamond" w:hAnsi="Garamond"/>
        </w:rPr>
        <w:t xml:space="preserve">Jean Racine, </w:t>
      </w:r>
      <w:r>
        <w:rPr>
          <w:rStyle w:val="NotedebasdepageCar"/>
          <w:rFonts w:ascii="Garamond" w:hAnsi="Garamond"/>
          <w:i/>
        </w:rPr>
        <w:t xml:space="preserve">Andromaque</w:t>
      </w:r>
      <w:r>
        <w:rPr>
          <w:rStyle w:val="NotedebasdepageCar"/>
          <w:rFonts w:ascii="Garamond" w:hAnsi="Garamond"/>
        </w:rPr>
        <w:t xml:space="preserve">, éd. citée, p. 221 (II, 5, v. 693) et 245 (IV, 5, v. 1329) ; et </w:t>
      </w:r>
      <w:r>
        <w:rPr>
          <w:rStyle w:val="NotedebasdepageCar"/>
          <w:rFonts w:ascii="Garamond" w:hAnsi="Garamond"/>
          <w:i/>
        </w:rPr>
        <w:t xml:space="preserve">Iphigénie</w:t>
      </w:r>
      <w:r>
        <w:rPr>
          <w:rStyle w:val="NotedebasdepageCar"/>
          <w:rFonts w:ascii="Garamond" w:hAnsi="Garamond"/>
        </w:rPr>
        <w:t xml:space="preserve">, éd. citée, p. 716 (II, 1, v. 451).</w:t>
      </w:r>
    </w:p>
  </w:footnote>
  <w:footnote w:type="normal" w:id="16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 </w:t>
      </w:r>
      <w:r>
        <w:rPr>
          <w:rStyle w:val="NotedebasdepageCar"/>
          <w:rFonts w:ascii="Garamond" w:hAnsi="Garamond"/>
        </w:rPr>
        <w:t xml:space="preserve">Jean Racine, </w:t>
      </w:r>
      <w:r>
        <w:rPr>
          <w:rStyle w:val="NotedebasdepageCar"/>
          <w:rFonts w:ascii="Garamond" w:hAnsi="Garamond"/>
          <w:i/>
        </w:rPr>
        <w:t xml:space="preserve">Andromaque</w:t>
      </w:r>
      <w:r>
        <w:rPr>
          <w:rStyle w:val="NotedebasdepageCar"/>
          <w:rFonts w:ascii="Garamond" w:hAnsi="Garamond"/>
        </w:rPr>
        <w:t xml:space="preserve">, éd. citée, p. 209 (I, 4, v. 348) et 231 (III, 6, v. 935) ; et </w:t>
      </w:r>
      <w:r>
        <w:rPr>
          <w:rStyle w:val="NotedebasdepageCar"/>
          <w:rFonts w:ascii="Garamond" w:hAnsi="Garamond"/>
          <w:i/>
        </w:rPr>
        <w:t xml:space="preserve">Iphigénie</w:t>
      </w:r>
      <w:r>
        <w:rPr>
          <w:rStyle w:val="NotedebasdepageCar"/>
          <w:rFonts w:ascii="Garamond" w:hAnsi="Garamond"/>
        </w:rPr>
        <w:t xml:space="preserve">, éd. citée, p. 715-718 (II, 1, v. 402, 449 et 488) et 731 (III, 4, v. 867).</w:t>
      </w:r>
    </w:p>
  </w:footnote>
  <w:footnote w:type="normal" w:id="16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 </w:t>
      </w:r>
      <w:r>
        <w:rPr>
          <w:rStyle w:val="NotedebasdepageCar"/>
          <w:rFonts w:ascii="Garamond" w:hAnsi="Garamond"/>
        </w:rPr>
        <w:t xml:space="preserve">Jean Racine, </w:t>
      </w:r>
      <w:r>
        <w:rPr>
          <w:rStyle w:val="NotedebasdepageCar"/>
          <w:rFonts w:ascii="Garamond" w:hAnsi="Garamond"/>
          <w:i/>
        </w:rPr>
        <w:t xml:space="preserve">Andromaque</w:t>
      </w:r>
      <w:r>
        <w:rPr>
          <w:rStyle w:val="NotedebasdepageCar"/>
          <w:rFonts w:ascii="Garamond" w:hAnsi="Garamond"/>
        </w:rPr>
        <w:t xml:space="preserve">, éd. citée, p. 203 (I, 2, v. 146) et 236 (IV, 1, v. 1062) ; et </w:t>
      </w:r>
      <w:r>
        <w:rPr>
          <w:rStyle w:val="NotedebasdepageCar"/>
          <w:rFonts w:ascii="Garamond" w:hAnsi="Garamond"/>
          <w:i/>
        </w:rPr>
        <w:t xml:space="preserve">Iphigénie</w:t>
      </w:r>
      <w:r>
        <w:rPr>
          <w:rStyle w:val="NotedebasdepageCar"/>
          <w:rFonts w:ascii="Garamond" w:hAnsi="Garamond"/>
        </w:rPr>
        <w:t xml:space="preserve">, éd. citée, p. 706 (I, 1, v. 109), 715-718 (II, 1, v. 404, 406 et 493) et 725 (II, 5, v. 675).</w:t>
      </w:r>
    </w:p>
  </w:footnote>
  <w:footnote w:type="normal" w:id="17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Jean Racine, </w:t>
      </w:r>
      <w:r>
        <w:rPr>
          <w:rStyle w:val="NotedebasdepageCar"/>
          <w:rFonts w:ascii="Garamond" w:hAnsi="Garamond"/>
          <w:i/>
        </w:rPr>
        <w:t xml:space="preserve">Iphigénie</w:t>
      </w:r>
      <w:r>
        <w:rPr>
          <w:rStyle w:val="NotedebasdepageCar"/>
          <w:rFonts w:ascii="Garamond" w:hAnsi="Garamond"/>
        </w:rPr>
        <w:t xml:space="preserve">, éd. citée, p. 707 et 710 (I, 2, v. 165-168 et 231-238), 715-718 (II, 1, v. 403-503), 725 (II, 5, v. 675-684) et 732 (III, 4, v. 877-880).</w:t>
      </w:r>
    </w:p>
  </w:footnote>
  <w:footnote w:type="normal" w:id="17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Et ce, là encore, en dépit des propos de Racine lui-même (« Le voyage d’Achille à Lesbos, dont ce Héros se rend maître, et d’où il enlève Ériphile avant que de venir en Aulide, n’est pas non plus sans fondement. Euphorion de Chalcide, Poète très connu parmi les Anciens, et dont Virgile et Quintilien font une mention honorable, parlait de ce voyage de Lesbos. Il disait dans un de ses Poèmes, au rapport de Parthenius, qu’Achille avait fait la conquête de cette Île avant que de joindre l’armée des Grecs, et qu’il y avait même trouvé une Princesse qui s’était éprise d’amour pour lui. » Jean Racine, préface d’</w:t>
      </w:r>
      <w:r>
        <w:rPr>
          <w:rStyle w:val="NotedebasdepageCar"/>
          <w:rFonts w:ascii="Garamond" w:hAnsi="Garamond"/>
          <w:i/>
        </w:rPr>
        <w:t xml:space="preserve">Iphigénie</w:t>
      </w:r>
      <w:r>
        <w:rPr>
          <w:rStyle w:val="NotedebasdepageCar"/>
          <w:rFonts w:ascii="Garamond" w:hAnsi="Garamond"/>
        </w:rPr>
        <w:t xml:space="preserve">, éd. citée, p. 698-699).</w:t>
      </w:r>
    </w:p>
  </w:footnote>
  <w:footnote w:type="normal" w:id="17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Horace nous recommande de dépeindre Achille, farouche, inexorable, violent, tel qu’il était, </w:t>
      </w:r>
      <w:r>
        <w:rPr>
          <w:rStyle w:val="NotedebasdepageCar"/>
          <w:rFonts w:ascii="Garamond" w:hAnsi="Garamond"/>
          <w:i/>
        </w:rPr>
        <w:t xml:space="preserve">et tel qu’on dépeint son Fils</w:t>
      </w:r>
      <w:r>
        <w:rPr>
          <w:rStyle w:val="NotedebasdepageCar"/>
          <w:rFonts w:ascii="Garamond" w:hAnsi="Garamond"/>
        </w:rPr>
        <w:t xml:space="preserve">. » Jean Racine, « Virgile au troisième livre de </w:t>
      </w:r>
      <w:r>
        <w:rPr>
          <w:rStyle w:val="NotedebasdepageCar"/>
          <w:rFonts w:ascii="Garamond" w:hAnsi="Garamond"/>
          <w:i/>
        </w:rPr>
        <w:t xml:space="preserve">L’Énéide </w:t>
      </w:r>
      <w:r>
        <w:rPr>
          <w:rStyle w:val="NotedebasdepageCar"/>
          <w:rFonts w:ascii="Garamond" w:hAnsi="Garamond"/>
        </w:rPr>
        <w:t xml:space="preserve">», dans </w:t>
      </w:r>
      <w:r>
        <w:rPr>
          <w:rStyle w:val="NotedebasdepageCar"/>
          <w:rFonts w:ascii="Garamond" w:hAnsi="Garamond"/>
          <w:i/>
        </w:rPr>
        <w:t xml:space="preserve">Œuvres complètes I</w:t>
      </w:r>
      <w:r>
        <w:rPr>
          <w:rStyle w:val="NotedebasdepageCar"/>
          <w:rFonts w:ascii="Garamond" w:hAnsi="Garamond"/>
        </w:rPr>
        <w:t xml:space="preserve">, éd. citée, p. 197 (nous soulignons).</w:t>
      </w:r>
    </w:p>
  </w:footnote>
  <w:footnote w:type="normal" w:id="17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Jean Racine, </w:t>
      </w:r>
      <w:r>
        <w:rPr>
          <w:rStyle w:val="NotedebasdepageCar"/>
          <w:rFonts w:ascii="Garamond" w:hAnsi="Garamond"/>
          <w:i/>
        </w:rPr>
        <w:t xml:space="preserve">Iphigénie</w:t>
      </w:r>
      <w:r>
        <w:rPr>
          <w:rStyle w:val="NotedebasdepageCar"/>
          <w:rFonts w:ascii="Garamond" w:hAnsi="Garamond"/>
        </w:rPr>
        <w:t xml:space="preserve">, éd. citée, p. 710 («</w:t>
      </w:r>
      <w:r>
        <w:rPr>
          <w:rStyle w:val="NotedebasdepageCar"/>
          <w:rFonts w:ascii="Garamond" w:hAnsi="Garamond"/>
          <w:smallCaps w:val="true"/>
        </w:rPr>
        <w:t xml:space="preserve"> Agamemnon</w:t>
      </w:r>
      <w:r>
        <w:rPr>
          <w:rStyle w:val="NotedebasdepageCar"/>
          <w:rFonts w:ascii="Garamond" w:hAnsi="Garamond"/>
        </w:rPr>
        <w:t xml:space="preserve"> – Les malheurs de Lesbos par vos mains ravagée / Épouvantent encor toute la Mer Égée. / Troie en a vu la flamme. Et jusque dans ses ports / Les flots en ont poussé les débris et les morts. » I, 2, v. 233-236) et 755 («</w:t>
      </w:r>
      <w:r>
        <w:rPr>
          <w:rStyle w:val="NotedebasdepageCar"/>
          <w:rFonts w:ascii="Garamond" w:hAnsi="Garamond"/>
          <w:smallCaps w:val="true"/>
        </w:rPr>
        <w:t xml:space="preserve"> Iphigénie</w:t>
      </w:r>
      <w:r>
        <w:rPr>
          <w:rStyle w:val="NotedebasdepageCar"/>
          <w:rFonts w:ascii="Garamond" w:hAnsi="Garamond"/>
        </w:rPr>
        <w:t xml:space="preserve"> – Déjà Priam pâlit. Déjà Troie en alarmes, / Redoute mon bûcher, et frémit de vos larmes. » V, 2, v. 1553-1554). La réunion des deux villes suggérée par Agamemnon et la prolepse émise par Iphigénie sont éminemment symboliques : elles remotivent le saccage d’Ilion par Pyrrhus, dont elles font le prolongement de celui de Lesbos. La continuité que Racine établit entre le père et le fils en est ainsi renforcée.</w:t>
      </w:r>
    </w:p>
  </w:footnote>
  <w:footnote w:type="normal" w:id="17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 </w:t>
      </w:r>
      <w:r>
        <w:rPr>
          <w:rStyle w:val="NotedebasdepageCar"/>
          <w:rFonts w:ascii="Garamond" w:hAnsi="Garamond"/>
        </w:rPr>
        <w:t xml:space="preserve">Jean Racine, </w:t>
      </w:r>
      <w:r>
        <w:rPr>
          <w:rStyle w:val="NotedebasdepageCar"/>
          <w:rFonts w:ascii="Garamond" w:hAnsi="Garamond"/>
          <w:i/>
        </w:rPr>
        <w:t xml:space="preserve">Andromaque</w:t>
      </w:r>
      <w:r>
        <w:rPr>
          <w:rStyle w:val="NotedebasdepageCar"/>
          <w:rFonts w:ascii="Garamond" w:hAnsi="Garamond"/>
        </w:rPr>
        <w:t xml:space="preserve">, éd. citée, p. 210 (« </w:t>
      </w:r>
      <w:r>
        <w:rPr>
          <w:rStyle w:val="NotedebasdepageCar"/>
          <w:rFonts w:ascii="Garamond" w:hAnsi="Garamond"/>
          <w:smallCaps w:val="true"/>
        </w:rPr>
        <w:t xml:space="preserve">Andromaque</w:t>
      </w:r>
      <w:r>
        <w:rPr>
          <w:rStyle w:val="NotedebasdepageCar"/>
          <w:rFonts w:ascii="Garamond" w:hAnsi="Garamond"/>
        </w:rPr>
        <w:t xml:space="preserve"> – Et quel Époux encore ! Ah </w:t>
      </w:r>
      <w:r>
        <w:rPr>
          <w:rStyle w:val="NotedebasdepageCar"/>
          <w:rFonts w:ascii="Garamond" w:hAnsi="Garamond"/>
          <w:i/>
        </w:rPr>
        <w:t xml:space="preserve">souvenir</w:t>
      </w:r>
      <w:r>
        <w:rPr>
          <w:rStyle w:val="NotedebasdepageCar"/>
          <w:rFonts w:ascii="Garamond" w:hAnsi="Garamond"/>
        </w:rPr>
        <w:t xml:space="preserve"> cruel ! » I, 4, v. 359), 233 (« </w:t>
      </w:r>
      <w:r>
        <w:rPr>
          <w:rStyle w:val="NotedebasdepageCar"/>
          <w:rFonts w:ascii="Garamond" w:hAnsi="Garamond"/>
          <w:smallCaps w:val="true"/>
        </w:rPr>
        <w:t xml:space="preserve">Andromaque</w:t>
      </w:r>
      <w:r>
        <w:rPr>
          <w:rStyle w:val="NotedebasdepageCar"/>
          <w:rFonts w:ascii="Garamond" w:hAnsi="Garamond"/>
        </w:rPr>
        <w:t xml:space="preserve"> – Dois-je les </w:t>
      </w:r>
      <w:r>
        <w:rPr>
          <w:rStyle w:val="NotedebasdepageCar"/>
          <w:rFonts w:ascii="Garamond" w:hAnsi="Garamond"/>
          <w:i/>
        </w:rPr>
        <w:t xml:space="preserve">oublier</w:t>
      </w:r>
      <w:r>
        <w:rPr>
          <w:rStyle w:val="NotedebasdepageCar"/>
          <w:rFonts w:ascii="Garamond" w:hAnsi="Garamond"/>
        </w:rPr>
        <w:t xml:space="preserve">, s’il ne </w:t>
      </w:r>
      <w:r>
        <w:rPr>
          <w:rStyle w:val="NotedebasdepageCar"/>
          <w:rFonts w:ascii="Garamond" w:hAnsi="Garamond"/>
          <w:i/>
        </w:rPr>
        <w:t xml:space="preserve">s’en souvient</w:t>
      </w:r>
      <w:r>
        <w:rPr>
          <w:rStyle w:val="NotedebasdepageCar"/>
          <w:rFonts w:ascii="Garamond" w:hAnsi="Garamond"/>
        </w:rPr>
        <w:t xml:space="preserve"> plus ? / Dois-je </w:t>
      </w:r>
      <w:r>
        <w:rPr>
          <w:rStyle w:val="NotedebasdepageCar"/>
          <w:rFonts w:ascii="Garamond" w:hAnsi="Garamond"/>
          <w:i/>
        </w:rPr>
        <w:t xml:space="preserve">oublier</w:t>
      </w:r>
      <w:r>
        <w:rPr>
          <w:rStyle w:val="NotedebasdepageCar"/>
          <w:rFonts w:ascii="Garamond" w:hAnsi="Garamond"/>
        </w:rPr>
        <w:t xml:space="preserve"> Hector privé de funérailles, / Et traîné sans honneur autour de nos murailles ? / Dois-je </w:t>
      </w:r>
      <w:r>
        <w:rPr>
          <w:rStyle w:val="NotedebasdepageCar"/>
          <w:rFonts w:ascii="Garamond" w:hAnsi="Garamond"/>
          <w:i/>
        </w:rPr>
        <w:t xml:space="preserve">oublier </w:t>
      </w:r>
      <w:r>
        <w:rPr>
          <w:rStyle w:val="NotedebasdepageCar"/>
          <w:rFonts w:ascii="Garamond" w:hAnsi="Garamond"/>
        </w:rPr>
        <w:t xml:space="preserve">son Père à mes pieds renversé, / Ensanglantant l’Autel qu’il tenait embrassé ? » III, 8, v. 996-1000) et 248 (« </w:t>
      </w:r>
      <w:r>
        <w:rPr>
          <w:rStyle w:val="NotedebasdepageCar"/>
          <w:rFonts w:ascii="Garamond" w:hAnsi="Garamond"/>
          <w:smallCaps w:val="true"/>
        </w:rPr>
        <w:t xml:space="preserve">Cléone</w:t>
      </w:r>
      <w:r>
        <w:rPr>
          <w:rStyle w:val="NotedebasdepageCar"/>
          <w:rFonts w:ascii="Garamond" w:hAnsi="Garamond"/>
        </w:rPr>
        <w:t xml:space="preserve"> – Andromaque, au travers de mille cris de joie, / Porte jusqu’aux Autels le </w:t>
      </w:r>
      <w:r>
        <w:rPr>
          <w:rStyle w:val="NotedebasdepageCar"/>
          <w:rFonts w:ascii="Garamond" w:hAnsi="Garamond"/>
          <w:i/>
        </w:rPr>
        <w:t xml:space="preserve">souvenir</w:t>
      </w:r>
      <w:r>
        <w:rPr>
          <w:rStyle w:val="NotedebasdepageCar"/>
          <w:rFonts w:ascii="Garamond" w:hAnsi="Garamond"/>
        </w:rPr>
        <w:t xml:space="preserve"> de Troie […]. » V, 2, v. 1445-1446) ; et </w:t>
      </w:r>
      <w:r>
        <w:rPr>
          <w:rStyle w:val="NotedebasdepageCar"/>
          <w:rFonts w:ascii="Garamond" w:hAnsi="Garamond"/>
          <w:i/>
        </w:rPr>
        <w:t xml:space="preserve">Iphigénie</w:t>
      </w:r>
      <w:r>
        <w:rPr>
          <w:rStyle w:val="NotedebasdepageCar"/>
          <w:rFonts w:ascii="Garamond" w:hAnsi="Garamond"/>
        </w:rPr>
        <w:t xml:space="preserve">, éd. citée, p. 718 (« </w:t>
      </w:r>
      <w:r>
        <w:rPr>
          <w:rStyle w:val="NotedebasdepageCar"/>
          <w:rFonts w:ascii="Garamond" w:hAnsi="Garamond"/>
          <w:smallCaps w:val="true"/>
        </w:rPr>
        <w:t xml:space="preserve">Ériphile</w:t>
      </w:r>
      <w:r>
        <w:rPr>
          <w:rStyle w:val="NotedebasdepageCar"/>
          <w:rFonts w:ascii="Garamond" w:hAnsi="Garamond"/>
        </w:rPr>
        <w:t xml:space="preserve"> – </w:t>
      </w:r>
      <w:r>
        <w:rPr>
          <w:rStyle w:val="NotedebasdepageCar"/>
          <w:rFonts w:ascii="Garamond" w:hAnsi="Garamond"/>
          <w:i/>
        </w:rPr>
        <w:t xml:space="preserve">Rappellerai</w:t>
      </w:r>
      <w:r>
        <w:rPr>
          <w:rStyle w:val="NotedebasdepageCar"/>
          <w:rFonts w:ascii="Garamond" w:hAnsi="Garamond"/>
        </w:rPr>
        <w:t xml:space="preserve">-je encor le </w:t>
      </w:r>
      <w:r>
        <w:rPr>
          <w:rStyle w:val="NotedebasdepageCar"/>
          <w:rFonts w:ascii="Garamond" w:hAnsi="Garamond"/>
          <w:i/>
        </w:rPr>
        <w:t xml:space="preserve">souvenir </w:t>
      </w:r>
      <w:r>
        <w:rPr>
          <w:rStyle w:val="NotedebasdepageCar"/>
          <w:rFonts w:ascii="Garamond" w:hAnsi="Garamond"/>
        </w:rPr>
        <w:t xml:space="preserve">affreux / Du jour qui dans les fers nous jeta toutes deux ! » II, 1, v. 487-488) et 725 (« </w:t>
      </w:r>
      <w:r>
        <w:rPr>
          <w:rStyle w:val="NotedebasdepageCar"/>
          <w:rFonts w:ascii="Garamond" w:hAnsi="Garamond"/>
          <w:smallCaps w:val="true"/>
        </w:rPr>
        <w:t xml:space="preserve">Iphigénie</w:t>
      </w:r>
      <w:r>
        <w:rPr>
          <w:rStyle w:val="NotedebasdepageCar"/>
          <w:rFonts w:ascii="Garamond" w:hAnsi="Garamond"/>
        </w:rPr>
        <w:t xml:space="preserve"> – Et loin d’en détester le cruel </w:t>
      </w:r>
      <w:r>
        <w:rPr>
          <w:rStyle w:val="NotedebasdepageCar"/>
          <w:rFonts w:ascii="Garamond" w:hAnsi="Garamond"/>
          <w:i/>
        </w:rPr>
        <w:t xml:space="preserve">souvenir</w:t>
      </w:r>
      <w:r>
        <w:rPr>
          <w:rStyle w:val="NotedebasdepageCar"/>
          <w:rFonts w:ascii="Garamond" w:hAnsi="Garamond"/>
        </w:rPr>
        <w:t xml:space="preserve">, / Vous vous plaisez encore à m’en entretenir. » II, 5, v. 683-684 ; nous soulignons dans toutes les citations de cette note).</w:t>
      </w:r>
    </w:p>
  </w:footnote>
  <w:footnote w:type="normal" w:id="17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 </w:t>
      </w:r>
      <w:r>
        <w:rPr>
          <w:rStyle w:val="NotedebasdepageCar"/>
          <w:rFonts w:ascii="Garamond" w:hAnsi="Garamond"/>
        </w:rPr>
        <w:t xml:space="preserve">Jean Racine, </w:t>
      </w:r>
      <w:r>
        <w:rPr>
          <w:rStyle w:val="NotedebasdepageCar"/>
          <w:rFonts w:ascii="Garamond" w:hAnsi="Garamond"/>
          <w:i/>
        </w:rPr>
        <w:t xml:space="preserve">Andromaque</w:t>
      </w:r>
      <w:r>
        <w:rPr>
          <w:rStyle w:val="NotedebasdepageCar"/>
          <w:rFonts w:ascii="Garamond" w:hAnsi="Garamond"/>
        </w:rPr>
        <w:t xml:space="preserve">, éd. citée, p. 234 (« </w:t>
      </w:r>
      <w:r>
        <w:rPr>
          <w:rStyle w:val="NotedebasdepageCar"/>
          <w:rFonts w:ascii="Garamond" w:hAnsi="Garamond"/>
          <w:smallCaps w:val="true"/>
        </w:rPr>
        <w:t xml:space="preserve">Andromaque</w:t>
      </w:r>
      <w:r>
        <w:rPr>
          <w:rStyle w:val="NotedebasdepageCar"/>
          <w:rFonts w:ascii="Garamond" w:hAnsi="Garamond"/>
        </w:rPr>
        <w:t xml:space="preserve"> – Peins-toi dans ces </w:t>
      </w:r>
      <w:r>
        <w:rPr>
          <w:rStyle w:val="NotedebasdepageCar"/>
          <w:rFonts w:ascii="Garamond" w:hAnsi="Garamond"/>
          <w:i/>
        </w:rPr>
        <w:t xml:space="preserve">horreurs</w:t>
      </w:r>
      <w:r>
        <w:rPr>
          <w:rStyle w:val="NotedebasdepageCar"/>
          <w:rFonts w:ascii="Garamond" w:hAnsi="Garamond"/>
        </w:rPr>
        <w:t xml:space="preserve"> Andromaque éperdue » III, 8, v. 1009 ; nous soulignons) ; et </w:t>
      </w:r>
      <w:r>
        <w:rPr>
          <w:rStyle w:val="NotedebasdepageCar"/>
          <w:rFonts w:ascii="Garamond" w:hAnsi="Garamond"/>
          <w:i/>
        </w:rPr>
        <w:t xml:space="preserve">Iphigénie</w:t>
      </w:r>
      <w:r>
        <w:rPr>
          <w:rStyle w:val="NotedebasdepageCar"/>
          <w:rFonts w:ascii="Garamond" w:hAnsi="Garamond"/>
        </w:rPr>
        <w:t xml:space="preserve">, éd. citée, p. 718 (« </w:t>
      </w:r>
      <w:r>
        <w:rPr>
          <w:rStyle w:val="NotedebasdepageCar"/>
          <w:rFonts w:ascii="Garamond" w:hAnsi="Garamond"/>
          <w:smallCaps w:val="true"/>
        </w:rPr>
        <w:t xml:space="preserve">Ériphile</w:t>
      </w:r>
      <w:r>
        <w:rPr>
          <w:rStyle w:val="NotedebasdepageCar"/>
          <w:rFonts w:ascii="Garamond" w:hAnsi="Garamond"/>
        </w:rPr>
        <w:t xml:space="preserve"> – J’entrai dans son Vaisseau, détestant sa fureur, / Et toujours détournant ma vue avec horreur. » II, 1, v. 495-496 ; nous soulignons).</w:t>
      </w:r>
    </w:p>
  </w:footnote>
  <w:footnote w:type="normal" w:id="17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smallCaps w:val="true"/>
        </w:rPr>
        <w:t xml:space="preserve">Ériphile</w:t>
      </w:r>
      <w:r>
        <w:rPr>
          <w:rStyle w:val="NotedebasdepageCar"/>
          <w:rFonts w:ascii="Garamond" w:hAnsi="Garamond"/>
        </w:rPr>
        <w:t xml:space="preserve"> – Mettons en liberté ma tristesse et leur joie. » </w:t>
      </w:r>
      <w:r>
        <w:rPr>
          <w:rStyle w:val="NotedebasdepageCar"/>
          <w:rFonts w:ascii="Garamond" w:hAnsi="Garamond"/>
          <w:i/>
        </w:rPr>
        <w:t xml:space="preserve">Ibid.</w:t>
      </w:r>
      <w:r>
        <w:rPr>
          <w:rStyle w:val="NotedebasdepageCar"/>
          <w:rFonts w:ascii="Garamond" w:hAnsi="Garamond"/>
        </w:rPr>
        <w:t xml:space="preserve">, p. 715 (II, 1, v. 398).</w:t>
      </w:r>
    </w:p>
  </w:footnote>
  <w:footnote w:type="normal" w:id="17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w:t>
      </w:r>
      <w:r>
        <w:rPr>
          <w:rStyle w:val="NotedebasdepageCar"/>
          <w:rFonts w:ascii="Garamond" w:hAnsi="Garamond"/>
        </w:rPr>
        <w:t xml:space="preserve">. Jean Racine, </w:t>
      </w:r>
      <w:r>
        <w:rPr>
          <w:rStyle w:val="NotedebasdepageCar"/>
          <w:rFonts w:ascii="Garamond" w:hAnsi="Garamond"/>
          <w:i/>
        </w:rPr>
        <w:t xml:space="preserve">Andromaque</w:t>
      </w:r>
      <w:r>
        <w:rPr>
          <w:rStyle w:val="NotedebasdepageCar"/>
          <w:rFonts w:ascii="Garamond" w:hAnsi="Garamond"/>
        </w:rPr>
        <w:t xml:space="preserve">, éd. citée, p. 213 (II, 1, v. 453), 222 (II, 5, v. 700), 227 (III, 3, v. 860) et 228 (III, 4, v. 885) ; et </w:t>
      </w:r>
      <w:r>
        <w:rPr>
          <w:rStyle w:val="NotedebasdepageCar"/>
          <w:rFonts w:ascii="Garamond" w:hAnsi="Garamond"/>
          <w:i/>
        </w:rPr>
        <w:t xml:space="preserve">Iphigénie</w:t>
      </w:r>
      <w:r>
        <w:rPr>
          <w:rStyle w:val="NotedebasdepageCar"/>
          <w:rFonts w:ascii="Garamond" w:hAnsi="Garamond"/>
        </w:rPr>
        <w:t xml:space="preserve">, éd. citée, p. 715-717 (II, 1, v. 399, 416 et 468).</w:t>
      </w:r>
    </w:p>
  </w:footnote>
  <w:footnote w:type="normal" w:id="17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w:t>
      </w:r>
      <w:r>
        <w:rPr>
          <w:rStyle w:val="NotedebasdepageCar"/>
          <w:rFonts w:ascii="Garamond" w:hAnsi="Garamond"/>
          <w:i/>
        </w:rPr>
        <w:t xml:space="preserve">Cf. </w:t>
      </w:r>
      <w:r>
        <w:rPr>
          <w:rStyle w:val="NotedebasdepageCar"/>
          <w:rFonts w:ascii="Garamond" w:hAnsi="Garamond"/>
        </w:rPr>
        <w:t xml:space="preserve">Jean Racine, </w:t>
      </w:r>
      <w:r>
        <w:rPr>
          <w:rStyle w:val="NotedebasdepageCar"/>
          <w:rFonts w:ascii="Garamond" w:hAnsi="Garamond"/>
          <w:i/>
        </w:rPr>
        <w:t xml:space="preserve">Andromaque</w:t>
      </w:r>
      <w:r>
        <w:rPr>
          <w:rStyle w:val="NotedebasdepageCar"/>
          <w:rFonts w:ascii="Garamond" w:hAnsi="Garamond"/>
        </w:rPr>
        <w:t xml:space="preserve">, éd. citée, p. 207-210 (I, 4, v. 278, 281 et 362), 213 (II, 1, v. 449) et 234 (III, 8, v. 1025 ; et </w:t>
      </w:r>
      <w:r>
        <w:rPr>
          <w:rStyle w:val="NotedebasdepageCar"/>
          <w:rFonts w:ascii="Garamond" w:hAnsi="Garamond"/>
          <w:i/>
        </w:rPr>
        <w:t xml:space="preserve">Iphigénie</w:t>
      </w:r>
      <w:r>
        <w:rPr>
          <w:rStyle w:val="NotedebasdepageCar"/>
          <w:rFonts w:ascii="Garamond" w:hAnsi="Garamond"/>
        </w:rPr>
        <w:t xml:space="preserve">, éd. citée, p. 715 (II, 1, v. 407) pour le substantif </w:t>
      </w:r>
      <w:r>
        <w:rPr>
          <w:rStyle w:val="NotedebasdepageCar"/>
          <w:rFonts w:ascii="Garamond" w:hAnsi="Garamond"/>
          <w:i/>
        </w:rPr>
        <w:t xml:space="preserve">larmes</w:t>
      </w:r>
      <w:r>
        <w:rPr>
          <w:rStyle w:val="NotedebasdepageCar"/>
          <w:rFonts w:ascii="Garamond" w:hAnsi="Garamond"/>
        </w:rPr>
        <w:t xml:space="preserve"> ; et </w:t>
      </w:r>
      <w:r>
        <w:rPr>
          <w:rStyle w:val="NotedebasdepageCar"/>
          <w:rFonts w:ascii="Garamond" w:hAnsi="Garamond"/>
          <w:i/>
        </w:rPr>
        <w:t xml:space="preserve">Andromaque</w:t>
      </w:r>
      <w:r>
        <w:rPr>
          <w:rStyle w:val="NotedebasdepageCar"/>
          <w:rFonts w:ascii="Garamond" w:hAnsi="Garamond"/>
        </w:rPr>
        <w:t xml:space="preserve">, éd. citée, p. 202 (I, 1, v. 114), 207-210 (I, 4, v. 263, 304, 316, 338, 340 et 374), 220-221 (II, 5, v. 652 et 699), 228 (III, 4, v. 864 et 884), 230 (III, 6, v. 901) et 232 (III, 7, v. 952) ; et </w:t>
      </w:r>
      <w:r>
        <w:rPr>
          <w:rStyle w:val="NotedebasdepageCar"/>
          <w:rFonts w:ascii="Garamond" w:hAnsi="Garamond"/>
          <w:i/>
        </w:rPr>
        <w:t xml:space="preserve">Iphigénie</w:t>
      </w:r>
      <w:r>
        <w:rPr>
          <w:rStyle w:val="NotedebasdepageCar"/>
          <w:rFonts w:ascii="Garamond" w:hAnsi="Garamond"/>
        </w:rPr>
        <w:t xml:space="preserve">, éd. citée, p. 715 (II, 1, v. 400 et 408) pour la dérivation </w:t>
      </w:r>
      <w:r>
        <w:rPr>
          <w:rStyle w:val="NotedebasdepageCar"/>
          <w:rFonts w:ascii="Garamond" w:hAnsi="Garamond"/>
          <w:i/>
        </w:rPr>
        <w:t xml:space="preserve">pleurs/pleurer</w:t>
      </w:r>
      <w:r>
        <w:rPr>
          <w:rStyle w:val="NotedebasdepageCar"/>
          <w:rFonts w:ascii="Garamond" w:hAnsi="Garamond"/>
        </w:rPr>
        <w:t xml:space="preserve">.</w:t>
      </w:r>
    </w:p>
  </w:footnote>
  <w:footnote w:type="normal" w:id="17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smallCaps w:val="true"/>
        </w:rPr>
        <w:t xml:space="preserve">Triste</w:t>
      </w:r>
      <w:r>
        <w:rPr>
          <w:rStyle w:val="NotedebasdepageCar"/>
          <w:rFonts w:ascii="Garamond" w:hAnsi="Garamond"/>
        </w:rPr>
        <w:t xml:space="preserve"> : affligé par quelque perte ou accident qui lui est arrivé » Antoine Furetière, </w:t>
      </w:r>
      <w:r>
        <w:rPr>
          <w:rStyle w:val="NotedebasdepageCar"/>
          <w:rFonts w:ascii="Garamond" w:hAnsi="Garamond"/>
          <w:i/>
        </w:rPr>
        <w:t xml:space="preserve">Dictionnaire universel...</w:t>
      </w:r>
      <w:r>
        <w:rPr>
          <w:rStyle w:val="NotedebasdepageCar"/>
          <w:rFonts w:ascii="Garamond" w:hAnsi="Garamond"/>
        </w:rPr>
        <w:t xml:space="preserve">, La Haye / Rotterdam, Arnout et Reinier Leers, 1690.</w:t>
      </w:r>
    </w:p>
  </w:footnote>
  <w:footnote w:type="normal" w:id="18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Qu’il veille à faire évoquer à plusieurs reprises, tout d’abord par Agamemnon (voir </w:t>
      </w:r>
      <w:r>
        <w:rPr>
          <w:rStyle w:val="NotedebasdepageCar"/>
          <w:rFonts w:ascii="Garamond" w:hAnsi="Garamond"/>
          <w:i/>
        </w:rPr>
        <w:t xml:space="preserve">Iphigénie</w:t>
      </w:r>
      <w:r>
        <w:rPr>
          <w:rStyle w:val="NotedebasdepageCar"/>
          <w:rFonts w:ascii="Garamond" w:hAnsi="Garamond"/>
        </w:rPr>
        <w:t xml:space="preserve">, éd. citée, p. 707 ; I, 1, v. 153-156), puis par le domestique de ce dernier, Eurybate (voir </w:t>
      </w:r>
      <w:r>
        <w:rPr>
          <w:rStyle w:val="NotedebasdepageCar"/>
          <w:rFonts w:ascii="Garamond" w:hAnsi="Garamond"/>
          <w:i/>
        </w:rPr>
        <w:t xml:space="preserve">ibid</w:t>
      </w:r>
      <w:r>
        <w:rPr>
          <w:rStyle w:val="NotedebasdepageCar"/>
          <w:rFonts w:ascii="Garamond" w:hAnsi="Garamond"/>
        </w:rPr>
        <w:t xml:space="preserve">., p. 713 ; I, 4, v. 345-348), et enfin par la principale intéressée elle-même, sur une cinquantaine de vers (voir </w:t>
      </w:r>
      <w:r>
        <w:rPr>
          <w:rStyle w:val="NotedebasdepageCar"/>
          <w:rFonts w:ascii="Garamond" w:hAnsi="Garamond"/>
          <w:i/>
        </w:rPr>
        <w:t xml:space="preserve">ibid</w:t>
      </w:r>
      <w:r>
        <w:rPr>
          <w:rStyle w:val="NotedebasdepageCar"/>
          <w:rFonts w:ascii="Garamond" w:hAnsi="Garamond"/>
        </w:rPr>
        <w:t xml:space="preserve">., p. 715-716 ; II, 1, v. 398-452).</w:t>
      </w:r>
    </w:p>
  </w:footnote>
  <w:footnote w:type="normal" w:id="18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De fait, l’isotopie de la tristesse reste attachée au personnage bien au-delà du vers 476 : voir Jean Racine, </w:t>
      </w:r>
      <w:r>
        <w:rPr>
          <w:rStyle w:val="NotedebasdepageCar"/>
          <w:rFonts w:ascii="Garamond" w:hAnsi="Garamond"/>
          <w:i/>
        </w:rPr>
        <w:t xml:space="preserve">Iphigénie</w:t>
      </w:r>
      <w:r>
        <w:rPr>
          <w:rStyle w:val="NotedebasdepageCar"/>
          <w:rFonts w:ascii="Garamond" w:hAnsi="Garamond"/>
        </w:rPr>
        <w:t xml:space="preserve">, éd. citée, p. 718 (II, 1, v. 500), 728 (II, 8, v. 766), 731 (III, 4, v. 859) et 732 (III, 5, v. 877 et 892).</w:t>
      </w:r>
    </w:p>
  </w:footnote>
  <w:footnote w:type="normal" w:id="18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Cf.</w:t>
      </w:r>
      <w:r>
        <w:rPr>
          <w:rStyle w:val="NotedebasdepageCar"/>
          <w:rFonts w:ascii="Garamond" w:hAnsi="Garamond"/>
        </w:rPr>
        <w:t xml:space="preserve"> Jean Racine, </w:t>
      </w:r>
      <w:r>
        <w:rPr>
          <w:rStyle w:val="NotedebasdepageCar"/>
          <w:rFonts w:ascii="Garamond" w:hAnsi="Garamond"/>
          <w:i/>
        </w:rPr>
        <w:t xml:space="preserve">Andromaque</w:t>
      </w:r>
      <w:r>
        <w:rPr>
          <w:rStyle w:val="NotedebasdepageCar"/>
          <w:rFonts w:ascii="Garamond" w:hAnsi="Garamond"/>
        </w:rPr>
        <w:t xml:space="preserve">, éd. citée, p. 209 (« </w:t>
      </w:r>
      <w:r>
        <w:rPr>
          <w:rStyle w:val="NotedebasdepageCar"/>
          <w:rFonts w:ascii="Garamond" w:hAnsi="Garamond"/>
          <w:smallCaps w:val="true"/>
        </w:rPr>
        <w:t xml:space="preserve">Pyrrhus</w:t>
      </w:r>
      <w:r>
        <w:rPr>
          <w:rStyle w:val="NotedebasdepageCar"/>
          <w:rFonts w:ascii="Garamond" w:hAnsi="Garamond"/>
        </w:rPr>
        <w:t xml:space="preserve"> – Je sais que pour régner [Hermione] vint dans l’Épire. / Le Sort vous y voulut l’une et l’autre amener, / Vous pour porter des fers, Elle pour en donner. / Cependant ai-je pris quelque soin de lui plaire ? / Et ne dirait-on pas, en voyant au contraire, / Vos charmes tout-puissants, et les siens dédaignés, / Qu’elle est ici Captive, et que vous y régnez ? » I, 4, v. 346-352) et </w:t>
      </w:r>
      <w:r>
        <w:rPr>
          <w:rStyle w:val="NotedebasdepageCar"/>
          <w:rFonts w:ascii="Garamond" w:hAnsi="Garamond"/>
          <w:i/>
        </w:rPr>
        <w:t xml:space="preserve">Iphigénie</w:t>
      </w:r>
      <w:r>
        <w:rPr>
          <w:rStyle w:val="NotedebasdepageCar"/>
          <w:rFonts w:ascii="Garamond" w:hAnsi="Garamond"/>
        </w:rPr>
        <w:t xml:space="preserve">, éd. citée, p. 713 (« </w:t>
      </w:r>
      <w:r>
        <w:rPr>
          <w:rStyle w:val="NotedebasdepageCar"/>
          <w:rFonts w:ascii="Garamond" w:hAnsi="Garamond"/>
          <w:smallCaps w:val="true"/>
        </w:rPr>
        <w:t xml:space="preserve">Eurybate</w:t>
      </w:r>
      <w:r>
        <w:rPr>
          <w:rStyle w:val="NotedebasdepageCar"/>
          <w:rFonts w:ascii="Garamond" w:hAnsi="Garamond"/>
        </w:rPr>
        <w:t xml:space="preserve"> – Elle amène aussi cette jeune Ériphile, / Que Lesbos a livrée entre les mains d’Achille, / Et qui de son Destin, qu’elle ne connaît pas, / Vient, dit-elle, en Aulide interroger Calchas. » I, 4, v. 345-348).</w:t>
      </w:r>
    </w:p>
  </w:footnote>
  <w:footnote w:type="normal" w:id="18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w:t>
      </w:r>
      <w:r>
        <w:rPr>
          <w:rStyle w:val="NotedebasdepageCar"/>
          <w:rFonts w:ascii="Garamond" w:hAnsi="Garamond"/>
          <w:i/>
        </w:rPr>
        <w:t xml:space="preserve">ibid</w:t>
      </w:r>
      <w:r>
        <w:rPr>
          <w:rStyle w:val="NotedebasdepageCar"/>
          <w:rFonts w:ascii="Garamond" w:hAnsi="Garamond"/>
        </w:rPr>
        <w:t xml:space="preserve">., p. 708-709 (I, 2, v. 173-204).</w:t>
      </w:r>
    </w:p>
  </w:footnote>
  <w:footnote w:type="normal" w:id="18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w:t>
      </w:r>
      <w:r>
        <w:rPr>
          <w:rStyle w:val="NotedebasdepageCar"/>
          <w:rFonts w:ascii="Garamond" w:hAnsi="Garamond"/>
          <w:i/>
        </w:rPr>
        <w:t xml:space="preserve">ibid</w:t>
      </w:r>
      <w:r>
        <w:rPr>
          <w:rStyle w:val="NotedebasdepageCar"/>
          <w:rFonts w:ascii="Garamond" w:hAnsi="Garamond"/>
        </w:rPr>
        <w:t xml:space="preserve">., p. 727 (II, 7, v. 744-746).</w:t>
      </w:r>
    </w:p>
  </w:footnote>
  <w:footnote w:type="normal" w:id="18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w:t>
      </w:r>
      <w:r>
        <w:rPr>
          <w:rStyle w:val="NotedebasdepageCar"/>
          <w:rFonts w:ascii="Garamond" w:hAnsi="Garamond"/>
          <w:i/>
        </w:rPr>
        <w:t xml:space="preserve">supra</w:t>
      </w:r>
      <w:r>
        <w:rPr>
          <w:rStyle w:val="NotedebasdepageCar"/>
          <w:rFonts w:ascii="Garamond" w:hAnsi="Garamond"/>
        </w:rPr>
        <w:t xml:space="preserve">, note 28.</w:t>
      </w:r>
    </w:p>
  </w:footnote>
  <w:footnote w:type="normal" w:id="18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Selon la formule de Charles Mazouer, comme nous l’avons vu auparavant (voir </w:t>
      </w:r>
      <w:r>
        <w:rPr>
          <w:rStyle w:val="NotedebasdepageCar"/>
          <w:rFonts w:ascii="Garamond" w:hAnsi="Garamond"/>
          <w:i/>
        </w:rPr>
        <w:t xml:space="preserve">supra</w:t>
      </w:r>
      <w:r>
        <w:rPr>
          <w:rStyle w:val="NotedebasdepageCar"/>
          <w:rFonts w:ascii="Garamond" w:hAnsi="Garamond"/>
        </w:rPr>
        <w:t xml:space="preserve">, note 13).</w:t>
      </w:r>
    </w:p>
  </w:footnote>
  <w:footnote w:type="normal" w:id="18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Cf.</w:t>
      </w:r>
      <w:r>
        <w:rPr>
          <w:rStyle w:val="NotedebasdepageCar"/>
          <w:rFonts w:ascii="Garamond" w:hAnsi="Garamond"/>
        </w:rPr>
        <w:t xml:space="preserve"> Jean Racine, </w:t>
      </w:r>
      <w:r>
        <w:rPr>
          <w:rStyle w:val="NotedebasdepageCar"/>
          <w:rFonts w:ascii="Garamond" w:hAnsi="Garamond"/>
          <w:i/>
        </w:rPr>
        <w:t xml:space="preserve">Andromaque</w:t>
      </w:r>
      <w:r>
        <w:rPr>
          <w:rStyle w:val="NotedebasdepageCar"/>
          <w:rFonts w:ascii="Garamond" w:hAnsi="Garamond"/>
        </w:rPr>
        <w:t xml:space="preserve">, éd. citée, p. 213 (« </w:t>
      </w:r>
      <w:r>
        <w:rPr>
          <w:rStyle w:val="NotedebasdepageCar"/>
          <w:rFonts w:ascii="Garamond" w:hAnsi="Garamond"/>
          <w:smallCaps w:val="true"/>
        </w:rPr>
        <w:t xml:space="preserve">Hermione</w:t>
      </w:r>
      <w:r>
        <w:rPr>
          <w:rStyle w:val="NotedebasdepageCar"/>
          <w:rFonts w:ascii="Garamond" w:hAnsi="Garamond"/>
        </w:rPr>
        <w:t xml:space="preserve"> – Aux yeux de tous les Grecs rendons-le criminel. / J’ai déjà sur le Fils attiré leur colère. » II, 1, v. 444-445), 216 (« </w:t>
      </w:r>
      <w:r>
        <w:rPr>
          <w:rStyle w:val="NotedebasdepageCar"/>
          <w:rFonts w:ascii="Garamond" w:hAnsi="Garamond"/>
          <w:smallCaps w:val="true"/>
        </w:rPr>
        <w:t xml:space="preserve">Hermione</w:t>
      </w:r>
      <w:r>
        <w:rPr>
          <w:rStyle w:val="NotedebasdepageCar"/>
          <w:rFonts w:ascii="Garamond" w:hAnsi="Garamond"/>
        </w:rPr>
        <w:t xml:space="preserve"> – Allez contre un Rebelle armer toute la Grèce. / Rapportez-lui le prix de sa rébellion. / Qu’on fasse de l’Épire un second Ilion. » II, 2, v. 562-564) et 241 (« </w:t>
      </w:r>
      <w:r>
        <w:rPr>
          <w:rStyle w:val="NotedebasdepageCar"/>
          <w:rFonts w:ascii="Garamond" w:hAnsi="Garamond"/>
          <w:smallCaps w:val="true"/>
        </w:rPr>
        <w:t xml:space="preserve">Hermione</w:t>
      </w:r>
      <w:r>
        <w:rPr>
          <w:rStyle w:val="NotedebasdepageCar"/>
          <w:rFonts w:ascii="Garamond" w:hAnsi="Garamond"/>
        </w:rPr>
        <w:t xml:space="preserve"> – Armez avec vos Grecs, tous ceux qui m’ont suivie. / Soulevez vos Amis. Tous les miens sont à vous. » IV, 3, v. 1226-1227) ; et </w:t>
      </w:r>
      <w:r>
        <w:rPr>
          <w:rStyle w:val="NotedebasdepageCar"/>
          <w:rFonts w:ascii="Garamond" w:hAnsi="Garamond"/>
          <w:i/>
        </w:rPr>
        <w:t xml:space="preserve">Iphigénie</w:t>
      </w:r>
      <w:r>
        <w:rPr>
          <w:rStyle w:val="NotedebasdepageCar"/>
          <w:rFonts w:ascii="Garamond" w:hAnsi="Garamond"/>
        </w:rPr>
        <w:t xml:space="preserve">, éd. citée, p. 741 (IV, 1, v. 1133-1140 : la citation est retranscrite et analysée </w:t>
      </w:r>
      <w:r>
        <w:rPr>
          <w:rStyle w:val="NotedebasdepageCar"/>
          <w:rFonts w:ascii="Garamond" w:hAnsi="Garamond"/>
          <w:i/>
        </w:rPr>
        <w:t xml:space="preserve">infra</w:t>
      </w:r>
      <w:r>
        <w:rPr>
          <w:rStyle w:val="NotedebasdepageCar"/>
          <w:rFonts w:ascii="Garamond" w:hAnsi="Garamond"/>
        </w:rPr>
        <w:t xml:space="preserve">).</w:t>
      </w:r>
    </w:p>
  </w:footnote>
  <w:footnote w:type="normal" w:id="18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Cf.</w:t>
      </w:r>
      <w:r>
        <w:rPr>
          <w:rStyle w:val="NotedebasdepageCar"/>
          <w:rFonts w:ascii="Garamond" w:hAnsi="Garamond"/>
        </w:rPr>
        <w:t xml:space="preserve"> Jean Racine, </w:t>
      </w:r>
      <w:r>
        <w:rPr>
          <w:rStyle w:val="NotedebasdepageCar"/>
          <w:rFonts w:ascii="Garamond" w:hAnsi="Garamond"/>
          <w:i/>
        </w:rPr>
        <w:t xml:space="preserve">Andromaque</w:t>
      </w:r>
      <w:r>
        <w:rPr>
          <w:rStyle w:val="NotedebasdepageCar"/>
          <w:rFonts w:ascii="Garamond" w:hAnsi="Garamond"/>
        </w:rPr>
        <w:t xml:space="preserve">, éd. citée, p. 255 (V, 5, v. 1654-1656) ; et </w:t>
      </w:r>
      <w:r>
        <w:rPr>
          <w:rStyle w:val="NotedebasdepageCar"/>
          <w:rFonts w:ascii="Garamond" w:hAnsi="Garamond"/>
          <w:i/>
        </w:rPr>
        <w:t xml:space="preserve">Iphigénie</w:t>
      </w:r>
      <w:r>
        <w:rPr>
          <w:rStyle w:val="NotedebasdepageCar"/>
          <w:rFonts w:ascii="Garamond" w:hAnsi="Garamond"/>
        </w:rPr>
        <w:t xml:space="preserve">, éd. citée, p. 762 (V, 6, v. 1775-1776).</w:t>
      </w:r>
    </w:p>
  </w:footnote>
  <w:footnote w:type="normal" w:id="18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w:t>
      </w:r>
      <w:r>
        <w:rPr>
          <w:rStyle w:val="NotedebasdepageCar"/>
          <w:rFonts w:ascii="Garamond" w:hAnsi="Garamond"/>
          <w:i/>
        </w:rPr>
        <w:t xml:space="preserve">ibid</w:t>
      </w:r>
      <w:r>
        <w:rPr>
          <w:rStyle w:val="NotedebasdepageCar"/>
          <w:rFonts w:ascii="Garamond" w:hAnsi="Garamond"/>
        </w:rPr>
        <w:t xml:space="preserve">., p. 762 (V, 6, v. 1749-1760).</w:t>
      </w:r>
    </w:p>
  </w:footnote>
  <w:footnote w:type="normal" w:id="19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Silence d’autant plus douloureux aux yeux d’un connaisseur des pièces de Racine que, comme le relève Jennifer Tamas, Ériphile est la seule figure racinienne à ne jamais avouer son amour au principal intéressé (voir </w:t>
      </w:r>
      <w:r>
        <w:rPr>
          <w:rStyle w:val="NotedebasdepageCar"/>
          <w:rFonts w:ascii="Garamond" w:hAnsi="Garamond"/>
          <w:i/>
        </w:rPr>
        <w:t xml:space="preserve">Le Silence trahi, Racine ou la déclaration tragique</w:t>
      </w:r>
      <w:r>
        <w:rPr>
          <w:rStyle w:val="NotedebasdepageCar"/>
          <w:rFonts w:ascii="Garamond" w:hAnsi="Garamond"/>
        </w:rPr>
        <w:t xml:space="preserve">, Genève, Droz, 2018, p. 145), donc à « demeur[er] dans le silence jusqu’à la fin » (</w:t>
      </w:r>
      <w:r>
        <w:rPr>
          <w:rStyle w:val="NotedebasdepageCar"/>
          <w:rFonts w:ascii="Garamond" w:hAnsi="Garamond"/>
          <w:i/>
        </w:rPr>
        <w:t xml:space="preserve">ibid</w:t>
      </w:r>
      <w:r>
        <w:rPr>
          <w:rStyle w:val="NotedebasdepageCar"/>
          <w:rFonts w:ascii="Garamond" w:hAnsi="Garamond"/>
        </w:rPr>
        <w:t xml:space="preserve">., p. 203).</w:t>
      </w:r>
    </w:p>
  </w:footnote>
  <w:footnote w:type="normal" w:id="19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Sabine Gruffat va même jusqu’à parler d’</w:t>
      </w:r>
      <w:r>
        <w:rPr>
          <w:rStyle w:val="NotedebasdepageCar"/>
          <w:rFonts w:ascii="Garamond" w:hAnsi="Garamond"/>
          <w:i/>
        </w:rPr>
        <w:t xml:space="preserve">ostracisme </w:t>
      </w:r>
      <w:r>
        <w:rPr>
          <w:rStyle w:val="NotedebasdepageCar"/>
          <w:rFonts w:ascii="Garamond" w:hAnsi="Garamond"/>
        </w:rPr>
        <w:t xml:space="preserve">: voir « La parole oraculaire dans </w:t>
      </w:r>
      <w:r>
        <w:rPr>
          <w:rStyle w:val="NotedebasdepageCar"/>
          <w:rFonts w:ascii="Garamond" w:hAnsi="Garamond"/>
          <w:i/>
        </w:rPr>
        <w:t xml:space="preserve">Iphigénie</w:t>
      </w:r>
      <w:r>
        <w:rPr>
          <w:rStyle w:val="NotedebasdepageCar"/>
          <w:rFonts w:ascii="Garamond" w:hAnsi="Garamond"/>
        </w:rPr>
        <w:t xml:space="preserve"> de Racine », dans Pierre Servet et Marie-Hélène Servet-Prat (éd.), </w:t>
      </w:r>
      <w:r>
        <w:rPr>
          <w:rStyle w:val="NotedebasdepageCar"/>
          <w:rFonts w:ascii="Garamond" w:hAnsi="Garamond"/>
          <w:i/>
        </w:rPr>
        <w:t xml:space="preserve">Parole de l’Autre et genres littéraires, XVI</w:t>
      </w:r>
      <w:r>
        <w:rPr>
          <w:rStyle w:val="NotedebasdepageCar"/>
          <w:rFonts w:ascii="Garamond" w:hAnsi="Garamond"/>
          <w:i/>
        </w:rPr>
        <w:t xml:space="preserve">e</w:t>
      </w:r>
      <w:r>
        <w:rPr>
          <w:rStyle w:val="NotedebasdepageCar"/>
          <w:rFonts w:ascii="Garamond" w:hAnsi="Garamond"/>
          <w:i/>
        </w:rPr>
        <w:t xml:space="preserve">-XVII</w:t>
      </w:r>
      <w:r>
        <w:rPr>
          <w:rStyle w:val="NotedebasdepageCar"/>
          <w:rFonts w:ascii="Garamond" w:hAnsi="Garamond"/>
          <w:i/>
        </w:rPr>
        <w:t xml:space="preserve">e</w:t>
      </w:r>
      <w:r>
        <w:rPr>
          <w:rStyle w:val="NotedebasdepageCar"/>
          <w:rFonts w:ascii="Garamond" w:hAnsi="Garamond"/>
          <w:i/>
        </w:rPr>
        <w:t xml:space="preserve"> siècles. Illustrations, interactions, subversions</w:t>
      </w:r>
      <w:r>
        <w:rPr>
          <w:rStyle w:val="NotedebasdepageCar"/>
          <w:rFonts w:ascii="Garamond" w:hAnsi="Garamond"/>
        </w:rPr>
        <w:t xml:space="preserve">, </w:t>
      </w:r>
      <w:r>
        <w:rPr>
          <w:rStyle w:val="NotedebasdepageCar"/>
          <w:rFonts w:ascii="Garamond" w:hAnsi="Garamond"/>
          <w:i/>
        </w:rPr>
        <w:t xml:space="preserve">Cahiers du GADGES</w:t>
      </w:r>
      <w:r>
        <w:rPr>
          <w:rStyle w:val="NotedebasdepageCar"/>
          <w:rFonts w:ascii="Garamond" w:hAnsi="Garamond"/>
        </w:rPr>
        <w:t xml:space="preserve">, n° 5, 2007, p. 235.</w:t>
      </w:r>
    </w:p>
  </w:footnote>
  <w:footnote w:type="normal" w:id="19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Jean Racine, </w:t>
      </w:r>
      <w:r>
        <w:rPr>
          <w:rStyle w:val="NotedebasdepageCar"/>
          <w:rFonts w:ascii="Garamond" w:hAnsi="Garamond"/>
          <w:i/>
        </w:rPr>
        <w:t xml:space="preserve">Iphigénie</w:t>
      </w:r>
      <w:r>
        <w:rPr>
          <w:rStyle w:val="NotedebasdepageCar"/>
          <w:rFonts w:ascii="Garamond" w:hAnsi="Garamond"/>
        </w:rPr>
        <w:t xml:space="preserve">, éd. citée, p. 731-732 (III, 4), 735-738 (III, 6) et 754-757 (V, 2).</w:t>
      </w:r>
    </w:p>
  </w:footnote>
  <w:footnote w:type="normal" w:id="19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w:t>
      </w:r>
      <w:r>
        <w:rPr>
          <w:rStyle w:val="NotedebasdepageCar"/>
          <w:rFonts w:ascii="Garamond" w:hAnsi="Garamond"/>
          <w:i/>
        </w:rPr>
        <w:t xml:space="preserve">supra</w:t>
      </w:r>
      <w:r>
        <w:rPr>
          <w:rStyle w:val="NotedebasdepageCar"/>
          <w:rFonts w:ascii="Garamond" w:hAnsi="Garamond"/>
        </w:rPr>
        <w:t xml:space="preserve">, note 32.</w:t>
      </w:r>
    </w:p>
  </w:footnote>
  <w:footnote w:type="normal" w:id="19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smallCaps w:val="true"/>
        </w:rPr>
        <w:t xml:space="preserve">Ériphile – </w:t>
      </w:r>
      <w:r>
        <w:rPr>
          <w:rStyle w:val="NotedebasdepageCar"/>
          <w:rFonts w:ascii="Garamond" w:hAnsi="Garamond"/>
        </w:rPr>
        <w:t xml:space="preserve">Quoi vous qui de sa Fille adoriez les attraits... / </w:t>
      </w:r>
      <w:r>
        <w:rPr>
          <w:rStyle w:val="NotedebasdepageCar"/>
          <w:rFonts w:ascii="Garamond" w:hAnsi="Garamond"/>
          <w:smallCaps w:val="true"/>
        </w:rPr>
        <w:t xml:space="preserve">Achille – </w:t>
      </w:r>
      <w:r>
        <w:rPr>
          <w:rStyle w:val="NotedebasdepageCar"/>
          <w:rFonts w:ascii="Garamond" w:hAnsi="Garamond"/>
        </w:rPr>
        <w:t xml:space="preserve">Vous m’en voyez encore épris plus que jamais, / Madame. » Jean Racine, </w:t>
      </w:r>
      <w:r>
        <w:rPr>
          <w:rStyle w:val="NotedebasdepageCar"/>
          <w:rFonts w:ascii="Garamond" w:hAnsi="Garamond"/>
          <w:i/>
        </w:rPr>
        <w:t xml:space="preserve">Iphigénie</w:t>
      </w:r>
      <w:r>
        <w:rPr>
          <w:rStyle w:val="NotedebasdepageCar"/>
          <w:rFonts w:ascii="Garamond" w:hAnsi="Garamond"/>
        </w:rPr>
        <w:t xml:space="preserve">, éd. citée, p. 727 (II, 7, v. 743-745).</w:t>
      </w:r>
    </w:p>
  </w:footnote>
  <w:footnote w:type="normal" w:id="19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Jean Dubu, « Commentaires », dans </w:t>
      </w:r>
      <w:r>
        <w:rPr>
          <w:rStyle w:val="NotedebasdepageCar"/>
          <w:rFonts w:ascii="Garamond" w:hAnsi="Garamond"/>
          <w:i/>
        </w:rPr>
        <w:t xml:space="preserve">Iphigénie</w:t>
      </w:r>
      <w:r>
        <w:rPr>
          <w:rStyle w:val="NotedebasdepageCar"/>
          <w:rFonts w:ascii="Garamond" w:hAnsi="Garamond"/>
        </w:rPr>
        <w:t xml:space="preserve">, Paris, Le Livre de Poche, 1986, p. 131.</w:t>
      </w:r>
    </w:p>
  </w:footnote>
  <w:footnote w:type="normal" w:id="19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Ainsi tout se passe comme si Racine avait imposé des limites très précises à l’horreur tragique de ses dénouements. L’extrême du tragique aurait été la mort d’Andromaque […] : “catastroph[e]” qui aur[ait] heurté le public. […] C’est dans cette perspective que, quelles que soient les exigences du respect de la Fable, Racine épargne un sort fatal à ceux de ses personnages féminins qu’il a présentés comme “extrêmement bons” : la Tragédie, à ses yeux, ne postule pas un dénouement qui irait à l’encontre des exigences de la Justice distributive. » Maurice Descotes, « Le dosage du tragique dans les dénouements de Racine », </w:t>
      </w:r>
      <w:r>
        <w:rPr>
          <w:rStyle w:val="NotedebasdepageCar"/>
          <w:rFonts w:ascii="Garamond" w:hAnsi="Garamond"/>
          <w:i/>
        </w:rPr>
        <w:t xml:space="preserve">Revue d’Histoire du Théâtre</w:t>
      </w:r>
      <w:r>
        <w:rPr>
          <w:rStyle w:val="NotedebasdepageCar"/>
          <w:rFonts w:ascii="Garamond" w:hAnsi="Garamond"/>
        </w:rPr>
        <w:t xml:space="preserve">, n° III, 1973, p. 237-238.</w:t>
      </w:r>
    </w:p>
  </w:footnote>
  <w:footnote w:type="normal" w:id="19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Maurice Descotes, </w:t>
      </w:r>
      <w:r>
        <w:rPr>
          <w:rStyle w:val="NotedebasdepageCar"/>
          <w:rFonts w:ascii="Garamond" w:hAnsi="Garamond"/>
          <w:i/>
        </w:rPr>
        <w:t xml:space="preserve">Les Grands rôles du théâtre de Jean Racine</w:t>
      </w:r>
      <w:r>
        <w:rPr>
          <w:rStyle w:val="NotedebasdepageCar"/>
          <w:rFonts w:ascii="Garamond" w:hAnsi="Garamond"/>
        </w:rPr>
        <w:t xml:space="preserve">, Paris, PUF, 1957, p. 144.</w:t>
      </w:r>
    </w:p>
  </w:footnote>
  <w:footnote w:type="normal" w:id="19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Sur les probables raisons sur « la plus importante modification qu’a subie </w:t>
      </w:r>
      <w:r>
        <w:rPr>
          <w:rStyle w:val="NotedebasdepageCar"/>
          <w:rFonts w:ascii="Garamond" w:hAnsi="Garamond"/>
          <w:i/>
        </w:rPr>
        <w:t xml:space="preserve">Andromaque </w:t>
      </w:r>
      <w:r>
        <w:rPr>
          <w:rStyle w:val="NotedebasdepageCar"/>
          <w:rFonts w:ascii="Garamond" w:hAnsi="Garamond"/>
        </w:rPr>
        <w:t xml:space="preserve">», voir « D’une édition à l’autre : le sens d’une transformation » dans </w:t>
      </w:r>
      <w:r>
        <w:rPr>
          <w:rStyle w:val="NotedebasdepageCar"/>
          <w:rFonts w:ascii="Garamond" w:hAnsi="Garamond"/>
          <w:i/>
        </w:rPr>
        <w:t xml:space="preserve">Œuvres complètes I</w:t>
      </w:r>
      <w:r>
        <w:rPr>
          <w:rStyle w:val="NotedebasdepageCar"/>
          <w:rFonts w:ascii="Garamond" w:hAnsi="Garamond"/>
        </w:rPr>
        <w:t xml:space="preserve">, éd. citée, p. 1342-1343.</w:t>
      </w:r>
    </w:p>
  </w:footnote>
  <w:footnote w:type="normal" w:id="19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smallCaps w:val="true"/>
        </w:rPr>
        <w:t xml:space="preserve">Andromaque – </w:t>
      </w:r>
      <w:r>
        <w:rPr>
          <w:rStyle w:val="NotedebasdepageCar"/>
          <w:rFonts w:ascii="Garamond" w:hAnsi="Garamond"/>
        </w:rPr>
        <w:t xml:space="preserve">Je ne m’attendais pas que le Ciel en colère / Pût, sans perdre mon Fils, accroître ma misère, / Et gardât à mes yeux quelque spectacle encor, / Qui fît couler mes pleurs pour un autre qu’Hector. / Vous avez trouvé seule une sanglante voie / De suspendre en mon cœur le souvenir de Troie. / Plus barbare aujourd’hui qu’Achille et que son Fils, / Vous me faites pleurer mes plus grands Ennemis ; / Et ce que n’avaient pu promesse, ni menace, / Pyrrhus de mon Hector semble avoir pris la place. » Jean Racine, </w:t>
      </w:r>
      <w:r>
        <w:rPr>
          <w:rStyle w:val="NotedebasdepageCar"/>
          <w:rFonts w:ascii="Garamond" w:hAnsi="Garamond"/>
          <w:i/>
        </w:rPr>
        <w:t xml:space="preserve">Andromaque</w:t>
      </w:r>
      <w:r>
        <w:rPr>
          <w:rStyle w:val="NotedebasdepageCar"/>
          <w:rFonts w:ascii="Garamond" w:hAnsi="Garamond"/>
        </w:rPr>
        <w:t xml:space="preserve">, éd. citée, p. 250-251 (V, 3, v. 1513-1522).</w:t>
      </w:r>
    </w:p>
  </w:footnote>
  <w:footnote w:type="normal" w:id="20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w:t>
      </w:r>
      <w:r>
        <w:rPr>
          <w:rStyle w:val="NotedebasdepageCar"/>
          <w:rFonts w:ascii="Garamond" w:hAnsi="Garamond"/>
          <w:i/>
        </w:rPr>
        <w:t xml:space="preserve"> ibid</w:t>
      </w:r>
      <w:r>
        <w:rPr>
          <w:rStyle w:val="NotedebasdepageCar"/>
          <w:rFonts w:ascii="Garamond" w:hAnsi="Garamond"/>
        </w:rPr>
        <w:t xml:space="preserve">., p. 237 (IV, 1, v. 1096).</w:t>
      </w:r>
    </w:p>
  </w:footnote>
  <w:footnote w:type="normal" w:id="20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smallCaps w:val="true"/>
        </w:rPr>
        <w:t xml:space="preserve">Nœud</w:t>
      </w:r>
      <w:r>
        <w:rPr>
          <w:rStyle w:val="NotedebasdepageCar"/>
          <w:rFonts w:ascii="Garamond" w:hAnsi="Garamond"/>
        </w:rPr>
        <w:t xml:space="preserve"> : se dit figurément en choses morales, en parlant des liaisons qui attachent ensemble les personnes. Le mariage est un sacré </w:t>
      </w:r>
      <w:r>
        <w:rPr>
          <w:rStyle w:val="NotedebasdepageCar"/>
          <w:rFonts w:ascii="Garamond" w:hAnsi="Garamond"/>
          <w:i/>
        </w:rPr>
        <w:t xml:space="preserve">nœud</w:t>
      </w:r>
      <w:r>
        <w:rPr>
          <w:rStyle w:val="NotedebasdepageCar"/>
          <w:rFonts w:ascii="Garamond" w:hAnsi="Garamond"/>
        </w:rPr>
        <w:t xml:space="preserve"> qui unit le mari et la femme. » Antoine Furetière, </w:t>
      </w:r>
      <w:r>
        <w:rPr>
          <w:rStyle w:val="NotedebasdepageCar"/>
          <w:rFonts w:ascii="Garamond" w:hAnsi="Garamond"/>
          <w:i/>
        </w:rPr>
        <w:t xml:space="preserve">Dictionnaire universel...</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1690.</w:t>
      </w:r>
    </w:p>
  </w:footnote>
  <w:footnote w:type="normal" w:id="20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smallCaps w:val="true"/>
        </w:rPr>
        <w:t xml:space="preserve">Andromaque – </w:t>
      </w:r>
      <w:r>
        <w:rPr>
          <w:rStyle w:val="NotedebasdepageCar"/>
          <w:rFonts w:ascii="Garamond" w:hAnsi="Garamond"/>
        </w:rPr>
        <w:t xml:space="preserve">Je vais donc, puisqu’il faut que je me sacrifie, / Assurer à Pyrrhus le reste de ma vie. / Je vais en recevant sa foi sur les Autels, / L’engager à mon Fils par des nœuds immortels. / Mais aussitôt ma main, à moi seule funeste, / D’une infidèle vie abrégera le reste, / Et sauvant ma vertu, rendra ce que je dois, / À Pyrrhus, à mon Fils, à mon Époux, à moi. » Jean Racine, </w:t>
      </w:r>
      <w:r>
        <w:rPr>
          <w:rStyle w:val="NotedebasdepageCar"/>
          <w:rFonts w:ascii="Garamond" w:hAnsi="Garamond"/>
          <w:i/>
        </w:rPr>
        <w:t xml:space="preserve">Andromaque</w:t>
      </w:r>
      <w:r>
        <w:rPr>
          <w:rStyle w:val="NotedebasdepageCar"/>
          <w:rFonts w:ascii="Garamond" w:hAnsi="Garamond"/>
        </w:rPr>
        <w:t xml:space="preserve">, éd. citée, p. 237 (IV, 1, v. 1093-1100).</w:t>
      </w:r>
    </w:p>
  </w:footnote>
  <w:footnote w:type="normal" w:id="20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On voit ici à quel point il importe de n’accorder aucune « coquetterie vertueuse » au personnage, comme l’a bien signalé Jean Rohou (voir </w:t>
      </w:r>
      <w:r>
        <w:rPr>
          <w:rStyle w:val="NotedebasdepageCar"/>
          <w:rFonts w:ascii="Garamond" w:hAnsi="Garamond"/>
          <w:i/>
        </w:rPr>
        <w:t xml:space="preserve">Avez-vous lu Racine ? Mise au point polémique</w:t>
      </w:r>
      <w:r>
        <w:rPr>
          <w:rStyle w:val="NotedebasdepageCar"/>
          <w:rFonts w:ascii="Garamond" w:hAnsi="Garamond"/>
        </w:rPr>
        <w:t xml:space="preserve">, Paris, L’Harmattan, 2000, p. 159-172).</w:t>
      </w:r>
    </w:p>
  </w:footnote>
  <w:footnote w:type="normal" w:id="20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Contrairement à ce qu’affirme Serge Lavoine, qui considère Ériphile à la fois comme l’héroïne d’</w:t>
      </w:r>
      <w:r>
        <w:rPr>
          <w:rStyle w:val="NotedebasdepageCar"/>
          <w:rFonts w:ascii="Garamond" w:hAnsi="Garamond"/>
          <w:i/>
        </w:rPr>
        <w:t xml:space="preserve">Iphigénie </w:t>
      </w:r>
      <w:r>
        <w:rPr>
          <w:rStyle w:val="NotedebasdepageCar"/>
          <w:rFonts w:ascii="Garamond" w:hAnsi="Garamond"/>
        </w:rPr>
        <w:t xml:space="preserve">et comme la préfiguration du personnage éponyme de </w:t>
      </w:r>
      <w:r>
        <w:rPr>
          <w:rStyle w:val="NotedebasdepageCar"/>
          <w:rFonts w:ascii="Garamond" w:hAnsi="Garamond"/>
          <w:i/>
        </w:rPr>
        <w:t xml:space="preserve">Phèdre</w:t>
      </w:r>
      <w:r>
        <w:rPr>
          <w:rStyle w:val="NotedebasdepageCar"/>
          <w:rFonts w:ascii="Garamond" w:hAnsi="Garamond"/>
        </w:rPr>
        <w:t xml:space="preserve"> (voir « D’Ériphile à Œdipe. Les fruits amers de la pédication », </w:t>
      </w:r>
      <w:r>
        <w:rPr>
          <w:rStyle w:val="NotedebasdepageCar"/>
          <w:rFonts w:ascii="Garamond" w:hAnsi="Garamond"/>
          <w:i/>
        </w:rPr>
        <w:t xml:space="preserve">Psychanalyse</w:t>
      </w:r>
      <w:r>
        <w:rPr>
          <w:rStyle w:val="NotedebasdepageCar"/>
          <w:rFonts w:ascii="Garamond" w:hAnsi="Garamond"/>
        </w:rPr>
        <w:t xml:space="preserve">, n° 40, 2017/3, p. 109-122).</w:t>
      </w:r>
    </w:p>
  </w:footnote>
  <w:footnote w:type="normal" w:id="20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smallCaps w:val="true"/>
        </w:rPr>
        <w:t xml:space="preserve">Doris</w:t>
      </w:r>
      <w:r>
        <w:rPr>
          <w:rStyle w:val="NotedebasdepageCar"/>
          <w:rFonts w:ascii="Garamond" w:hAnsi="Garamond"/>
        </w:rPr>
        <w:t xml:space="preserve"> – Que je vous plains, Madame ! » Jean Racine, </w:t>
      </w:r>
      <w:r>
        <w:rPr>
          <w:rStyle w:val="NotedebasdepageCar"/>
          <w:rFonts w:ascii="Garamond" w:hAnsi="Garamond"/>
          <w:i/>
        </w:rPr>
        <w:t xml:space="preserve">Iphigénie</w:t>
      </w:r>
      <w:r>
        <w:rPr>
          <w:rStyle w:val="NotedebasdepageCar"/>
          <w:rFonts w:ascii="Garamond" w:hAnsi="Garamond"/>
        </w:rPr>
        <w:t xml:space="preserve">, éd. citée, p. 719 (II, 1, v. 529).</w:t>
      </w:r>
    </w:p>
  </w:footnote>
  <w:footnote w:type="normal" w:id="20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Cela est d’autant plus vrai que « la fille d’Agamemnon n’est plus, dans la [pièce de Racine], une héroïne tragique au sens aristotélicien du terme » (Tristan Alonge, </w:t>
      </w:r>
      <w:r>
        <w:rPr>
          <w:rStyle w:val="NotedebasdepageCar"/>
          <w:rFonts w:ascii="Garamond" w:hAnsi="Garamond"/>
          <w:i/>
        </w:rPr>
        <w:t xml:space="preserve">Racine et Euripide, La Révolution trahie</w:t>
      </w:r>
      <w:r>
        <w:rPr>
          <w:rStyle w:val="NotedebasdepageCar"/>
          <w:rFonts w:ascii="Garamond" w:hAnsi="Garamond"/>
        </w:rPr>
        <w:t xml:space="preserve">, Genève, Droz, 2017, p. 272) ; la voie royale de l’héroïsme semblait </w:t>
      </w:r>
      <w:r>
        <w:rPr>
          <w:rStyle w:val="NotedebasdepageCar"/>
          <w:rFonts w:ascii="Garamond" w:hAnsi="Garamond"/>
          <w:i/>
        </w:rPr>
        <w:t xml:space="preserve">a priori</w:t>
      </w:r>
      <w:r>
        <w:rPr>
          <w:rStyle w:val="NotedebasdepageCar"/>
          <w:rFonts w:ascii="Garamond" w:hAnsi="Garamond"/>
        </w:rPr>
        <w:t xml:space="preserve"> grande ouverte à Ériphile, au sein de la tragédie d’un dramaturge profondément marqué par la </w:t>
      </w:r>
      <w:r>
        <w:rPr>
          <w:rStyle w:val="NotedebasdepageCar"/>
          <w:rFonts w:ascii="Garamond" w:hAnsi="Garamond"/>
          <w:i/>
        </w:rPr>
        <w:t xml:space="preserve">Poétique</w:t>
      </w:r>
      <w:r>
        <w:rPr>
          <w:rStyle w:val="NotedebasdepageCar"/>
          <w:rFonts w:ascii="Garamond" w:hAnsi="Garamond"/>
        </w:rPr>
        <w:t xml:space="preserve"> (voir « Racine traducteur : la </w:t>
      </w:r>
      <w:r>
        <w:rPr>
          <w:rStyle w:val="NotedebasdepageCar"/>
          <w:rFonts w:ascii="Garamond" w:hAnsi="Garamond"/>
          <w:i/>
        </w:rPr>
        <w:t xml:space="preserve">Poétique</w:t>
      </w:r>
      <w:r>
        <w:rPr>
          <w:rStyle w:val="NotedebasdepageCar"/>
          <w:rFonts w:ascii="Garamond" w:hAnsi="Garamond"/>
        </w:rPr>
        <w:t xml:space="preserve"> d’Aristote » dans </w:t>
      </w:r>
      <w:r>
        <w:rPr>
          <w:rStyle w:val="NotedebasdepageCar"/>
          <w:rFonts w:ascii="Garamond" w:hAnsi="Garamond"/>
          <w:i/>
        </w:rPr>
        <w:t xml:space="preserve">ibid</w:t>
      </w:r>
      <w:r>
        <w:rPr>
          <w:rStyle w:val="NotedebasdepageCar"/>
          <w:rFonts w:ascii="Garamond" w:hAnsi="Garamond"/>
        </w:rPr>
        <w:t xml:space="preserve">., p. 33-44).</w:t>
      </w:r>
    </w:p>
  </w:footnote>
  <w:footnote w:type="normal" w:id="20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Christian Delmas, « </w:t>
      </w:r>
      <w:r>
        <w:rPr>
          <w:rStyle w:val="NotedebasdepageCar"/>
          <w:rFonts w:ascii="Garamond" w:hAnsi="Garamond"/>
          <w:i/>
        </w:rPr>
        <w:t xml:space="preserve">Iphigénie</w:t>
      </w:r>
      <w:r>
        <w:rPr>
          <w:rStyle w:val="NotedebasdepageCar"/>
          <w:rFonts w:ascii="Garamond" w:hAnsi="Garamond"/>
        </w:rPr>
        <w:t xml:space="preserve">, tragédie sans machines », dans </w:t>
      </w:r>
      <w:r>
        <w:rPr>
          <w:rStyle w:val="NotedebasdepageCar"/>
          <w:rFonts w:ascii="Garamond" w:hAnsi="Garamond"/>
          <w:i/>
        </w:rPr>
        <w:t xml:space="preserve">La Femme – Varia – La Tragédie à machines</w:t>
      </w:r>
      <w:r>
        <w:rPr>
          <w:rStyle w:val="NotedebasdepageCar"/>
          <w:rFonts w:ascii="Garamond" w:hAnsi="Garamond"/>
        </w:rPr>
        <w:t xml:space="preserve">, </w:t>
      </w:r>
      <w:r>
        <w:rPr>
          <w:rStyle w:val="NotedebasdepageCar"/>
          <w:rFonts w:ascii="Garamond" w:hAnsi="Garamond"/>
          <w:i/>
        </w:rPr>
        <w:t xml:space="preserve">Cahiers de la littérature du XVII</w:t>
      </w:r>
      <w:r>
        <w:rPr>
          <w:rStyle w:val="NotedebasdepageCar"/>
          <w:rFonts w:ascii="Garamond" w:hAnsi="Garamond"/>
          <w:i/>
        </w:rPr>
        <w:t xml:space="preserve">e</w:t>
      </w:r>
      <w:r>
        <w:rPr>
          <w:rStyle w:val="NotedebasdepageCar"/>
          <w:rFonts w:ascii="Garamond" w:hAnsi="Garamond"/>
          <w:i/>
        </w:rPr>
        <w:t xml:space="preserve"> siècle</w:t>
      </w:r>
      <w:r>
        <w:rPr>
          <w:rStyle w:val="NotedebasdepageCar"/>
          <w:rFonts w:ascii="Garamond" w:hAnsi="Garamond"/>
        </w:rPr>
        <w:t xml:space="preserve">, n° 7, 1985, p. 200. – Contrairement à Christian Delmas, néanmoins, nous ne considérons pas l’état de fait évoqué ci-dessus comme « le point faible de l’œuvre », et comme une marque que Racine « [aurait] partiellement échoué à remodeler la toute simple </w:t>
      </w:r>
      <w:r>
        <w:rPr>
          <w:rStyle w:val="NotedebasdepageCar"/>
          <w:rFonts w:ascii="Garamond" w:hAnsi="Garamond"/>
          <w:i/>
        </w:rPr>
        <w:t xml:space="preserve">Iphigénie en Aulis </w:t>
      </w:r>
      <w:r>
        <w:rPr>
          <w:rStyle w:val="NotedebasdepageCar"/>
          <w:rFonts w:ascii="Garamond" w:hAnsi="Garamond"/>
        </w:rPr>
        <w:t xml:space="preserve">sur le patron contemporain de la tragédie mythologique » (</w:t>
      </w:r>
      <w:r>
        <w:rPr>
          <w:rStyle w:val="NotedebasdepageCar"/>
          <w:rFonts w:ascii="Garamond" w:hAnsi="Garamond"/>
          <w:i/>
        </w:rPr>
        <w:t xml:space="preserve">ibid</w:t>
      </w:r>
      <w:r>
        <w:rPr>
          <w:rStyle w:val="NotedebasdepageCar"/>
          <w:rFonts w:ascii="Garamond" w:hAnsi="Garamond"/>
        </w:rPr>
        <w:t xml:space="preserve">.).</w:t>
      </w:r>
    </w:p>
  </w:footnote>
  <w:footnote w:type="normal" w:id="20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 Moderniser dans le respect des Anciens : Ériphile, ou la deuxième Iphigénie » dans Jean Racine, </w:t>
      </w:r>
      <w:r>
        <w:rPr>
          <w:rStyle w:val="NotedebasdepageCar"/>
          <w:rFonts w:ascii="Garamond" w:hAnsi="Garamond"/>
          <w:i/>
        </w:rPr>
        <w:t xml:space="preserve">Œuvres complètes I</w:t>
      </w:r>
      <w:r>
        <w:rPr>
          <w:rStyle w:val="NotedebasdepageCar"/>
          <w:rFonts w:ascii="Garamond" w:hAnsi="Garamond"/>
        </w:rPr>
        <w:t xml:space="preserve">, éd. citée, p. 1569-1572, et particulièrement p. 1571.</w:t>
      </w:r>
    </w:p>
  </w:footnote>
  <w:footnote w:type="normal" w:id="20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Hubert Aupetit, </w:t>
      </w:r>
      <w:r>
        <w:rPr>
          <w:rStyle w:val="NotedebasdepageCar"/>
          <w:rFonts w:ascii="Garamond" w:hAnsi="Garamond"/>
        </w:rPr>
        <w:t xml:space="preserve">« Scène fantôme et cœur obscur », </w:t>
      </w:r>
      <w:r>
        <w:rPr>
          <w:rStyle w:val="NotedebasdepageCar"/>
          <w:rFonts w:ascii="Garamond" w:hAnsi="Garamond"/>
          <w:i/>
        </w:rPr>
        <w:t xml:space="preserve">in </w:t>
      </w:r>
      <w:r>
        <w:rPr>
          <w:rStyle w:val="NotedebasdepageCar"/>
          <w:rFonts w:ascii="Garamond" w:hAnsi="Garamond"/>
        </w:rPr>
        <w:t xml:space="preserve">Gheeraert (Tony), Labrune (Caroline), Malenfer (Victoire), L’Hopital (Servane) (dir.), </w:t>
      </w:r>
      <w:r>
        <w:rPr>
          <w:rStyle w:val="NotedebasdepageCar"/>
          <w:rFonts w:ascii="Garamond" w:hAnsi="Garamond"/>
          <w:i/>
        </w:rPr>
        <w:t xml:space="preserve">Le Désert et l’Orient. Bajazet, Mithridate et autres études raciniennes, </w:t>
      </w:r>
      <w:r>
        <w:rPr>
          <w:rStyle w:val="NotedebasdepageCar"/>
          <w:rFonts w:ascii="Garamond" w:hAnsi="Garamond"/>
        </w:rPr>
        <w:t xml:space="preserve">Paris, Classiques Garnier, 2024,  [p. 174-194], p. 189.</w:t>
      </w:r>
    </w:p>
  </w:footnote>
  <w:footnote w:type="normal" w:id="21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Andromaque, </w:t>
      </w:r>
      <w:r>
        <w:rPr>
          <w:rStyle w:val="NotedebasdepageCar"/>
          <w:rFonts w:ascii="Garamond" w:hAnsi="Garamond"/>
        </w:rPr>
        <w:t xml:space="preserve">v. 1404, in </w:t>
      </w:r>
      <w:r>
        <w:rPr>
          <w:rStyle w:val="NotedebasdepageCar"/>
          <w:rFonts w:ascii="Garamond" w:hAnsi="Garamond"/>
        </w:rPr>
        <w:t xml:space="preserve">Racine, </w:t>
      </w:r>
      <w:r>
        <w:rPr>
          <w:rStyle w:val="NotedebasdepageCar"/>
          <w:rFonts w:ascii="Garamond" w:hAnsi="Garamond"/>
          <w:i/>
        </w:rPr>
        <w:t xml:space="preserve">Œuvres complètes</w:t>
      </w:r>
      <w:r>
        <w:rPr>
          <w:rStyle w:val="NotedebasdepageCar"/>
          <w:rFonts w:ascii="Garamond" w:hAnsi="Garamond"/>
        </w:rPr>
        <w:t xml:space="preserve">, t. I, Georges Forestier [éd.], Paris, Gallimard, Théâtre-Poésie, coll. « Bibliothèque de la Pléiade », 1999, p. 247. Toutes les citations raciniennes sont prises à cette édition, notée OC I dans la suite</w:t>
      </w:r>
      <w:r>
        <w:rPr>
          <w:rStyle w:val="NotedebasdepageCar"/>
          <w:rFonts w:ascii="Garamond" w:hAnsi="Garamond"/>
          <w:i/>
        </w:rPr>
        <w:t xml:space="preserve">.</w:t>
      </w:r>
    </w:p>
  </w:footnote>
  <w:footnote w:type="normal" w:id="21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Entretiens sur Racine</w:t>
      </w:r>
      <w:r>
        <w:rPr>
          <w:rStyle w:val="NotedebasdepageCar"/>
          <w:rFonts w:ascii="Garamond" w:hAnsi="Garamond"/>
        </w:rPr>
        <w:t xml:space="preserve">, Paris, Nizet, 1984, p. 145.</w:t>
      </w:r>
    </w:p>
  </w:footnote>
  <w:footnote w:type="normal" w:id="21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Jupon, tonnelet, lambrequins, corps-cuirasse, casque pour le garçon ; jupon, jupe d’entre-deux, jupe de dessus à lambrequins et corps baleiné pour la fille », Mickaël Bouffard, présentation  de la conférence « S’habiller pour la scène dans les années 1660 », en lien avec l’exposition </w:t>
      </w:r>
      <w:r>
        <w:rPr>
          <w:rStyle w:val="NotedebasdepageCar"/>
          <w:rFonts w:ascii="Garamond" w:hAnsi="Garamond"/>
          <w:i/>
        </w:rPr>
        <w:t xml:space="preserve">En Scène ! Dessins de costumes de la collection Edmond de Rothschild</w:t>
      </w:r>
      <w:r>
        <w:rPr>
          <w:rStyle w:val="NotedebasdepageCar"/>
          <w:rFonts w:ascii="Garamond" w:hAnsi="Garamond"/>
        </w:rPr>
        <w:t xml:space="preserve">, 2021, Musée national du Louvre. </w:t>
      </w:r>
      <w:r>
        <w:rPr>
          <w:rStyle w:val="NotedebasdepageCar"/>
          <w:rFonts w:ascii="Garamond" w:hAnsi="Garamond"/>
        </w:rPr>
        <w:t xml:space="preserve">https://api-www.louvre.fr/sites/default/files/2021-11/20211105_CONF_S%20HABILLER%20EN%201660_BAT_0.pdf</w:t>
      </w:r>
      <w:r>
        <w:rPr>
          <w:rStyle w:val="NotedebasdepageCar"/>
          <w:rFonts w:ascii="Garamond" w:hAnsi="Garamond"/>
        </w:rPr>
        <w:t xml:space="preserve"> consulté le 9 novembre 2024 à 12h11.</w:t>
      </w:r>
    </w:p>
  </w:footnote>
  <w:footnote w:type="normal" w:id="21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Adolphe Jullien, </w:t>
      </w:r>
      <w:r>
        <w:rPr>
          <w:rStyle w:val="NotedebasdepageCar"/>
          <w:rFonts w:ascii="Garamond" w:hAnsi="Garamond"/>
          <w:i/>
        </w:rPr>
        <w:t xml:space="preserve">Histoire du costume au thé</w:t>
      </w:r>
      <w:r>
        <w:rPr>
          <w:rStyle w:val="NotedebasdepageCar"/>
          <w:rFonts w:ascii="Garamond" w:hAnsi="Garamond"/>
          <w:i/>
        </w:rPr>
        <w:t xml:space="preserve">â</w:t>
      </w:r>
      <w:r>
        <w:rPr>
          <w:rStyle w:val="NotedebasdepageCar"/>
          <w:rFonts w:ascii="Garamond" w:hAnsi="Garamond"/>
          <w:i/>
        </w:rPr>
        <w:t xml:space="preserve">tre depuis l'origine du thé</w:t>
      </w:r>
      <w:r>
        <w:rPr>
          <w:rStyle w:val="NotedebasdepageCar"/>
          <w:rFonts w:ascii="Garamond" w:hAnsi="Garamond"/>
          <w:i/>
        </w:rPr>
        <w:t xml:space="preserve">â</w:t>
      </w:r>
      <w:r>
        <w:rPr>
          <w:rStyle w:val="NotedebasdepageCar"/>
          <w:rFonts w:ascii="Garamond" w:hAnsi="Garamond"/>
          <w:i/>
        </w:rPr>
        <w:t xml:space="preserve">tre en France jusqu'à nos jours, </w:t>
      </w:r>
      <w:r>
        <w:rPr>
          <w:rStyle w:val="NotedebasdepageCar"/>
          <w:rFonts w:ascii="Garamond" w:hAnsi="Garamond"/>
        </w:rPr>
        <w:t xml:space="preserve">Paris, Charpentier, 1880</w:t>
      </w:r>
      <w:r>
        <w:rPr>
          <w:rStyle w:val="NotedebasdepageCar"/>
          <w:rFonts w:ascii="Garamond" w:hAnsi="Garamond"/>
          <w:i/>
        </w:rPr>
        <w:t xml:space="preserve">.</w:t>
      </w:r>
    </w:p>
  </w:footnote>
  <w:footnote w:type="normal" w:id="21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Tristan Alonge, </w:t>
      </w:r>
      <w:r>
        <w:rPr>
          <w:rStyle w:val="NotedebasdepageCar"/>
          <w:rFonts w:ascii="Garamond" w:hAnsi="Garamond"/>
          <w:i/>
        </w:rPr>
        <w:t xml:space="preserve">Racine et Euripide. L</w:t>
      </w:r>
      <w:r>
        <w:rPr>
          <w:rStyle w:val="NotedebasdepageCar"/>
          <w:rFonts w:ascii="Garamond" w:hAnsi="Garamond"/>
        </w:rPr>
        <w:t xml:space="preserve">a</w:t>
      </w:r>
      <w:r>
        <w:rPr>
          <w:rStyle w:val="NotedebasdepageCar"/>
          <w:rFonts w:ascii="Garamond" w:hAnsi="Garamond"/>
          <w:i/>
        </w:rPr>
        <w:t xml:space="preserve"> révolution trahie</w:t>
      </w:r>
      <w:r>
        <w:rPr>
          <w:rStyle w:val="NotedebasdepageCar"/>
          <w:rFonts w:ascii="Garamond" w:hAnsi="Garamond"/>
        </w:rPr>
        <w:t xml:space="preserve">, Genève, Droz, 2017, p. 276.</w:t>
      </w:r>
    </w:p>
  </w:footnote>
  <w:footnote w:type="normal" w:id="21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La Poétique,</w:t>
      </w:r>
      <w:r>
        <w:rPr>
          <w:rStyle w:val="NotedebasdepageCar"/>
          <w:rFonts w:ascii="Garamond" w:hAnsi="Garamond"/>
        </w:rPr>
        <w:t xml:space="preserve"> Dupont-Roc et Lallot  [éd.], Paris, Le Seuil, 1980, p. 54 a 37 b 2.  </w:t>
      </w:r>
    </w:p>
  </w:footnote>
  <w:footnote w:type="normal" w:id="21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C’est peut-être l’idée qu’a gardée Racine de son premier projet d’écrire une </w:t>
      </w:r>
      <w:r>
        <w:rPr>
          <w:rStyle w:val="NotedebasdepageCar"/>
          <w:rFonts w:ascii="Garamond" w:hAnsi="Garamond"/>
          <w:i/>
        </w:rPr>
        <w:t xml:space="preserve">Iphigénie en Tauride</w:t>
      </w:r>
      <w:r>
        <w:rPr>
          <w:rStyle w:val="NotedebasdepageCar"/>
          <w:rFonts w:ascii="Garamond" w:hAnsi="Garamond"/>
        </w:rPr>
        <w:t xml:space="preserve">, et dont il nous reste l’ébauche. On est frappé de l’insistance, dès le premier embryon de dialogue, sur la fausse identité d’Iphigénie. Voir OC I, p. 766 : « Quelle apparence, dit-elle c'est-à-dire sa suivante, qu’une Fille que des Pirates ont enlevée dans le moment qu’on allait la sacrifier pour le salut de la Grèce fût la fille du Général de la Grèce ? »</w:t>
      </w:r>
    </w:p>
  </w:footnote>
  <w:footnote w:type="normal" w:id="21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1599-1600.</w:t>
      </w:r>
    </w:p>
  </w:footnote>
  <w:footnote w:type="normal" w:id="21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w:t>
      </w:r>
      <w:r>
        <w:rPr>
          <w:rStyle w:val="NotedebasdepageCar"/>
          <w:rFonts w:ascii="Garamond" w:hAnsi="Garamond"/>
        </w:rPr>
        <w:t xml:space="preserve">, p. 1636, v. 1785-88.</w:t>
      </w:r>
    </w:p>
  </w:footnote>
  <w:footnote w:type="normal" w:id="21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Op. cit., </w:t>
      </w:r>
      <w:r>
        <w:rPr>
          <w:rStyle w:val="NotedebasdepageCar"/>
          <w:rFonts w:ascii="Garamond" w:hAnsi="Garamond"/>
        </w:rPr>
        <w:t xml:space="preserve">p. 175.</w:t>
      </w:r>
    </w:p>
  </w:footnote>
  <w:footnote w:type="normal" w:id="22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w:t>
      </w:r>
      <w:r>
        <w:rPr>
          <w:rStyle w:val="NotedebasdepageCar"/>
          <w:rFonts w:ascii="Garamond" w:hAnsi="Garamond"/>
        </w:rPr>
        <w:t xml:space="preserve">ontrairement au cas </w:t>
      </w:r>
      <w:r>
        <w:rPr>
          <w:rStyle w:val="NotedebasdepageCar"/>
          <w:rFonts w:ascii="Garamond" w:hAnsi="Garamond"/>
          <w:i/>
        </w:rPr>
        <w:t xml:space="preserve">Bajazet</w:t>
      </w:r>
      <w:r>
        <w:rPr>
          <w:rStyle w:val="NotedebasdepageCar"/>
          <w:rFonts w:ascii="Garamond" w:hAnsi="Garamond"/>
        </w:rPr>
        <w:t xml:space="preserve">, où plusieurs témoins racontent un peu ce qu’ils ont envie de voir (voir </w:t>
      </w:r>
      <w:r>
        <w:rPr>
          <w:rStyle w:val="NotedebasdepageCar"/>
          <w:rFonts w:ascii="Garamond" w:hAnsi="Garamond"/>
          <w:i/>
        </w:rPr>
        <w:t xml:space="preserve">Le Désert et l’Orient, op.cit.)</w:t>
      </w:r>
      <w:r>
        <w:rPr>
          <w:rStyle w:val="NotedebasdepageCar"/>
          <w:rFonts w:ascii="Garamond" w:hAnsi="Garamond"/>
        </w:rPr>
        <w:t xml:space="preserve">.</w:t>
      </w:r>
    </w:p>
  </w:footnote>
  <w:footnote w:type="normal" w:id="22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Thésée est « protégé » par Neptune, son « dieu tutélaire », rappelle Hippolyte en II,5. Cette relation privilégiée est évoquée à plusieurs reprises dans l’intrigue.</w:t>
      </w:r>
    </w:p>
  </w:footnote>
  <w:footnote w:type="normal" w:id="22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w:t>
      </w:r>
      <w:r>
        <w:rPr>
          <w:rStyle w:val="NotedebasdepageCar"/>
          <w:rFonts w:ascii="Garamond" w:hAnsi="Garamond"/>
        </w:rPr>
        <w:t xml:space="preserve">, p. 1636, v. 1747-50.</w:t>
      </w:r>
    </w:p>
  </w:footnote>
  <w:footnote w:type="normal" w:id="22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On notera un de ces jolis calembours raciniens dans la bouche d’Agamemnon : «  </w:t>
      </w:r>
      <w:r>
        <w:rPr>
          <w:rStyle w:val="NotedebasdepageCar"/>
          <w:rFonts w:ascii="Garamond" w:hAnsi="Garamond"/>
        </w:rPr>
        <w:t xml:space="preserve">Et quel devins-je, Arcas,/ </w:t>
      </w:r>
      <w:r>
        <w:rPr>
          <w:rStyle w:val="NotedebasdepageCar"/>
          <w:rFonts w:ascii="Garamond" w:hAnsi="Garamond"/>
        </w:rPr>
        <w:t xml:space="preserve">Quand j'entendis ces mots prononcés par Calchas » (v. 55-6) - faisant irrésistiblement penser au « Quand il vit le lit vide, il le devint » du mari trompé d’Alphonse Allais.</w:t>
      </w:r>
    </w:p>
  </w:footnote>
  <w:footnote w:type="normal" w:id="22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Cité par Alonge, </w:t>
      </w:r>
      <w:r>
        <w:rPr>
          <w:rStyle w:val="NotedebasdepageCar"/>
          <w:rFonts w:ascii="Garamond" w:hAnsi="Garamond"/>
          <w:i/>
        </w:rPr>
        <w:t xml:space="preserve">op.cit., </w:t>
      </w:r>
      <w:r>
        <w:rPr>
          <w:rStyle w:val="NotedebasdepageCar"/>
          <w:rFonts w:ascii="Garamond" w:hAnsi="Garamond"/>
        </w:rPr>
        <w:t xml:space="preserve">en note p. 277.</w:t>
      </w:r>
    </w:p>
  </w:footnote>
  <w:footnote w:type="normal" w:id="22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OC I., p. 1636.</w:t>
      </w:r>
    </w:p>
  </w:footnote>
  <w:footnote w:type="normal" w:id="22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p.</w:t>
      </w:r>
      <w:r>
        <w:rPr>
          <w:rStyle w:val="NotedebasdepageCar"/>
          <w:rFonts w:ascii="Garamond" w:hAnsi="Garamond"/>
        </w:rPr>
        <w:t xml:space="preserve"> 1556.</w:t>
      </w:r>
    </w:p>
  </w:footnote>
  <w:footnote w:type="normal" w:id="22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Alonge, </w:t>
      </w:r>
      <w:r>
        <w:rPr>
          <w:rStyle w:val="NotedebasdepageCar"/>
          <w:rFonts w:ascii="Garamond" w:hAnsi="Garamond"/>
        </w:rPr>
        <w:t xml:space="preserve"> </w:t>
      </w:r>
      <w:r>
        <w:rPr>
          <w:rStyle w:val="NotedebasdepageCar"/>
          <w:rFonts w:ascii="Garamond" w:hAnsi="Garamond"/>
          <w:i/>
        </w:rPr>
        <w:t xml:space="preserve">op.cit., </w:t>
      </w:r>
      <w:r>
        <w:rPr>
          <w:rStyle w:val="NotedebasdepageCar"/>
          <w:rFonts w:ascii="Garamond" w:hAnsi="Garamond"/>
        </w:rPr>
        <w:t xml:space="preserve">p. 12.</w:t>
      </w:r>
    </w:p>
  </w:footnote>
  <w:footnote w:type="normal" w:id="22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À moins d’affirmer que Calchas est un « manipulateur », comme le fait Tony Gheeraert, dans « Voix de Dieu, voix des dieux : oracles, visions et prophéties chez Jean Racine » (</w:t>
      </w:r>
      <w:r>
        <w:rPr>
          <w:rStyle w:val="NotedebasdepageCar"/>
          <w:rFonts w:ascii="Garamond" w:hAnsi="Garamond"/>
          <w:i/>
        </w:rPr>
        <w:t xml:space="preserve">Études Épistémè, </w:t>
      </w:r>
      <w:r>
        <w:rPr>
          <w:rStyle w:val="NotedebasdepageCar"/>
          <w:rFonts w:ascii="Garamond" w:hAnsi="Garamond"/>
        </w:rPr>
        <w:t xml:space="preserve">n</w:t>
      </w:r>
      <w:r>
        <w:rPr>
          <w:rStyle w:val="NotedebasdepageCar"/>
          <w:rFonts w:ascii="Garamond" w:hAnsi="Garamond"/>
        </w:rPr>
        <w:t xml:space="preserve">o</w:t>
      </w:r>
      <w:r>
        <w:rPr>
          <w:rStyle w:val="NotedebasdepageCar"/>
          <w:rFonts w:ascii="Garamond" w:hAnsi="Garamond"/>
        </w:rPr>
        <w:t xml:space="preserve">12, 2007). Il s’agit là d’une libre interprétation car rien dans le texte de la pièce ne permet d’affirmer qu’il connaissait l’identité véritable d’Ériphile avant la révélation finale.</w:t>
      </w:r>
    </w:p>
  </w:footnote>
  <w:footnote w:type="normal" w:id="22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Épanaphore », selon Morier.</w:t>
      </w:r>
      <w:r>
        <w:rPr>
          <w:rStyle w:val="NotedebasdepageCar"/>
          <w:rFonts w:ascii="Garamond" w:hAnsi="Garamond"/>
        </w:rPr>
        <w:t xml:space="preserve"> </w:t>
      </w:r>
    </w:p>
  </w:footnote>
  <w:footnote w:type="normal" w:id="23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1356.</w:t>
      </w:r>
    </w:p>
  </w:footnote>
  <w:footnote w:type="normal" w:id="23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1350-52.</w:t>
      </w:r>
    </w:p>
  </w:footnote>
  <w:footnote w:type="normal" w:id="23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1578-79.</w:t>
      </w:r>
    </w:p>
  </w:footnote>
  <w:footnote w:type="normal" w:id="23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Alonge, </w:t>
      </w:r>
      <w:r>
        <w:rPr>
          <w:rStyle w:val="NotedebasdepageCar"/>
          <w:rFonts w:ascii="Garamond" w:hAnsi="Garamond"/>
          <w:i/>
        </w:rPr>
        <w:t xml:space="preserve">op. cit.</w:t>
      </w:r>
      <w:r>
        <w:rPr>
          <w:rStyle w:val="NotedebasdepageCar"/>
          <w:rFonts w:ascii="Garamond" w:hAnsi="Garamond"/>
        </w:rPr>
        <w:t xml:space="preserve">, p. 221.</w:t>
      </w:r>
    </w:p>
  </w:footnote>
  <w:footnote w:type="normal" w:id="23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1426.</w:t>
      </w:r>
    </w:p>
  </w:footnote>
  <w:footnote w:type="normal" w:id="23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Pierre de Villiers, </w:t>
      </w:r>
      <w:r>
        <w:rPr>
          <w:rStyle w:val="NotedebasdepageCar"/>
          <w:rFonts w:ascii="Garamond" w:hAnsi="Garamond"/>
          <w:i/>
        </w:rPr>
        <w:t xml:space="preserve">Entretien sur les tragédies de ce temps</w:t>
      </w:r>
      <w:r>
        <w:rPr>
          <w:rStyle w:val="NotedebasdepageCar"/>
          <w:rFonts w:ascii="Garamond" w:hAnsi="Garamond"/>
        </w:rPr>
        <w:t xml:space="preserve">, Paris, Étienne Michallet, 1675, p. 71</w:t>
      </w:r>
      <w:r>
        <w:rPr>
          <w:rStyle w:val="NotedebasdepageCar"/>
          <w:rFonts w:ascii="Garamond" w:hAnsi="Garamond"/>
        </w:rPr>
        <w:t xml:space="preserve">.</w:t>
      </w:r>
    </w:p>
  </w:footnote>
  <w:footnote w:type="normal" w:id="23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925.</w:t>
      </w:r>
    </w:p>
  </w:footnote>
  <w:footnote w:type="normal" w:id="23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532</w:t>
      </w:r>
      <w:r>
        <w:rPr>
          <w:rStyle w:val="NotedebasdepageCar"/>
          <w:rFonts w:ascii="Garamond" w:hAnsi="Garamond"/>
        </w:rPr>
        <w:t xml:space="preserve">.</w:t>
      </w:r>
    </w:p>
  </w:footnote>
  <w:footnote w:type="normal" w:id="23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560</w:t>
      </w:r>
      <w:r>
        <w:rPr>
          <w:rStyle w:val="NotedebasdepageCar"/>
          <w:rFonts w:ascii="Garamond" w:hAnsi="Garamond"/>
        </w:rPr>
        <w:t xml:space="preserve">.</w:t>
      </w:r>
    </w:p>
  </w:footnote>
  <w:footnote w:type="normal" w:id="23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1495-1499.</w:t>
      </w:r>
    </w:p>
  </w:footnote>
  <w:footnote w:type="normal" w:id="24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1002.</w:t>
      </w:r>
    </w:p>
  </w:footnote>
  <w:footnote w:type="normal" w:id="24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Victor-Marie, Comte Hugo,</w:t>
      </w:r>
      <w:r>
        <w:rPr>
          <w:rStyle w:val="NotedebasdepageCar"/>
          <w:rFonts w:ascii="Garamond" w:hAnsi="Garamond"/>
        </w:rPr>
        <w:t xml:space="preserve"> Paris, Gallimard, 1934, p. 158.</w:t>
      </w:r>
    </w:p>
  </w:footnote>
  <w:footnote w:type="normal" w:id="24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1453-60.</w:t>
      </w:r>
    </w:p>
  </w:footnote>
  <w:footnote w:type="normal" w:id="24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Transformation des jugements de valeur en jugements de fait », Chaïm Perelman et L. Olbrechts-Tyteca, </w:t>
      </w:r>
      <w:r>
        <w:rPr>
          <w:rStyle w:val="NotedebasdepageCar"/>
          <w:rFonts w:ascii="Garamond" w:hAnsi="Garamond"/>
          <w:i/>
        </w:rPr>
        <w:t xml:space="preserve">Traité de l'argumentation</w:t>
      </w:r>
      <w:r>
        <w:rPr>
          <w:rStyle w:val="NotedebasdepageCar"/>
          <w:rFonts w:ascii="Garamond" w:hAnsi="Garamond"/>
        </w:rPr>
        <w:t xml:space="preserve">,  P.U.F. 1958.</w:t>
      </w:r>
    </w:p>
  </w:footnote>
  <w:footnote w:type="normal" w:id="24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1512-1515.</w:t>
      </w:r>
    </w:p>
  </w:footnote>
  <w:footnote w:type="normal" w:id="24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1706-1710.</w:t>
      </w:r>
    </w:p>
  </w:footnote>
  <w:footnote w:type="normal" w:id="24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1724.</w:t>
      </w:r>
    </w:p>
  </w:footnote>
  <w:footnote w:type="normal" w:id="24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1793.</w:t>
      </w:r>
    </w:p>
  </w:footnote>
  <w:footnote w:type="normal" w:id="24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1485.</w:t>
      </w:r>
    </w:p>
  </w:footnote>
  <w:footnote w:type="normal" w:id="24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1746.</w:t>
      </w:r>
    </w:p>
  </w:footnote>
  <w:footnote w:type="normal" w:id="25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Lacan, </w:t>
      </w:r>
      <w:r>
        <w:rPr>
          <w:rStyle w:val="NotedebasdepageCar"/>
          <w:rFonts w:ascii="Garamond" w:hAnsi="Garamond"/>
          <w:i/>
        </w:rPr>
        <w:t xml:space="preserve">Les quatre concepts fondamentaux de la psychanalyse</w:t>
      </w:r>
      <w:r>
        <w:rPr>
          <w:rStyle w:val="NotedebasdepageCar"/>
          <w:rFonts w:ascii="Garamond" w:hAnsi="Garamond"/>
        </w:rPr>
        <w:t xml:space="preserve">, Points Seuil, 1978, p. 38.</w:t>
      </w:r>
    </w:p>
  </w:footnote>
  <w:footnote w:type="normal" w:id="25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Clélie, histoire romaine,</w:t>
      </w:r>
      <w:r>
        <w:rPr>
          <w:rStyle w:val="NotedebasdepageCar"/>
          <w:rFonts w:ascii="Garamond" w:hAnsi="Garamond"/>
        </w:rPr>
        <w:t xml:space="preserve"> 1654, t. I, p. 97.</w:t>
      </w:r>
    </w:p>
  </w:footnote>
  <w:footnote w:type="normal" w:id="25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1450.</w:t>
      </w:r>
    </w:p>
  </w:footnote>
  <w:footnote w:type="normal" w:id="25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Dont il a commenté la description dans les marges de son exemplaire de la </w:t>
      </w:r>
      <w:r>
        <w:rPr>
          <w:rStyle w:val="NotedebasdepageCar"/>
          <w:rFonts w:ascii="Garamond" w:hAnsi="Garamond"/>
          <w:i/>
        </w:rPr>
        <w:t xml:space="preserve">Poétique</w:t>
      </w:r>
      <w:r>
        <w:rPr>
          <w:rStyle w:val="NotedebasdepageCar"/>
          <w:rFonts w:ascii="Garamond" w:hAnsi="Garamond"/>
        </w:rPr>
        <w:t xml:space="preserve">, voir </w:t>
      </w:r>
      <w:r>
        <w:rPr>
          <w:rStyle w:val="NotedebasdepageCar"/>
          <w:rFonts w:ascii="Garamond" w:hAnsi="Garamond"/>
          <w:i/>
        </w:rPr>
        <w:t xml:space="preserve">infra</w:t>
      </w:r>
      <w:r>
        <w:rPr>
          <w:rStyle w:val="NotedebasdepageCar"/>
          <w:rFonts w:ascii="Garamond" w:hAnsi="Garamond"/>
        </w:rPr>
        <w:t xml:space="preserve">.</w:t>
      </w:r>
    </w:p>
  </w:footnote>
  <w:footnote w:type="normal" w:id="25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1690-91.</w:t>
      </w:r>
    </w:p>
  </w:footnote>
  <w:footnote w:type="normal" w:id="25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[Eugène Vinaver éd.], </w:t>
      </w:r>
      <w:r>
        <w:rPr>
          <w:rStyle w:val="NotedebasdepageCar"/>
          <w:rFonts w:ascii="Garamond" w:hAnsi="Garamond"/>
          <w:i/>
        </w:rPr>
        <w:t xml:space="preserve">Principes de la tragédie</w:t>
      </w:r>
      <w:r>
        <w:rPr>
          <w:rStyle w:val="NotedebasdepageCar"/>
          <w:rFonts w:ascii="Garamond" w:hAnsi="Garamond"/>
        </w:rPr>
        <w:t xml:space="preserve">, </w:t>
      </w:r>
      <w:r>
        <w:rPr>
          <w:rStyle w:val="NotedebasdepageCar"/>
          <w:rFonts w:ascii="Garamond" w:hAnsi="Garamond"/>
          <w:i/>
        </w:rPr>
        <w:t xml:space="preserve">En marge de la Poétique d’Aristote, </w:t>
      </w:r>
      <w:r>
        <w:rPr>
          <w:rStyle w:val="NotedebasdepageCar"/>
          <w:rFonts w:ascii="Garamond" w:hAnsi="Garamond"/>
        </w:rPr>
        <w:t xml:space="preserve">Université de Manchester, Paris, Nizet, 1951, p. 53</w:t>
      </w:r>
      <w:r>
        <w:rPr>
          <w:rStyle w:val="NotedebasdepageCar"/>
          <w:rFonts w:ascii="Garamond" w:hAnsi="Garamond"/>
          <w:i/>
        </w:rPr>
        <w:t xml:space="preserve">.</w:t>
      </w:r>
    </w:p>
  </w:footnote>
  <w:footnote w:type="normal" w:id="25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Op.cit.</w:t>
      </w:r>
      <w:r>
        <w:rPr>
          <w:rStyle w:val="NotedebasdepageCar"/>
          <w:rFonts w:ascii="Garamond" w:hAnsi="Garamond"/>
        </w:rPr>
        <w:t xml:space="preserve">, p. 157-8.</w:t>
      </w:r>
    </w:p>
  </w:footnote>
  <w:footnote w:type="normal" w:id="25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w:t>
      </w:r>
      <w:r>
        <w:rPr>
          <w:rStyle w:val="NotedebasdepageCar"/>
          <w:rFonts w:ascii="Garamond" w:hAnsi="Garamond"/>
        </w:rPr>
        <w:t xml:space="preserve">1365-69.</w:t>
      </w:r>
    </w:p>
  </w:footnote>
  <w:footnote w:type="normal" w:id="25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Principes</w:t>
      </w:r>
      <w:r>
        <w:rPr>
          <w:rStyle w:val="NotedebasdepageCar"/>
          <w:rFonts w:ascii="Garamond" w:hAnsi="Garamond"/>
        </w:rPr>
        <w:t xml:space="preserve">…, </w:t>
      </w:r>
      <w:r>
        <w:rPr>
          <w:rStyle w:val="NotedebasdepageCar"/>
          <w:rFonts w:ascii="Garamond" w:hAnsi="Garamond"/>
          <w:i/>
        </w:rPr>
        <w:t xml:space="preserve">op.cit., </w:t>
      </w:r>
      <w:r>
        <w:rPr>
          <w:rStyle w:val="NotedebasdepageCar"/>
          <w:rFonts w:ascii="Garamond" w:hAnsi="Garamond"/>
        </w:rPr>
        <w:t xml:space="preserve">p. 50-51.</w:t>
      </w:r>
    </w:p>
  </w:footnote>
  <w:footnote w:type="normal" w:id="25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Jacques Scherer, </w:t>
      </w:r>
      <w:r>
        <w:rPr>
          <w:rStyle w:val="NotedebasdepageCar"/>
          <w:rFonts w:ascii="Garamond" w:hAnsi="Garamond"/>
          <w:i/>
        </w:rPr>
        <w:t xml:space="preserve">La Dramaturgie classique en France</w:t>
      </w:r>
      <w:r>
        <w:rPr>
          <w:rStyle w:val="NotedebasdepageCar"/>
          <w:rFonts w:ascii="Garamond" w:hAnsi="Garamond"/>
        </w:rPr>
        <w:t xml:space="preserve">, Paris, Nizet, 1950, en part. p. 256-60.</w:t>
      </w:r>
    </w:p>
  </w:footnote>
  <w:footnote w:type="normal" w:id="26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Phrase supprimée dans la rééd. de 1682, voir Corneille </w:t>
      </w:r>
      <w:r>
        <w:rPr>
          <w:rStyle w:val="NotedebasdepageCar"/>
          <w:rFonts w:ascii="Garamond" w:hAnsi="Garamond"/>
          <w:i/>
        </w:rPr>
        <w:t xml:space="preserve">Œuvres complètes</w:t>
      </w:r>
      <w:r>
        <w:rPr>
          <w:rStyle w:val="NotedebasdepageCar"/>
          <w:rFonts w:ascii="Garamond" w:hAnsi="Garamond"/>
        </w:rPr>
        <w:t xml:space="preserve">, t. I, Georges Couton [éd.], Paris, Gallimard, coll. « Bibliothèque de la Pléiade », 1980, n. de la p. 912, p. 1600.</w:t>
      </w:r>
    </w:p>
  </w:footnote>
  <w:footnote w:type="normal" w:id="26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Poétique, op.cit.,</w:t>
      </w:r>
      <w:r>
        <w:rPr>
          <w:rStyle w:val="NotedebasdepageCar"/>
          <w:rFonts w:ascii="Garamond" w:hAnsi="Garamond"/>
        </w:rPr>
        <w:t xml:space="preserve"> 1451a 30-35.</w:t>
      </w:r>
    </w:p>
  </w:footnote>
  <w:footnote w:type="normal" w:id="26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OC I, v. 1793-94.</w:t>
      </w:r>
    </w:p>
  </w:footnote>
  <w:footnote w:type="normal" w:id="26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la question de l’oracle, voir Bénédicte Louvat-Molozay, « Mise en scène et dramaturgie de l’oracle chez Corneille »</w:t>
      </w:r>
      <w:r>
        <w:rPr>
          <w:rStyle w:val="NotedebasdepageCar"/>
          <w:rFonts w:ascii="Garamond" w:hAnsi="Garamond"/>
        </w:rPr>
        <w:t xml:space="preserve">,</w:t>
      </w:r>
      <w:r>
        <w:rPr>
          <w:rStyle w:val="NotedebasdepageCar"/>
          <w:rFonts w:ascii="Garamond" w:hAnsi="Garamond"/>
        </w:rPr>
        <w:t xml:space="preserve"> dans Gilles Siouffi et Bénédicte Louvat-Molozay (éd.), </w:t>
      </w:r>
      <w:r>
        <w:rPr>
          <w:rStyle w:val="NotedebasdepageCar"/>
          <w:rFonts w:ascii="Garamond" w:hAnsi="Garamond"/>
          <w:i/>
        </w:rPr>
        <w:t xml:space="preserve">Les mises en scène de la parole aux XVI</w:t>
      </w:r>
      <w:r>
        <w:rPr>
          <w:rStyle w:val="NotedebasdepageCar"/>
          <w:rFonts w:ascii="Garamond" w:hAnsi="Garamond"/>
          <w:i/>
        </w:rPr>
        <w:t xml:space="preserve">e</w:t>
      </w:r>
      <w:r>
        <w:rPr>
          <w:rStyle w:val="NotedebasdepageCar"/>
          <w:rFonts w:ascii="Garamond" w:hAnsi="Garamond"/>
          <w:i/>
        </w:rPr>
        <w:t xml:space="preserve"> et XVII</w:t>
      </w:r>
      <w:r>
        <w:rPr>
          <w:rStyle w:val="NotedebasdepageCar"/>
          <w:rFonts w:ascii="Garamond" w:hAnsi="Garamond"/>
          <w:i/>
        </w:rPr>
        <w:t xml:space="preserve">e</w:t>
      </w:r>
      <w:r>
        <w:rPr>
          <w:rStyle w:val="NotedebasdepageCar"/>
          <w:rFonts w:ascii="Garamond" w:hAnsi="Garamond"/>
          <w:i/>
        </w:rPr>
        <w:t xml:space="preserve"> siècles</w:t>
      </w:r>
      <w:r>
        <w:rPr>
          <w:rStyle w:val="NotedebasdepageCar"/>
          <w:rFonts w:ascii="Garamond" w:hAnsi="Garamond"/>
        </w:rPr>
        <w:t xml:space="preserve">, Montpellier, Presses universitaires de la Méditerranée, 2007, p. 225-247.</w:t>
      </w:r>
    </w:p>
  </w:footnote>
  <w:footnote w:type="normal" w:id="26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Voire </w:t>
      </w:r>
      <w:r>
        <w:rPr>
          <w:rStyle w:val="NotedebasdepageCar"/>
          <w:rFonts w:ascii="Garamond" w:hAnsi="Garamond"/>
        </w:rPr>
        <w:t xml:space="preserve">« méchante » pour reprendre le terme employé par Charles Mazouer</w:t>
      </w:r>
      <w:r>
        <w:rPr>
          <w:rStyle w:val="NotedebasdepageCar"/>
          <w:rFonts w:ascii="Garamond" w:hAnsi="Garamond"/>
        </w:rPr>
        <w:t xml:space="preserve"> :</w:t>
      </w:r>
      <w:r>
        <w:rPr>
          <w:rStyle w:val="NotedebasdepageCar"/>
          <w:rFonts w:ascii="Garamond" w:hAnsi="Garamond"/>
        </w:rPr>
        <w:t xml:space="preserve"> « Les dieux sont méchants, réclamant des victimes innocentes. Agamemnon ne peut pas ne pas obéir à l’oracle et ne pas se révolter contre cette transcendance. Agamemnon, Clytemnestre, Ériphile se révoltent » </w:t>
      </w:r>
      <w:r>
        <w:rPr>
          <w:rStyle w:val="NotedebasdepageCar"/>
          <w:rFonts w:ascii="Garamond" w:hAnsi="Garamond"/>
        </w:rPr>
        <w:t xml:space="preserve">(</w:t>
      </w:r>
      <w:r>
        <w:rPr>
          <w:rStyle w:val="NotedebasdepageCar"/>
          <w:rFonts w:ascii="Garamond" w:hAnsi="Garamond"/>
          <w:i/>
        </w:rPr>
        <w:t xml:space="preserve">La Transcendance dans le théâtre français, tome I, de l’origine aux Lumières</w:t>
      </w:r>
      <w:r>
        <w:rPr>
          <w:rStyle w:val="NotedebasdepageCar"/>
          <w:rFonts w:ascii="Garamond" w:hAnsi="Garamond"/>
        </w:rPr>
        <w:t xml:space="preserve">, Paris, Champion, 2021, p. 294).</w:t>
      </w:r>
    </w:p>
  </w:footnote>
  <w:footnote w:type="normal" w:id="26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Que j’ose pour ma Fille accepter le secours / De quelque Dieu plus doux qui veille sur ses jours » (v. 335-336). Toutes les citations de Racine sont extraites de l’édition </w:t>
      </w:r>
      <w:r>
        <w:rPr>
          <w:rStyle w:val="NotedebasdepageCar"/>
          <w:rFonts w:ascii="Garamond" w:hAnsi="Garamond"/>
          <w:i/>
        </w:rPr>
        <w:t xml:space="preserve">Œuvres complètes, I. Théâtre – poésie</w:t>
      </w:r>
      <w:r>
        <w:rPr>
          <w:rStyle w:val="NotedebasdepageCar"/>
          <w:rFonts w:ascii="Garamond" w:hAnsi="Garamond"/>
        </w:rPr>
        <w:t xml:space="preserve">, éd. G</w:t>
      </w:r>
      <w:r>
        <w:rPr>
          <w:rStyle w:val="NotedebasdepageCar"/>
          <w:rFonts w:ascii="Garamond" w:hAnsi="Garamond"/>
        </w:rPr>
        <w:t xml:space="preserve">eorges</w:t>
      </w:r>
      <w:r>
        <w:rPr>
          <w:rStyle w:val="NotedebasdepageCar"/>
          <w:rFonts w:ascii="Garamond" w:hAnsi="Garamond"/>
        </w:rPr>
        <w:t xml:space="preserve"> Forestier, Paris, Gallimard, 1999.</w:t>
      </w:r>
    </w:p>
  </w:footnote>
  <w:footnote w:type="normal" w:id="26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La relecture de l’énoncé oraculaire est aussi pratiquée par Corneille, dans </w:t>
      </w:r>
      <w:r>
        <w:rPr>
          <w:rStyle w:val="NotedebasdepageCar"/>
          <w:rFonts w:ascii="Garamond" w:hAnsi="Garamond"/>
          <w:i/>
        </w:rPr>
        <w:t xml:space="preserve">Horace</w:t>
      </w:r>
      <w:r>
        <w:rPr>
          <w:rStyle w:val="NotedebasdepageCar"/>
          <w:rFonts w:ascii="Garamond" w:hAnsi="Garamond"/>
        </w:rPr>
        <w:t xml:space="preserve">, </w:t>
      </w:r>
      <w:r>
        <w:rPr>
          <w:rStyle w:val="NotedebasdepageCar"/>
          <w:rFonts w:ascii="Garamond" w:hAnsi="Garamond"/>
          <w:i/>
        </w:rPr>
        <w:t xml:space="preserve">Andromède, Œdipe</w:t>
      </w:r>
      <w:r>
        <w:rPr>
          <w:rStyle w:val="NotedebasdepageCar"/>
          <w:rFonts w:ascii="Garamond" w:hAnsi="Garamond"/>
        </w:rPr>
        <w:t xml:space="preserve"> voire dans </w:t>
      </w:r>
      <w:r>
        <w:rPr>
          <w:rStyle w:val="NotedebasdepageCar"/>
          <w:rFonts w:ascii="Garamond" w:hAnsi="Garamond"/>
          <w:i/>
        </w:rPr>
        <w:t xml:space="preserve">Psyché</w:t>
      </w:r>
      <w:r>
        <w:rPr>
          <w:rStyle w:val="NotedebasdepageCar"/>
          <w:rFonts w:ascii="Garamond" w:hAnsi="Garamond"/>
        </w:rPr>
        <w:t xml:space="preserve">, et fait partie de la définition du procédé dramaturgique de l’oracle selon Bénédicte Louvat-Molozay, art. cit, p. 227-228 et p. 232.</w:t>
      </w:r>
    </w:p>
  </w:footnote>
  <w:footnote w:type="normal" w:id="26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B</w:t>
      </w:r>
      <w:r>
        <w:rPr>
          <w:rStyle w:val="NotedebasdepageCar"/>
          <w:rFonts w:ascii="Garamond" w:hAnsi="Garamond"/>
        </w:rPr>
        <w:t xml:space="preserve">énédicte</w:t>
      </w:r>
      <w:r>
        <w:rPr>
          <w:rStyle w:val="NotedebasdepageCar"/>
          <w:rFonts w:ascii="Garamond" w:hAnsi="Garamond"/>
        </w:rPr>
        <w:t xml:space="preserve"> Louvat-Molozay, art. cit., p. 234, qui fait référence à l’article de Georges Forestier « Corneille et le mystère de l’identité », dans A</w:t>
      </w:r>
      <w:r>
        <w:rPr>
          <w:rStyle w:val="NotedebasdepageCar"/>
          <w:rFonts w:ascii="Garamond" w:hAnsi="Garamond"/>
        </w:rPr>
        <w:t xml:space="preserve">lain</w:t>
      </w:r>
      <w:r>
        <w:rPr>
          <w:rStyle w:val="NotedebasdepageCar"/>
          <w:rFonts w:ascii="Garamond" w:hAnsi="Garamond"/>
        </w:rPr>
        <w:t xml:space="preserve"> Niderst (éd.), </w:t>
      </w:r>
      <w:r>
        <w:rPr>
          <w:rStyle w:val="NotedebasdepageCar"/>
          <w:rFonts w:ascii="Garamond" w:hAnsi="Garamond"/>
          <w:i/>
        </w:rPr>
        <w:t xml:space="preserve">Pierre Corneille</w:t>
      </w:r>
      <w:r>
        <w:rPr>
          <w:rStyle w:val="NotedebasdepageCar"/>
          <w:rFonts w:ascii="Garamond" w:hAnsi="Garamond"/>
        </w:rPr>
        <w:t xml:space="preserve">. </w:t>
      </w:r>
      <w:r>
        <w:rPr>
          <w:rStyle w:val="NotedebasdepageCar"/>
          <w:rFonts w:ascii="Garamond" w:hAnsi="Garamond"/>
          <w:i/>
        </w:rPr>
        <w:t xml:space="preserve">Actes du colloque de Rouen</w:t>
      </w:r>
      <w:r>
        <w:rPr>
          <w:rStyle w:val="NotedebasdepageCar"/>
          <w:rFonts w:ascii="Garamond" w:hAnsi="Garamond"/>
        </w:rPr>
        <w:t xml:space="preserve">, Paris, PUF, 1980, p. 665-678.</w:t>
      </w:r>
    </w:p>
  </w:footnote>
  <w:footnote w:type="normal" w:id="26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C’est ainsi que s’explique la perplexité d’Achille, qui envisage au conditionnel cette responsabilité, lorsque l’oracle est divulgué acte III scène 5. Il en va de même pour Clytemnestre : « Les Dieux ordonneraient un meurtre abominable ? » v. 921.</w:t>
      </w:r>
    </w:p>
  </w:footnote>
  <w:footnote w:type="normal" w:id="26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Rohou, citant Jean-Louis Barrault, </w:t>
      </w:r>
      <w:r>
        <w:rPr>
          <w:rStyle w:val="NotedebasdepageCar"/>
          <w:rFonts w:ascii="Garamond" w:hAnsi="Garamond"/>
          <w:i/>
        </w:rPr>
        <w:t xml:space="preserve">Jean Racine</w:t>
      </w:r>
      <w:r>
        <w:rPr>
          <w:rStyle w:val="NotedebasdepageCar"/>
          <w:rFonts w:ascii="Garamond" w:hAnsi="Garamond"/>
        </w:rPr>
        <w:t xml:space="preserve">, Paris, Fayard, 1992</w:t>
      </w:r>
      <w:r>
        <w:rPr>
          <w:rStyle w:val="NotedebasdepageCar"/>
          <w:rFonts w:ascii="Garamond" w:hAnsi="Garamond"/>
          <w:i/>
        </w:rPr>
        <w:t xml:space="preserve"> </w:t>
      </w:r>
      <w:r>
        <w:rPr>
          <w:rStyle w:val="NotedebasdepageCar"/>
          <w:rFonts w:ascii="Garamond" w:hAnsi="Garamond"/>
        </w:rPr>
        <w:t xml:space="preserve">: les préfaces sont « de petits chefs d’œuvre d’excuses, de diplomatie et de malignité », p. 183. Cette idée est reprise par le critique à plusieurs reprises : Jean Rohou, </w:t>
      </w:r>
      <w:r>
        <w:rPr>
          <w:rStyle w:val="NotedebasdepageCar"/>
          <w:rFonts w:ascii="Garamond" w:hAnsi="Garamond"/>
          <w:i/>
        </w:rPr>
        <w:t xml:space="preserve">Avez-vous lu Racine ? Mise au point polémique</w:t>
      </w:r>
      <w:r>
        <w:rPr>
          <w:rStyle w:val="NotedebasdepageCar"/>
          <w:rFonts w:ascii="Garamond" w:hAnsi="Garamond"/>
        </w:rPr>
        <w:t xml:space="preserve">, Paris, L’Harmattan, 2000 p. 273 ; </w:t>
      </w:r>
      <w:r>
        <w:rPr>
          <w:rStyle w:val="NotedebasdepageCar"/>
          <w:rFonts w:ascii="Garamond" w:hAnsi="Garamond"/>
          <w:i/>
        </w:rPr>
        <w:t xml:space="preserve">Jean Racine, bilan critique </w:t>
      </w:r>
      <w:r>
        <w:rPr>
          <w:rStyle w:val="NotedebasdepageCar"/>
          <w:rFonts w:ascii="Garamond" w:hAnsi="Garamond"/>
        </w:rPr>
        <w:t xml:space="preserve">[1994], édition revue et corrigée, A. Colin, 2005 : « il ne faut pas trop croire la préface de Bérénice, qui la présente [la simplicité] comme un caractère essentiel de la tragédie. Elle a pour but de vanter une pièce particulière […] et surtout de dénigrer Corneille », p. 64.</w:t>
      </w:r>
    </w:p>
  </w:footnote>
  <w:footnote w:type="normal" w:id="27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 Racine, </w:t>
      </w:r>
      <w:r>
        <w:rPr>
          <w:rStyle w:val="NotedebasdepageCar"/>
          <w:rFonts w:ascii="Garamond" w:hAnsi="Garamond"/>
          <w:i/>
          <w:smallCaps w:val="true"/>
        </w:rPr>
        <w:t xml:space="preserve">Œ</w:t>
      </w:r>
      <w:r>
        <w:rPr>
          <w:rStyle w:val="NotedebasdepageCar"/>
          <w:rFonts w:ascii="Garamond" w:hAnsi="Garamond"/>
          <w:i/>
        </w:rPr>
        <w:t xml:space="preserve">uvres complètes, op. cit.</w:t>
      </w:r>
      <w:r>
        <w:rPr>
          <w:rStyle w:val="NotedebasdepageCar"/>
          <w:rFonts w:ascii="Garamond" w:hAnsi="Garamond"/>
        </w:rPr>
        <w:t xml:space="preserve">, préface, p. 700.</w:t>
      </w:r>
    </w:p>
  </w:footnote>
  <w:footnote w:type="normal" w:id="27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Ce que l’on retrouve dans </w:t>
      </w:r>
      <w:r>
        <w:rPr>
          <w:rStyle w:val="NotedebasdepageCar"/>
          <w:rFonts w:ascii="Garamond" w:hAnsi="Garamond"/>
          <w:i/>
        </w:rPr>
        <w:t xml:space="preserve">Britannicus</w:t>
      </w:r>
      <w:r>
        <w:rPr>
          <w:rStyle w:val="NotedebasdepageCar"/>
          <w:rFonts w:ascii="Garamond" w:hAnsi="Garamond"/>
        </w:rPr>
        <w:t xml:space="preserve">, par exemple, dans le récit d’Albine : « Le peuple cependant, [...] / D’une commune voix la prend sous son appui » (v. 1762), et dans </w:t>
      </w:r>
      <w:r>
        <w:rPr>
          <w:rStyle w:val="NotedebasdepageCar"/>
          <w:rFonts w:ascii="Garamond" w:hAnsi="Garamond"/>
          <w:i/>
        </w:rPr>
        <w:t xml:space="preserve">Bérénice</w:t>
      </w:r>
      <w:r>
        <w:rPr>
          <w:rStyle w:val="NotedebasdepageCar"/>
          <w:rFonts w:ascii="Garamond" w:hAnsi="Garamond"/>
        </w:rPr>
        <w:t xml:space="preserve">, à travers les mots de Rutile : « Seigneur, tous les Tribuns, les Consuls, le Sénat, / Viennent vous demander au nom de tout l’État » (v. 1237-1238).</w:t>
      </w:r>
    </w:p>
  </w:footnote>
  <w:footnote w:type="normal" w:id="27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U</w:t>
      </w:r>
      <w:r>
        <w:rPr>
          <w:rStyle w:val="NotedebasdepageCar"/>
          <w:rFonts w:ascii="Garamond" w:hAnsi="Garamond"/>
        </w:rPr>
        <w:t xml:space="preserve">ne secrète voix m’ordonna » (v. 516), « Le Dieu, qui maintenant vous parle par ma voix » (v. 1747).</w:t>
      </w:r>
    </w:p>
  </w:footnote>
  <w:footnote w:type="normal" w:id="27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Iphigénie et Achille sont davantage deux porte-parole occasionnels. Iphigénie se propose à deux reprises de défendre Ériphile (« Je lui prête ma voix, je ne puis davantage », v. 865), « Laissez parler, Seigneur, des bouches plus timides » (v. 1066). Achille, quant à lui, rapporte la rumeur, qui est vraie, aux vers 1329 à 1334.</w:t>
      </w:r>
    </w:p>
  </w:footnote>
  <w:footnote w:type="normal" w:id="27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Par la voix de Calchas l’Oracle la demande » (v. 917). Calchas « mille fois […] dit », « prédit », « publie », « fait parler », se fait interroger, et on cherche à le « faire taire » (</w:t>
      </w:r>
      <w:r>
        <w:rPr>
          <w:rStyle w:val="NotedebasdepageCar"/>
          <w:rFonts w:ascii="Garamond" w:hAnsi="Garamond"/>
          <w:i/>
        </w:rPr>
        <w:t xml:space="preserve">passim</w:t>
      </w:r>
      <w:r>
        <w:rPr>
          <w:rStyle w:val="NotedebasdepageCar"/>
          <w:rFonts w:ascii="Garamond" w:hAnsi="Garamond"/>
        </w:rPr>
        <w:t xml:space="preserve">). </w:t>
      </w:r>
    </w:p>
  </w:footnote>
  <w:footnote w:type="normal" w:id="27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 Calchas publie / Qu’avec eux dans une heure il nous réconcilie, / Que Neptune et les Vents, prêts à nous exaucer, / N’attendent que le sang que sa main va verser » (v. 837-840).</w:t>
      </w:r>
    </w:p>
  </w:footnote>
  <w:footnote w:type="normal" w:id="27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L’équivalent écrit de la voix est, par défaut, le contenu et la signature. Mais Agamemnon usurpe l’identité d’Achille avec la lettre. Il dissimule sa voix, pour emprunter celle d’Achille, par écrit.</w:t>
      </w:r>
      <w:r>
        <w:rPr>
          <w:rStyle w:val="NotedebasdepageCar"/>
          <w:rFonts w:ascii="Garamond" w:hAnsi="Garamond"/>
        </w:rPr>
        <w:t xml:space="preserve">
</w:t>
      </w:r>
      <w:r>
        <w:rPr>
          <w:rStyle w:val="NotedebasdepageCar"/>
          <w:rFonts w:ascii="Garamond" w:hAnsi="Garamond"/>
        </w:rPr>
        <w:t xml:space="preserve">« D’Achille, qui l’aimait, j’empruntai le langage. / J’écrivis en Argos, pour hâter ce voyage, </w:t>
      </w:r>
      <w:r>
        <w:rPr>
          <w:rStyle w:val="NotedebasdepageCar"/>
          <w:rFonts w:ascii="Garamond" w:hAnsi="Garamond"/>
        </w:rPr>
        <w:t xml:space="preserve">/ </w:t>
      </w:r>
      <w:r>
        <w:rPr>
          <w:rStyle w:val="NotedebasdepageCar"/>
          <w:rFonts w:ascii="Garamond" w:hAnsi="Garamond"/>
        </w:rPr>
        <w:t xml:space="preserve">Que ce guerrier, pressé de partir avec nous, </w:t>
      </w:r>
      <w:r>
        <w:rPr>
          <w:rStyle w:val="NotedebasdepageCar"/>
          <w:rFonts w:ascii="Garamond" w:hAnsi="Garamond"/>
        </w:rPr>
        <w:t xml:space="preserve">/ </w:t>
      </w:r>
      <w:r>
        <w:rPr>
          <w:rStyle w:val="NotedebasdepageCar"/>
          <w:rFonts w:ascii="Garamond" w:hAnsi="Garamond"/>
        </w:rPr>
        <w:t xml:space="preserve">Voulait revoir ma fille, et partir son époux » (v. 93-96). La lettre est résumée sous la forme d’un discours narrativisé. </w:t>
      </w:r>
      <w:r>
        <w:rPr>
          <w:rStyle w:val="NotedebasdepageCar"/>
          <w:rFonts w:ascii="Garamond" w:hAnsi="Garamond"/>
        </w:rPr>
        <w:t xml:space="preserve">La deuxième</w:t>
      </w:r>
      <w:r>
        <w:rPr>
          <w:rStyle w:val="NotedebasdepageCar"/>
          <w:rFonts w:ascii="Garamond" w:hAnsi="Garamond"/>
        </w:rPr>
        <w:t xml:space="preserve"> lettre est reprise par Clytemnestre et résumée : « Pour votre hymen Achille a changé de pensée, / En refusant l’honneur qu’on lui veut accorder, / Jusques à son retour il veut le retarder » (v. 634-636) ; « il presse cet hymen, qu’on prétend qu’il diffère » (v. 773).</w:t>
      </w:r>
    </w:p>
  </w:footnote>
  <w:footnote w:type="normal" w:id="27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Le parallélisme de construction se fait jour dans la reprise de la proposition relative, de sorte que le segment est proche de la figure de la symploque, qui réunit anaphore (du pronom </w:t>
      </w:r>
      <w:r>
        <w:rPr>
          <w:rStyle w:val="NotedebasdepageCar"/>
          <w:rFonts w:ascii="Garamond" w:hAnsi="Garamond"/>
          <w:i/>
        </w:rPr>
        <w:t xml:space="preserve">qui</w:t>
      </w:r>
      <w:r>
        <w:rPr>
          <w:rStyle w:val="NotedebasdepageCar"/>
          <w:rFonts w:ascii="Garamond" w:hAnsi="Garamond"/>
        </w:rPr>
        <w:t xml:space="preserve">) et épiphore (de la suite phonique -</w:t>
      </w:r>
      <w:r>
        <w:rPr>
          <w:rStyle w:val="NotedebasdepageCar"/>
          <w:rFonts w:ascii="Garamond" w:hAnsi="Garamond"/>
          <w:i/>
        </w:rPr>
        <w:t xml:space="preserve">eille</w:t>
      </w:r>
      <w:r>
        <w:rPr>
          <w:rStyle w:val="NotedebasdepageCar"/>
          <w:rFonts w:ascii="Garamond" w:hAnsi="Garamond"/>
        </w:rPr>
        <w:t xml:space="preserve">) : « c’est ton roi qui t’éveille » (v. 1), « la voix// qui frappe ton oreille » (v. 2).</w:t>
      </w:r>
    </w:p>
  </w:footnote>
  <w:footnote w:type="normal" w:id="27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Le </w:t>
      </w:r>
      <w:r>
        <w:rPr>
          <w:rStyle w:val="NotedebasdepageCar"/>
          <w:rFonts w:ascii="Garamond" w:hAnsi="Garamond"/>
          <w:i/>
        </w:rPr>
        <w:t xml:space="preserve">Dictionnaire universel</w:t>
      </w:r>
      <w:r>
        <w:rPr>
          <w:rStyle w:val="NotedebasdepageCar"/>
          <w:rFonts w:ascii="Garamond" w:hAnsi="Garamond"/>
        </w:rPr>
        <w:t xml:space="preserve"> de Furetière propose justement l’exemple de l’aveugle pour comprendre le mot « voix », (« Un aveugle reconnoit les gens à la </w:t>
      </w:r>
      <w:r>
        <w:rPr>
          <w:rStyle w:val="NotedebasdepageCar"/>
          <w:rFonts w:ascii="Garamond" w:hAnsi="Garamond"/>
          <w:i/>
        </w:rPr>
        <w:t xml:space="preserve">voix</w:t>
      </w:r>
      <w:r>
        <w:rPr>
          <w:rStyle w:val="NotedebasdepageCar"/>
          <w:rFonts w:ascii="Garamond" w:hAnsi="Garamond"/>
        </w:rPr>
        <w:t xml:space="preserve"> », </w:t>
      </w:r>
      <w:r>
        <w:rPr>
          <w:rStyle w:val="NotedebasdepageCar"/>
          <w:rFonts w:ascii="Garamond" w:hAnsi="Garamond"/>
          <w:i/>
        </w:rPr>
        <w:t xml:space="preserve">Dictionnaire universel</w:t>
      </w:r>
      <w:r>
        <w:rPr>
          <w:rStyle w:val="NotedebasdepageCar"/>
          <w:rFonts w:ascii="Garamond" w:hAnsi="Garamond"/>
        </w:rPr>
        <w:t xml:space="preserve">, La Haye et Rotterdam, Arnout et Reinier Leers, 1690, tome 2, n. p.).</w:t>
      </w:r>
    </w:p>
  </w:footnote>
  <w:footnote w:type="normal" w:id="27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Jean Rohou, </w:t>
      </w:r>
      <w:r>
        <w:rPr>
          <w:rStyle w:val="NotedebasdepageCar"/>
          <w:rFonts w:ascii="Garamond" w:hAnsi="Garamond"/>
          <w:i/>
        </w:rPr>
        <w:t xml:space="preserve">L’Évolution du tragique racinien</w:t>
      </w:r>
      <w:r>
        <w:rPr>
          <w:rStyle w:val="NotedebasdepageCar"/>
          <w:rFonts w:ascii="Garamond" w:hAnsi="Garamond"/>
        </w:rPr>
        <w:t xml:space="preserve">, Paris, SEDES, 1991, p. 240.</w:t>
      </w:r>
    </w:p>
  </w:footnote>
  <w:footnote w:type="normal" w:id="28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Selon Achille, Agamemnon devine « un secret que trahit sa fierté » (d’Ériphile) v. 240. À partir de la scène I, 3, c’est au tour d’Ulysse d’interpréter les propos d’Agamemnon de manière abusive, « Hélas » (v. 281) étant interprété comme un oracle selon la terminologie employée par Ulysse pour le qualifier :</w:t>
      </w:r>
      <w:r>
        <w:rPr>
          <w:rStyle w:val="NotedebasdepageCar"/>
          <w:rFonts w:ascii="Garamond" w:hAnsi="Garamond"/>
        </w:rPr>
        <w:t xml:space="preserve"> </w:t>
      </w:r>
      <w:r>
        <w:rPr>
          <w:rStyle w:val="NotedebasdepageCar"/>
          <w:rFonts w:ascii="Garamond" w:hAnsi="Garamond"/>
        </w:rPr>
        <w:t xml:space="preserve">« De ce soupir que faut-il que j’augure ? </w:t>
      </w:r>
      <w:r>
        <w:rPr>
          <w:rStyle w:val="NotedebasdepageCar"/>
          <w:rFonts w:ascii="Garamond" w:hAnsi="Garamond"/>
        </w:rPr>
        <w:t xml:space="preserve">/ </w:t>
      </w:r>
      <w:r>
        <w:rPr>
          <w:rStyle w:val="NotedebasdepageCar"/>
          <w:rFonts w:ascii="Garamond" w:hAnsi="Garamond"/>
        </w:rPr>
        <w:t xml:space="preserve">Du sang qui se révolte, est-ce quelque murmure ? […]</w:t>
      </w:r>
      <w:r>
        <w:rPr>
          <w:rStyle w:val="NotedebasdepageCar"/>
          <w:rFonts w:ascii="Garamond" w:hAnsi="Garamond"/>
        </w:rPr>
        <w:t xml:space="preserve"> / </w:t>
      </w:r>
      <w:r>
        <w:rPr>
          <w:rStyle w:val="NotedebasdepageCar"/>
          <w:rFonts w:ascii="Garamond" w:hAnsi="Garamond"/>
        </w:rPr>
        <w:t xml:space="preserve">Est-ce donc votre cœur qui vient de nous parler ? » (v. 281-284).</w:t>
      </w:r>
    </w:p>
  </w:footnote>
  <w:footnote w:type="normal" w:id="28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 Rohou, </w:t>
      </w:r>
      <w:r>
        <w:rPr>
          <w:rStyle w:val="NotedebasdepageCar"/>
          <w:rFonts w:ascii="Garamond" w:hAnsi="Garamond"/>
          <w:i/>
        </w:rPr>
        <w:t xml:space="preserve">L’Évolution du tragique racinien</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250.</w:t>
      </w:r>
    </w:p>
  </w:footnote>
  <w:footnote w:type="normal" w:id="28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Agamemnon invente le mariage pour faire venir Iphigénie</w:t>
      </w:r>
      <w:r>
        <w:rPr>
          <w:rStyle w:val="NotedebasdepageCar"/>
          <w:rFonts w:ascii="Garamond" w:hAnsi="Garamond"/>
        </w:rPr>
        <w:t xml:space="preserve">, </w:t>
      </w:r>
      <w:r>
        <w:rPr>
          <w:rStyle w:val="NotedebasdepageCar"/>
          <w:rFonts w:ascii="Garamond" w:hAnsi="Garamond"/>
        </w:rPr>
        <w:t xml:space="preserve">la rupture d’Achille pour faire rebrousser chemin à Iphigénie, ce qui est qualifié de « bruit imposteur » v. 775. </w:t>
      </w:r>
    </w:p>
  </w:footnote>
  <w:footnote w:type="normal" w:id="28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Baudoin, </w:t>
      </w:r>
      <w:r>
        <w:rPr>
          <w:rStyle w:val="NotedebasdepageCar"/>
          <w:rFonts w:ascii="Garamond" w:hAnsi="Garamond"/>
          <w:i/>
        </w:rPr>
        <w:t xml:space="preserve">Fables d’Esope Phygrien traduites et moralisées</w:t>
      </w:r>
      <w:r>
        <w:rPr>
          <w:rStyle w:val="NotedebasdepageCar"/>
          <w:rFonts w:ascii="Garamond" w:hAnsi="Garamond"/>
        </w:rPr>
        <w:t xml:space="preserve">, Paris, P. Rocolet, 1631, p. 281.</w:t>
      </w:r>
    </w:p>
  </w:footnote>
  <w:footnote w:type="normal" w:id="28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 Vous lisez de trop loin dans le secret des Dieux » v. 244. Selon Françoise Jaouën, Achille sent qu’il ne s’agit pas d’un problème d’interprétation (« </w:t>
      </w:r>
      <w:r>
        <w:rPr>
          <w:rStyle w:val="NotedebasdepageCar"/>
          <w:rFonts w:ascii="Garamond" w:hAnsi="Garamond"/>
          <w:i/>
        </w:rPr>
        <w:t xml:space="preserve">Iphigénie</w:t>
      </w:r>
      <w:r>
        <w:rPr>
          <w:rStyle w:val="NotedebasdepageCar"/>
          <w:rFonts w:ascii="Garamond" w:hAnsi="Garamond"/>
        </w:rPr>
        <w:t xml:space="preserve"> : poétique et politique du sacrifice », </w:t>
      </w:r>
      <w:r>
        <w:rPr>
          <w:rStyle w:val="NotedebasdepageCar"/>
          <w:rFonts w:ascii="Garamond" w:hAnsi="Garamond"/>
          <w:i/>
        </w:rPr>
        <w:t xml:space="preserve">Littérature</w:t>
      </w:r>
      <w:r>
        <w:rPr>
          <w:rStyle w:val="NotedebasdepageCar"/>
          <w:rFonts w:ascii="Garamond" w:hAnsi="Garamond"/>
        </w:rPr>
        <w:t xml:space="preserve">, n°103, octobre 1996, p. 3-19, ici p. 6). </w:t>
      </w:r>
    </w:p>
  </w:footnote>
  <w:footnote w:type="normal" w:id="28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Voir aussi v. 1374-1376.</w:t>
      </w:r>
    </w:p>
  </w:footnote>
  <w:footnote w:type="normal" w:id="28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Gilles Revaz part du présupposé que l’argumentation est le signe d’un discours royal, </w:t>
      </w:r>
      <w:r>
        <w:rPr>
          <w:rStyle w:val="NotedebasdepageCar"/>
          <w:rFonts w:ascii="Garamond" w:hAnsi="Garamond"/>
          <w:i/>
        </w:rPr>
        <w:t xml:space="preserve">La Représentation de la monarchie absolue dans le théâtre racinien</w:t>
      </w:r>
      <w:r>
        <w:rPr>
          <w:rStyle w:val="NotedebasdepageCar"/>
          <w:rFonts w:ascii="Garamond" w:hAnsi="Garamond"/>
        </w:rPr>
        <w:t xml:space="preserve">, Paris, Paris, Kimé, 1998, p. 51. Pourtant, il ne va pas de soi qu’un discours argumenté soit royal, dans la mesure où le roi, surtout en régime de monarchie absolue, n’a pas à convaincre son auditoire.</w:t>
      </w:r>
    </w:p>
  </w:footnote>
  <w:footnote w:type="normal" w:id="28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Maurice Delcroix, </w:t>
      </w:r>
      <w:r>
        <w:rPr>
          <w:rStyle w:val="NotedebasdepageCar"/>
          <w:rFonts w:ascii="Garamond" w:hAnsi="Garamond"/>
          <w:i/>
        </w:rPr>
        <w:t xml:space="preserve">Le Sacré dans les tragédies profanes de Racine</w:t>
      </w:r>
      <w:r>
        <w:rPr>
          <w:rStyle w:val="NotedebasdepageCar"/>
          <w:rFonts w:ascii="Garamond" w:hAnsi="Garamond"/>
        </w:rPr>
        <w:t xml:space="preserve">, Paris, Nizet, 1970, p. 22.</w:t>
      </w:r>
    </w:p>
  </w:footnote>
  <w:footnote w:type="normal" w:id="28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112.</w:t>
      </w:r>
    </w:p>
  </w:footnote>
  <w:footnote w:type="normal" w:id="28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Nicolas Coeffeteau, </w:t>
      </w:r>
      <w:r>
        <w:rPr>
          <w:rStyle w:val="NotedebasdepageCar"/>
          <w:rFonts w:ascii="Garamond" w:hAnsi="Garamond"/>
          <w:i/>
        </w:rPr>
        <w:t xml:space="preserve">Tableau des passions humaines </w:t>
      </w:r>
      <w:r>
        <w:rPr>
          <w:rStyle w:val="NotedebasdepageCar"/>
          <w:rFonts w:ascii="Garamond" w:hAnsi="Garamond"/>
        </w:rPr>
        <w:t xml:space="preserve">[1620], Paris, chez Jérémie Bouillerot, 1683, p. 292. </w:t>
      </w:r>
    </w:p>
  </w:footnote>
  <w:footnote w:type="normal" w:id="29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Furetière, </w:t>
      </w:r>
      <w:r>
        <w:rPr>
          <w:rStyle w:val="NotedebasdepageCar"/>
          <w:rFonts w:ascii="Garamond" w:hAnsi="Garamond"/>
          <w:i/>
        </w:rPr>
        <w:t xml:space="preserve">Dictionnaire universel</w:t>
      </w:r>
      <w:r>
        <w:rPr>
          <w:rStyle w:val="NotedebasdepageCar"/>
          <w:rFonts w:ascii="Garamond" w:hAnsi="Garamond"/>
        </w:rPr>
        <w:t xml:space="preserve">, </w:t>
      </w:r>
      <w:r>
        <w:rPr>
          <w:rStyle w:val="NotedebasdepageCar"/>
          <w:rFonts w:ascii="Garamond" w:hAnsi="Garamond"/>
          <w:i/>
        </w:rPr>
        <w:t xml:space="preserve">s.v.</w:t>
      </w:r>
      <w:r>
        <w:rPr>
          <w:rStyle w:val="NotedebasdepageCar"/>
          <w:rFonts w:ascii="Garamond" w:hAnsi="Garamond"/>
        </w:rPr>
        <w:t xml:space="preserve"> FLATTER : « se dit figurément en choses spirituelles. Flatter sa douleur, c'est-à-dire, l'adoucir par quelques réflexions morales. Flatter son amour, c'est-à-dire, Se donner de belles espérances. Flatter son imagination, c'est la repaître de chimères agréables. Je ne trouve rien qui flatte mon esprit en ce gros livre. »</w:t>
      </w:r>
      <w:r>
        <w:rPr>
          <w:rStyle w:val="NotedebasdepageCar"/>
          <w:rFonts w:ascii="Garamond" w:hAnsi="Garamond"/>
        </w:rPr>
        <w:t xml:space="preserve"> </w:t>
      </w:r>
    </w:p>
  </w:footnote>
  <w:footnote w:type="normal" w:id="29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La </w:t>
      </w:r>
      <w:r>
        <w:rPr>
          <w:rStyle w:val="NotedebasdepageCar"/>
          <w:rFonts w:ascii="Garamond" w:hAnsi="Garamond"/>
          <w:i/>
        </w:rPr>
        <w:t xml:space="preserve">R</w:t>
      </w:r>
      <w:r>
        <w:rPr>
          <w:rStyle w:val="NotedebasdepageCar"/>
          <w:rFonts w:ascii="Garamond" w:hAnsi="Garamond"/>
          <w:i/>
        </w:rPr>
        <w:t xml:space="preserve">hétorique d’Aristote en français</w:t>
      </w:r>
      <w:r>
        <w:rPr>
          <w:rStyle w:val="NotedebasdepageCar"/>
          <w:rFonts w:ascii="Garamond" w:hAnsi="Garamond"/>
        </w:rPr>
        <w:t xml:space="preserve">, Lyon, chez Antoine et Horace Molin, 1691, II, 5, p. 207. </w:t>
      </w:r>
    </w:p>
  </w:footnote>
  <w:footnote w:type="normal" w:id="29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Rhétorique françoise</w:t>
      </w:r>
      <w:r>
        <w:rPr>
          <w:rStyle w:val="NotedebasdepageCar"/>
          <w:rFonts w:ascii="Garamond" w:hAnsi="Garamond"/>
        </w:rPr>
        <w:t xml:space="preserve"> </w:t>
      </w:r>
      <w:r>
        <w:rPr>
          <w:rStyle w:val="NotedebasdepageCar"/>
          <w:rFonts w:ascii="Garamond" w:hAnsi="Garamond"/>
          <w:i/>
        </w:rPr>
        <w:t xml:space="preserve">contenant les principales règles de l’éloquence de la chaire</w:t>
      </w:r>
      <w:r>
        <w:rPr>
          <w:rStyle w:val="NotedebasdepageCar"/>
          <w:rFonts w:ascii="Garamond" w:hAnsi="Garamond"/>
        </w:rPr>
        <w:t xml:space="preserve"> [1673], Paris, chez Pierre Le Monnier, 1675, p. 150. </w:t>
      </w:r>
    </w:p>
  </w:footnote>
  <w:footnote w:type="normal" w:id="29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Jean-François Senault, </w:t>
      </w:r>
      <w:r>
        <w:rPr>
          <w:rStyle w:val="NotedebasdepageCar"/>
          <w:rFonts w:ascii="Garamond" w:hAnsi="Garamond"/>
          <w:i/>
        </w:rPr>
        <w:t xml:space="preserve">De l’Usage des passions</w:t>
      </w:r>
      <w:r>
        <w:rPr>
          <w:rStyle w:val="NotedebasdepageCar"/>
          <w:rFonts w:ascii="Garamond" w:hAnsi="Garamond"/>
        </w:rPr>
        <w:t xml:space="preserve"> [1641], Paris, chez Laurens Raveneau, 1669, p. 211. </w:t>
      </w:r>
    </w:p>
  </w:footnote>
  <w:footnote w:type="normal" w:id="29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Rhétorique françoise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151. </w:t>
      </w:r>
    </w:p>
  </w:footnote>
  <w:footnote w:type="normal" w:id="29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Nicolas Coeffeteau, </w:t>
      </w:r>
      <w:r>
        <w:rPr>
          <w:rStyle w:val="NotedebasdepageCar"/>
          <w:rFonts w:ascii="Garamond" w:hAnsi="Garamond"/>
          <w:i/>
        </w:rPr>
        <w:t xml:space="preserve">op. cit.,</w:t>
      </w:r>
      <w:r>
        <w:rPr>
          <w:rStyle w:val="NotedebasdepageCar"/>
          <w:rFonts w:ascii="Garamond" w:hAnsi="Garamond"/>
        </w:rPr>
        <w:t xml:space="preserve"> p. 300. À quoi fait écho Achille : « Votre </w:t>
      </w:r>
      <w:r>
        <w:rPr>
          <w:rStyle w:val="NotedebasdepageCar"/>
          <w:rFonts w:ascii="Garamond" w:hAnsi="Garamond"/>
        </w:rPr>
        <w:t xml:space="preserve">F</w:t>
      </w:r>
      <w:r>
        <w:rPr>
          <w:rStyle w:val="NotedebasdepageCar"/>
          <w:rFonts w:ascii="Garamond" w:hAnsi="Garamond"/>
        </w:rPr>
        <w:t xml:space="preserve">ille vivra, je puis vous le prédire. / Croyez du moins, croyez que tant que je respire, / Les </w:t>
      </w:r>
      <w:r>
        <w:rPr>
          <w:rStyle w:val="NotedebasdepageCar"/>
          <w:rFonts w:ascii="Garamond" w:hAnsi="Garamond"/>
        </w:rPr>
        <w:t xml:space="preserve">D</w:t>
      </w:r>
      <w:r>
        <w:rPr>
          <w:rStyle w:val="NotedebasdepageCar"/>
          <w:rFonts w:ascii="Garamond" w:hAnsi="Garamond"/>
        </w:rPr>
        <w:t xml:space="preserve">ieux auront en vain ordonné son trépas. / Cet </w:t>
      </w:r>
      <w:r>
        <w:rPr>
          <w:rStyle w:val="NotedebasdepageCar"/>
          <w:rFonts w:ascii="Garamond" w:hAnsi="Garamond"/>
        </w:rPr>
        <w:t xml:space="preserve">O</w:t>
      </w:r>
      <w:r>
        <w:rPr>
          <w:rStyle w:val="NotedebasdepageCar"/>
          <w:rFonts w:ascii="Garamond" w:hAnsi="Garamond"/>
        </w:rPr>
        <w:t xml:space="preserve">racle est plus sûr que celui de Calchas. » (III, 7, v. 1081-1084).</w:t>
      </w:r>
    </w:p>
  </w:footnote>
  <w:footnote w:type="normal" w:id="29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297 : « l’Espérance est toujours détrempée de quelque crainte, à cause des obstacles qui se présentent, et qui peuvent empêcher que l’homme ne parvienne à ce qu’il espère. En quoi elle diffère d’avec le désir, qui s’étend généralement à toute sorte de bien, sans s’y figurer de la difficulté ».</w:t>
      </w:r>
      <w:r>
        <w:rPr>
          <w:rStyle w:val="NotedebasdepageCar"/>
          <w:rFonts w:ascii="Garamond" w:hAnsi="Garamond"/>
        </w:rPr>
        <w:t xml:space="preserve"> </w:t>
      </w:r>
    </w:p>
  </w:footnote>
  <w:footnote w:type="normal" w:id="29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20. De même Jean-François Senault, </w:t>
      </w:r>
      <w:r>
        <w:rPr>
          <w:rStyle w:val="NotedebasdepageCar"/>
          <w:rFonts w:ascii="Garamond" w:hAnsi="Garamond"/>
          <w:i/>
        </w:rPr>
        <w:t xml:space="preserve">De l’Usage des passions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295 (qui conserve malgré tout les catégories thomistes qu’il a mises en doute en I, 1, 3</w:t>
      </w:r>
      <w:r>
        <w:rPr>
          <w:rStyle w:val="NotedebasdepageCar"/>
          <w:rFonts w:ascii="Garamond" w:hAnsi="Garamond"/>
        </w:rPr>
        <w:t xml:space="preserve">e</w:t>
      </w:r>
      <w:r>
        <w:rPr>
          <w:rStyle w:val="NotedebasdepageCar"/>
          <w:rFonts w:ascii="Garamond" w:hAnsi="Garamond"/>
        </w:rPr>
        <w:t xml:space="preserve"> discours). Voir </w:t>
      </w:r>
      <w:r>
        <w:rPr>
          <w:rStyle w:val="NotedebasdepageCar"/>
          <w:rFonts w:ascii="Garamond" w:hAnsi="Garamond"/>
          <w:i/>
        </w:rPr>
        <w:t xml:space="preserve">Somme théologique</w:t>
      </w:r>
      <w:r>
        <w:rPr>
          <w:rStyle w:val="NotedebasdepageCar"/>
          <w:rFonts w:ascii="Garamond" w:hAnsi="Garamond"/>
        </w:rPr>
        <w:t xml:space="preserve">, 1a2ae, q. 25, art. 1. (définition des passions irascibles par rapport à l’appétit concupiscible).</w:t>
      </w:r>
    </w:p>
  </w:footnote>
  <w:footnote w:type="normal" w:id="29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Bernard Lamy, </w:t>
      </w:r>
      <w:r>
        <w:rPr>
          <w:rStyle w:val="NotedebasdepageCar"/>
          <w:rFonts w:ascii="Garamond" w:hAnsi="Garamond"/>
          <w:i/>
        </w:rPr>
        <w:t xml:space="preserve">La Rhétorique ou l’Art de parler</w:t>
      </w:r>
      <w:r>
        <w:rPr>
          <w:rStyle w:val="NotedebasdepageCar"/>
          <w:rFonts w:ascii="Garamond" w:hAnsi="Garamond"/>
        </w:rPr>
        <w:t xml:space="preserve"> [1688], Paris, chez Pierre Paupie, 1737, p. 622. </w:t>
      </w:r>
    </w:p>
  </w:footnote>
  <w:footnote w:type="normal" w:id="29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La Bruyère, </w:t>
      </w:r>
      <w:r>
        <w:rPr>
          <w:rStyle w:val="NotedebasdepageCar"/>
          <w:rFonts w:ascii="Garamond" w:hAnsi="Garamond"/>
          <w:i/>
        </w:rPr>
        <w:t xml:space="preserve">Les Caractères,</w:t>
      </w:r>
      <w:r>
        <w:rPr>
          <w:rStyle w:val="NotedebasdepageCar"/>
          <w:rFonts w:ascii="Garamond" w:hAnsi="Garamond"/>
        </w:rPr>
        <w:t xml:space="preserve"> « Des ouvrages de l’esprit », 51. </w:t>
      </w:r>
    </w:p>
  </w:footnote>
  <w:footnote w:type="normal" w:id="30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Abbé d’Aubignac, </w:t>
      </w:r>
      <w:r>
        <w:rPr>
          <w:rStyle w:val="NotedebasdepageCar"/>
          <w:rFonts w:ascii="Garamond" w:hAnsi="Garamond"/>
          <w:i/>
        </w:rPr>
        <w:t xml:space="preserve">La Pratique du théâtre</w:t>
      </w:r>
      <w:r>
        <w:rPr>
          <w:rStyle w:val="NotedebasdepageCar"/>
          <w:rFonts w:ascii="Garamond" w:hAnsi="Garamond"/>
        </w:rPr>
        <w:t xml:space="preserve"> [1657], éd. H. Baby, Paris, Champion Classiques, 2011 (rééd.), p.</w:t>
      </w:r>
      <w:r>
        <w:rPr>
          <w:rStyle w:val="NotedebasdepageCar"/>
          <w:rFonts w:ascii="Garamond" w:hAnsi="Garamond"/>
        </w:rPr>
        <w:t xml:space="preserve"> </w:t>
      </w:r>
      <w:r>
        <w:rPr>
          <w:rStyle w:val="NotedebasdepageCar"/>
          <w:rFonts w:ascii="Garamond" w:hAnsi="Garamond"/>
        </w:rPr>
        <w:t xml:space="preserve">460. </w:t>
      </w:r>
    </w:p>
  </w:footnote>
  <w:footnote w:type="normal" w:id="30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403. </w:t>
      </w:r>
    </w:p>
  </w:footnote>
  <w:footnote w:type="normal" w:id="30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144. </w:t>
      </w:r>
    </w:p>
  </w:footnote>
  <w:footnote w:type="normal" w:id="30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 D. Lyons, « Le démon de l’inquiétude : la passion dans la théorie de la tragédie », </w:t>
      </w:r>
      <w:r>
        <w:rPr>
          <w:rStyle w:val="NotedebasdepageCar"/>
          <w:rFonts w:ascii="Garamond" w:hAnsi="Garamond"/>
          <w:i/>
        </w:rPr>
        <w:t xml:space="preserve">XVII</w:t>
      </w:r>
      <w:r>
        <w:rPr>
          <w:rStyle w:val="NotedebasdepageCar"/>
          <w:rFonts w:ascii="Garamond" w:hAnsi="Garamond"/>
          <w:i/>
        </w:rPr>
        <w:t xml:space="preserve">e</w:t>
      </w:r>
      <w:r>
        <w:rPr>
          <w:rStyle w:val="NotedebasdepageCar"/>
          <w:rFonts w:ascii="Garamond" w:hAnsi="Garamond"/>
          <w:i/>
        </w:rPr>
        <w:t xml:space="preserve"> siècle</w:t>
      </w:r>
      <w:r>
        <w:rPr>
          <w:rStyle w:val="NotedebasdepageCar"/>
          <w:rFonts w:ascii="Garamond" w:hAnsi="Garamond"/>
        </w:rPr>
        <w:t xml:space="preserve">, n° 185, 1994, p. 792. Sur la supériorité théorique de Rapin sur d’Aubignac en ce point, voir Georges Forestier, </w:t>
      </w:r>
      <w:r>
        <w:rPr>
          <w:rStyle w:val="NotedebasdepageCar"/>
          <w:rFonts w:ascii="Garamond" w:hAnsi="Garamond"/>
          <w:i/>
        </w:rPr>
        <w:t xml:space="preserve">La Tragédie française, </w:t>
      </w:r>
      <w:r>
        <w:rPr>
          <w:rStyle w:val="NotedebasdepageCar"/>
          <w:rFonts w:ascii="Garamond" w:hAnsi="Garamond"/>
        </w:rPr>
        <w:t xml:space="preserve">Paris, Armand Colin, 2016, p. 127. </w:t>
      </w:r>
    </w:p>
  </w:footnote>
  <w:footnote w:type="normal" w:id="30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J’emprunte le vocabulaire à Georges Forestier, </w:t>
      </w:r>
      <w:r>
        <w:rPr>
          <w:rStyle w:val="NotedebasdepageCar"/>
          <w:rFonts w:ascii="Garamond" w:hAnsi="Garamond"/>
          <w:i/>
        </w:rPr>
        <w:t xml:space="preserve">La Tragédie française, op. cit., </w:t>
      </w:r>
      <w:r>
        <w:rPr>
          <w:rStyle w:val="NotedebasdepageCar"/>
          <w:rFonts w:ascii="Garamond" w:hAnsi="Garamond"/>
        </w:rPr>
        <w:t xml:space="preserve">p. 114. </w:t>
      </w:r>
    </w:p>
  </w:footnote>
  <w:footnote w:type="normal" w:id="30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Richelet définit ainsi la suspension dans Pierre Richelet, </w:t>
      </w:r>
      <w:r>
        <w:rPr>
          <w:rStyle w:val="NotedebasdepageCar"/>
          <w:rFonts w:ascii="Garamond" w:hAnsi="Garamond"/>
          <w:i/>
        </w:rPr>
        <w:t xml:space="preserve">Dictionnaire français</w:t>
      </w:r>
      <w:r>
        <w:rPr>
          <w:rStyle w:val="NotedebasdepageCar"/>
          <w:rFonts w:ascii="Garamond" w:hAnsi="Garamond"/>
        </w:rPr>
        <w:t xml:space="preserve">, Genève, J. H. Widerhold, 1680 : « Terme de Rétorique. Figure qui consiste à suspendre agréablement l’esprit des auditeurs et à leur dire ensuite des choses qui les surprennent avec plaisir. » Voir l’enquête de Lise Charles, « De la suspension au suspense », </w:t>
      </w:r>
      <w:r>
        <w:rPr>
          <w:rStyle w:val="NotedebasdepageCar"/>
          <w:rFonts w:ascii="Garamond" w:hAnsi="Garamond"/>
          <w:i/>
        </w:rPr>
        <w:t xml:space="preserve">Littératures classiques</w:t>
      </w:r>
      <w:r>
        <w:rPr>
          <w:rStyle w:val="NotedebasdepageCar"/>
          <w:rFonts w:ascii="Garamond" w:hAnsi="Garamond"/>
        </w:rPr>
        <w:t xml:space="preserve">, vol. 96, 2018, p. 73-84.</w:t>
      </w:r>
    </w:p>
  </w:footnote>
  <w:footnote w:type="normal" w:id="30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Abbé d’Aubignac, </w:t>
      </w:r>
      <w:r>
        <w:rPr>
          <w:rStyle w:val="NotedebasdepageCar"/>
          <w:rFonts w:ascii="Garamond" w:hAnsi="Garamond"/>
          <w:i/>
        </w:rPr>
        <w:t xml:space="preserve">op. cit</w:t>
      </w:r>
      <w:r>
        <w:rPr>
          <w:rStyle w:val="NotedebasdepageCar"/>
          <w:rFonts w:ascii="Garamond" w:hAnsi="Garamond"/>
        </w:rPr>
        <w:t xml:space="preserve">., p. 146. </w:t>
      </w:r>
    </w:p>
  </w:footnote>
  <w:footnote w:type="normal" w:id="30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Il faudrait de ce point de vue regarder plus précisément le lien entre espérance et péripétie, dont Jacques Scherer, (</w:t>
      </w:r>
      <w:r>
        <w:rPr>
          <w:rStyle w:val="NotedebasdepageCar"/>
          <w:rFonts w:ascii="Garamond" w:hAnsi="Garamond"/>
          <w:i/>
        </w:rPr>
        <w:t xml:space="preserve">La dramaturgie classique</w:t>
      </w:r>
      <w:r>
        <w:rPr>
          <w:rStyle w:val="NotedebasdepageCar"/>
          <w:rFonts w:ascii="Garamond" w:hAnsi="Garamond"/>
        </w:rPr>
        <w:t xml:space="preserve"> [1950], Paris, Armand Colin, 2014, p. 125-126) souligne la réversibilité. </w:t>
      </w:r>
      <w:r>
        <w:rPr>
          <w:rStyle w:val="NotedebasdepageCar"/>
          <w:rFonts w:ascii="Garamond" w:hAnsi="Garamond"/>
        </w:rPr>
        <w:t xml:space="preserve"> </w:t>
      </w:r>
    </w:p>
  </w:footnote>
  <w:footnote w:type="normal" w:id="30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L’importance de l’espérance, discrètement reconnue par le XVII</w:t>
      </w:r>
      <w:r>
        <w:rPr>
          <w:rStyle w:val="NotedebasdepageCar"/>
          <w:rFonts w:ascii="Garamond" w:hAnsi="Garamond"/>
        </w:rPr>
        <w:t xml:space="preserve">e</w:t>
      </w:r>
      <w:r>
        <w:rPr>
          <w:rStyle w:val="NotedebasdepageCar"/>
          <w:rFonts w:ascii="Garamond" w:hAnsi="Garamond"/>
        </w:rPr>
        <w:t xml:space="preserve"> siècle, est nette dans certaines théories du </w:t>
      </w:r>
      <w:r>
        <w:rPr>
          <w:rStyle w:val="NotedebasdepageCar"/>
          <w:rFonts w:ascii="Garamond" w:hAnsi="Garamond"/>
          <w:i/>
        </w:rPr>
        <w:t xml:space="preserve">suspense</w:t>
      </w:r>
      <w:r>
        <w:rPr>
          <w:rStyle w:val="NotedebasdepageCar"/>
          <w:rFonts w:ascii="Garamond" w:hAnsi="Garamond"/>
        </w:rPr>
        <w:t xml:space="preserve"> ; voir Andrew Ortony, Gerald L. Clore, et Allan Collins, </w:t>
      </w:r>
      <w:r>
        <w:rPr>
          <w:rStyle w:val="NotedebasdepageCar"/>
          <w:rFonts w:ascii="Garamond" w:hAnsi="Garamond"/>
          <w:i/>
        </w:rPr>
        <w:t xml:space="preserve">The Cognitive Structure of Emotions</w:t>
      </w:r>
      <w:r>
        <w:rPr>
          <w:rStyle w:val="NotedebasdepageCar"/>
          <w:rFonts w:ascii="Garamond" w:hAnsi="Garamond"/>
        </w:rPr>
        <w:t xml:space="preserve">, Cambridge, Cambridge University Press 1998, et Robert Madrigal, Colleen Bee et Johnny Chen, « Hope and fear in the experience of suspense », </w:t>
      </w:r>
      <w:r>
        <w:rPr>
          <w:rStyle w:val="NotedebasdepageCar"/>
          <w:rFonts w:ascii="Garamond" w:hAnsi="Garamond"/>
          <w:i/>
        </w:rPr>
        <w:t xml:space="preserve">Cognition and Emotion</w:t>
      </w:r>
      <w:r>
        <w:rPr>
          <w:rStyle w:val="NotedebasdepageCar"/>
          <w:rFonts w:ascii="Garamond" w:hAnsi="Garamond"/>
        </w:rPr>
        <w:t xml:space="preserve">, vol. 36, 2022, p. 1074-1092.</w:t>
      </w:r>
    </w:p>
  </w:footnote>
  <w:footnote w:type="normal" w:id="30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Comme le dit Corneille, « il est certain que nous ne saurions voir un honnête homme sur notre théâtre sans lui souhaiter de la prospérité, et nous fâcher de ses infortunes » (</w:t>
      </w:r>
      <w:r>
        <w:rPr>
          <w:rStyle w:val="NotedebasdepageCar"/>
          <w:rFonts w:ascii="Garamond" w:hAnsi="Garamond"/>
          <w:i/>
        </w:rPr>
        <w:t xml:space="preserve">Trois discours sur le poème dramatique</w:t>
      </w:r>
      <w:r>
        <w:rPr>
          <w:rStyle w:val="NotedebasdepageCar"/>
          <w:rFonts w:ascii="Garamond" w:hAnsi="Garamond"/>
        </w:rPr>
        <w:t xml:space="preserve">, « Discours de l’utilité des parties du poème dramatique », éd. M</w:t>
      </w:r>
      <w:r>
        <w:rPr>
          <w:rStyle w:val="NotedebasdepageCar"/>
          <w:rFonts w:ascii="Garamond" w:hAnsi="Garamond"/>
        </w:rPr>
        <w:t xml:space="preserve">arc</w:t>
      </w:r>
      <w:r>
        <w:rPr>
          <w:rStyle w:val="NotedebasdepageCar"/>
          <w:rFonts w:ascii="Garamond" w:hAnsi="Garamond"/>
        </w:rPr>
        <w:t xml:space="preserve"> Escola et B</w:t>
      </w:r>
      <w:r>
        <w:rPr>
          <w:rStyle w:val="NotedebasdepageCar"/>
          <w:rFonts w:ascii="Garamond" w:hAnsi="Garamond"/>
        </w:rPr>
        <w:t xml:space="preserve">énédicte</w:t>
      </w:r>
      <w:r>
        <w:rPr>
          <w:rStyle w:val="NotedebasdepageCar"/>
          <w:rFonts w:ascii="Garamond" w:hAnsi="Garamond"/>
        </w:rPr>
        <w:t xml:space="preserve"> Louvat, Paris, Flammarion, « GF », p. 71). </w:t>
      </w:r>
    </w:p>
  </w:footnote>
  <w:footnote w:type="normal" w:id="31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D’Aubignac, </w:t>
      </w:r>
      <w:r>
        <w:rPr>
          <w:rStyle w:val="NotedebasdepageCar"/>
          <w:rFonts w:ascii="Garamond" w:hAnsi="Garamond"/>
          <w:i/>
        </w:rPr>
        <w:t xml:space="preserve">op. cit</w:t>
      </w:r>
      <w:r>
        <w:rPr>
          <w:rStyle w:val="NotedebasdepageCar"/>
          <w:rFonts w:ascii="Garamond" w:hAnsi="Garamond"/>
        </w:rPr>
        <w:t xml:space="preserve">., p. 219. </w:t>
      </w:r>
    </w:p>
  </w:footnote>
  <w:footnote w:type="normal" w:id="31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205. </w:t>
      </w:r>
    </w:p>
  </w:footnote>
  <w:footnote w:type="normal" w:id="31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219.</w:t>
      </w:r>
      <w:r>
        <w:rPr>
          <w:rStyle w:val="NotedebasdepageCar"/>
          <w:rFonts w:ascii="Garamond" w:hAnsi="Garamond"/>
        </w:rPr>
        <w:t xml:space="preserve"> </w:t>
      </w:r>
    </w:p>
  </w:footnote>
  <w:footnote w:type="normal" w:id="31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Tristan Alonge, </w:t>
      </w:r>
      <w:r>
        <w:rPr>
          <w:rStyle w:val="NotedebasdepageCar"/>
          <w:rFonts w:ascii="Garamond" w:hAnsi="Garamond"/>
          <w:i/>
        </w:rPr>
        <w:t xml:space="preserve">Racine et Euripide. La révolution trahie</w:t>
      </w:r>
      <w:r>
        <w:rPr>
          <w:rStyle w:val="NotedebasdepageCar"/>
          <w:rFonts w:ascii="Garamond" w:hAnsi="Garamond"/>
        </w:rPr>
        <w:t xml:space="preserve">, Genève, Droz, 2017, p. 279. </w:t>
      </w:r>
    </w:p>
  </w:footnote>
  <w:footnote w:type="normal" w:id="31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D’Aubignac, </w:t>
      </w:r>
      <w:r>
        <w:rPr>
          <w:rStyle w:val="NotedebasdepageCar"/>
          <w:rFonts w:ascii="Garamond" w:hAnsi="Garamond"/>
          <w:i/>
        </w:rPr>
        <w:t xml:space="preserve">op. cit</w:t>
      </w:r>
      <w:r>
        <w:rPr>
          <w:rStyle w:val="NotedebasdepageCar"/>
          <w:rFonts w:ascii="Garamond" w:hAnsi="Garamond"/>
        </w:rPr>
        <w:t xml:space="preserve">., p. 119. </w:t>
      </w:r>
    </w:p>
  </w:footnote>
  <w:footnote w:type="normal" w:id="31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Nina Ekstein, « The Weight of the Future in Racine’s Theater », </w:t>
      </w:r>
      <w:r>
        <w:rPr>
          <w:rStyle w:val="NotedebasdepageCar"/>
          <w:rFonts w:ascii="Garamond" w:hAnsi="Garamond"/>
          <w:i/>
        </w:rPr>
        <w:t xml:space="preserve">Alteratives,</w:t>
      </w:r>
      <w:r>
        <w:rPr>
          <w:rStyle w:val="NotedebasdepageCar"/>
          <w:rFonts w:ascii="Garamond" w:hAnsi="Garamond"/>
        </w:rPr>
        <w:t xml:space="preserve"> éd. Warren Motte et Gerald Prince, </w:t>
      </w:r>
      <w:r>
        <w:rPr>
          <w:rStyle w:val="NotedebasdepageCar"/>
          <w:rFonts w:ascii="Garamond" w:hAnsi="Garamond"/>
          <w:i/>
        </w:rPr>
        <w:t xml:space="preserve">French Forum</w:t>
      </w:r>
      <w:r>
        <w:rPr>
          <w:rStyle w:val="NotedebasdepageCar"/>
          <w:rFonts w:ascii="Garamond" w:hAnsi="Garamond"/>
        </w:rPr>
        <w:t xml:space="preserve">, vol. 82, 1993, p. 59-71. </w:t>
      </w:r>
    </w:p>
  </w:footnote>
  <w:footnote w:type="normal" w:id="31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Georges Forestier, </w:t>
      </w:r>
      <w:r>
        <w:rPr>
          <w:rStyle w:val="NotedebasdepageCar"/>
          <w:rFonts w:ascii="Garamond" w:hAnsi="Garamond"/>
          <w:i/>
        </w:rPr>
        <w:t xml:space="preserve">op. cit</w:t>
      </w:r>
      <w:r>
        <w:rPr>
          <w:rStyle w:val="NotedebasdepageCar"/>
          <w:rFonts w:ascii="Garamond" w:hAnsi="Garamond"/>
        </w:rPr>
        <w:t xml:space="preserve">., p. 186. </w:t>
      </w:r>
    </w:p>
  </w:footnote>
  <w:footnote w:type="normal" w:id="31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de Guardia </w:t>
      </w:r>
      <w:r>
        <w:rPr>
          <w:rStyle w:val="NotedebasdepageCar"/>
          <w:rFonts w:ascii="Garamond" w:hAnsi="Garamond"/>
          <w:i/>
        </w:rPr>
        <w:t xml:space="preserve">Logique du genre dramatique</w:t>
      </w:r>
      <w:r>
        <w:rPr>
          <w:rStyle w:val="NotedebasdepageCar"/>
          <w:rFonts w:ascii="Garamond" w:hAnsi="Garamond"/>
        </w:rPr>
        <w:t xml:space="preserve">, Genève, Droz, 2018, p. 263. </w:t>
      </w:r>
    </w:p>
  </w:footnote>
  <w:footnote w:type="normal" w:id="31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Nina Ekstein, « The </w:t>
      </w:r>
      <w:r>
        <w:rPr>
          <w:rStyle w:val="NotedebasdepageCar"/>
          <w:rFonts w:ascii="Garamond" w:hAnsi="Garamond"/>
        </w:rPr>
        <w:t xml:space="preserve">D</w:t>
      </w:r>
      <w:r>
        <w:rPr>
          <w:rStyle w:val="NotedebasdepageCar"/>
          <w:rFonts w:ascii="Garamond" w:hAnsi="Garamond"/>
        </w:rPr>
        <w:t xml:space="preserve">estabilisation of the </w:t>
      </w:r>
      <w:r>
        <w:rPr>
          <w:rStyle w:val="NotedebasdepageCar"/>
          <w:rFonts w:ascii="Garamond" w:hAnsi="Garamond"/>
        </w:rPr>
        <w:t xml:space="preserve">F</w:t>
      </w:r>
      <w:r>
        <w:rPr>
          <w:rStyle w:val="NotedebasdepageCar"/>
          <w:rFonts w:ascii="Garamond" w:hAnsi="Garamond"/>
        </w:rPr>
        <w:t xml:space="preserve">uture in Racine’s </w:t>
      </w:r>
      <w:r>
        <w:rPr>
          <w:rStyle w:val="NotedebasdepageCar"/>
          <w:rFonts w:ascii="Garamond" w:hAnsi="Garamond"/>
          <w:i/>
        </w:rPr>
        <w:t xml:space="preserve">Iphigénie</w:t>
      </w:r>
      <w:r>
        <w:rPr>
          <w:rStyle w:val="NotedebasdepageCar"/>
          <w:rFonts w:ascii="Garamond" w:hAnsi="Garamond"/>
        </w:rPr>
        <w:t xml:space="preserve"> », </w:t>
      </w:r>
      <w:r>
        <w:rPr>
          <w:rStyle w:val="NotedebasdepageCar"/>
          <w:rFonts w:ascii="Garamond" w:hAnsi="Garamond"/>
          <w:i/>
        </w:rPr>
        <w:t xml:space="preserve">French Review</w:t>
      </w:r>
      <w:r>
        <w:rPr>
          <w:rStyle w:val="NotedebasdepageCar"/>
          <w:rFonts w:ascii="Garamond" w:hAnsi="Garamond"/>
        </w:rPr>
        <w:t xml:space="preserve">, vol. 6, 1992-1993, p. 919-931. </w:t>
      </w:r>
    </w:p>
  </w:footnote>
  <w:footnote w:type="normal" w:id="31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Y compris dans le sens de la « causalité délibérative » dont rend compte Jean de Guardia, </w:t>
      </w:r>
      <w:r>
        <w:rPr>
          <w:rStyle w:val="NotedebasdepageCar"/>
          <w:rFonts w:ascii="Garamond" w:hAnsi="Garamond"/>
          <w:i/>
        </w:rPr>
        <w:t xml:space="preserve">op. cit</w:t>
      </w:r>
      <w:r>
        <w:rPr>
          <w:rStyle w:val="NotedebasdepageCar"/>
          <w:rFonts w:ascii="Garamond" w:hAnsi="Garamond"/>
        </w:rPr>
        <w:t xml:space="preserve">., p. 165 -187, qui dépend des choix préférentiels des personnages et non des types qu’ils incarnent.</w:t>
      </w:r>
      <w:r>
        <w:rPr>
          <w:rStyle w:val="NotedebasdepageCar"/>
          <w:rFonts w:ascii="Garamond" w:hAnsi="Garamond"/>
        </w:rPr>
        <w:t xml:space="preserve"> </w:t>
      </w:r>
    </w:p>
  </w:footnote>
  <w:footnote w:type="normal" w:id="32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Tristan Alonge, </w:t>
      </w:r>
      <w:r>
        <w:rPr>
          <w:rStyle w:val="NotedebasdepageCar"/>
          <w:rFonts w:ascii="Garamond" w:hAnsi="Garamond"/>
          <w:i/>
        </w:rPr>
        <w:t xml:space="preserve">Les Origines grecques de la tragédie française</w:t>
      </w:r>
      <w:r>
        <w:rPr>
          <w:rStyle w:val="NotedebasdepageCar"/>
          <w:rFonts w:ascii="Garamond" w:hAnsi="Garamond"/>
        </w:rPr>
        <w:t xml:space="preserve">. </w:t>
      </w:r>
      <w:r>
        <w:rPr>
          <w:rStyle w:val="NotedebasdepageCar"/>
          <w:rFonts w:ascii="Garamond" w:hAnsi="Garamond"/>
          <w:i/>
        </w:rPr>
        <w:t xml:space="preserve">Une occasion manquée</w:t>
      </w:r>
      <w:r>
        <w:rPr>
          <w:rStyle w:val="NotedebasdepageCar"/>
          <w:rFonts w:ascii="Garamond" w:hAnsi="Garamond"/>
        </w:rPr>
        <w:t xml:space="preserve">, Paris, Hermann, 2021, p. 463. </w:t>
      </w:r>
    </w:p>
  </w:footnote>
  <w:footnote w:type="normal" w:id="32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également Jérôme Lecompte, « Tragédie et question primordiale : le modèle de la suasoire dans l’</w:t>
      </w:r>
      <w:r>
        <w:rPr>
          <w:rStyle w:val="NotedebasdepageCar"/>
          <w:rFonts w:ascii="Garamond" w:hAnsi="Garamond"/>
          <w:i/>
        </w:rPr>
        <w:t xml:space="preserve">Iphigénie</w:t>
      </w:r>
      <w:r>
        <w:rPr>
          <w:rStyle w:val="NotedebasdepageCar"/>
          <w:rFonts w:ascii="Garamond" w:hAnsi="Garamond"/>
        </w:rPr>
        <w:t xml:space="preserve"> de Racine » (dans </w:t>
      </w:r>
      <w:r>
        <w:rPr>
          <w:rStyle w:val="NotedebasdepageCar"/>
          <w:rFonts w:ascii="Garamond" w:hAnsi="Garamond"/>
          <w:i/>
        </w:rPr>
        <w:t xml:space="preserve">Congrès Mondial de Linguistique Française 2008</w:t>
      </w:r>
      <w:r>
        <w:rPr>
          <w:rStyle w:val="NotedebasdepageCar"/>
          <w:rFonts w:ascii="Garamond" w:hAnsi="Garamond"/>
        </w:rPr>
        <w:t xml:space="preserve">. Les Ulis, France, EDP Sciences, 2008. URL : http://dx.doi.org/10.1051/cmlf08081) qui étudie dans la pièce le modèle de la suasoire et la tension délibérative qu’il impose, entre figuration du possible et de l’impossible. L’irrésolution, imposant une « temporalité suspensive et prospective », est alors élevée au rang de matrice d’un théâtre par définition suasorial. </w:t>
      </w:r>
    </w:p>
  </w:footnote>
  <w:footnote w:type="normal" w:id="32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Françoise Jaouën, « Iphigénie : poétique et politique du sacrifice », </w:t>
      </w:r>
      <w:r>
        <w:rPr>
          <w:rStyle w:val="NotedebasdepageCar"/>
          <w:rFonts w:ascii="Garamond" w:hAnsi="Garamond"/>
          <w:i/>
        </w:rPr>
        <w:t xml:space="preserve">Littérature</w:t>
      </w:r>
      <w:r>
        <w:rPr>
          <w:rStyle w:val="NotedebasdepageCar"/>
          <w:rFonts w:ascii="Garamond" w:hAnsi="Garamond"/>
        </w:rPr>
        <w:t xml:space="preserve">, n° 103, 1996, p. 7.  </w:t>
      </w:r>
    </w:p>
  </w:footnote>
  <w:footnote w:type="normal" w:id="32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D’Aubignac, </w:t>
      </w:r>
      <w:r>
        <w:rPr>
          <w:rStyle w:val="NotedebasdepageCar"/>
          <w:rFonts w:ascii="Garamond" w:hAnsi="Garamond"/>
          <w:i/>
        </w:rPr>
        <w:t xml:space="preserve">op. cit.,</w:t>
      </w:r>
      <w:r>
        <w:rPr>
          <w:rStyle w:val="NotedebasdepageCar"/>
          <w:rFonts w:ascii="Garamond" w:hAnsi="Garamond"/>
        </w:rPr>
        <w:t xml:space="preserve"> p. 470. </w:t>
      </w:r>
    </w:p>
  </w:footnote>
  <w:footnote w:type="normal" w:id="32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430. </w:t>
      </w:r>
    </w:p>
  </w:footnote>
  <w:footnote w:type="normal" w:id="32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Olivier Renaut, </w:t>
      </w:r>
      <w:r>
        <w:rPr>
          <w:rStyle w:val="NotedebasdepageCar"/>
          <w:rFonts w:ascii="Garamond" w:hAnsi="Garamond"/>
          <w:i/>
        </w:rPr>
        <w:t xml:space="preserve">La Rhétorique des passions. Aristote, Rhétorique II.1-11,</w:t>
      </w:r>
      <w:r>
        <w:rPr>
          <w:rStyle w:val="NotedebasdepageCar"/>
          <w:rFonts w:ascii="Garamond" w:hAnsi="Garamond"/>
        </w:rPr>
        <w:t xml:space="preserve"> Paris, Classiques Garnier, 2021, p. 222. </w:t>
      </w:r>
    </w:p>
  </w:footnote>
  <w:footnote w:type="normal" w:id="32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Aristote, </w:t>
      </w:r>
      <w:r>
        <w:rPr>
          <w:rStyle w:val="NotedebasdepageCar"/>
          <w:rFonts w:ascii="Garamond" w:hAnsi="Garamond"/>
          <w:i/>
        </w:rPr>
        <w:t xml:space="preserve">Rhétorique</w:t>
      </w:r>
      <w:r>
        <w:rPr>
          <w:rStyle w:val="NotedebasdepageCar"/>
          <w:rFonts w:ascii="Garamond" w:hAnsi="Garamond"/>
        </w:rPr>
        <w:t xml:space="preserve">, II, 5, 1383a5-6. </w:t>
      </w:r>
    </w:p>
  </w:footnote>
  <w:footnote w:type="normal" w:id="32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Vossius, </w:t>
      </w:r>
      <w:r>
        <w:rPr>
          <w:rStyle w:val="NotedebasdepageCar"/>
          <w:rFonts w:ascii="Garamond" w:hAnsi="Garamond"/>
          <w:i/>
        </w:rPr>
        <w:t xml:space="preserve">Rhetorices contractæ</w:t>
      </w:r>
      <w:r>
        <w:rPr>
          <w:rStyle w:val="NotedebasdepageCar"/>
          <w:rFonts w:ascii="Garamond" w:hAnsi="Garamond"/>
        </w:rPr>
        <w:t xml:space="preserve"> [1621], Amsterdam, 1733, II, 3, p. 69. Notre traduction. </w:t>
      </w:r>
    </w:p>
  </w:footnote>
  <w:footnote w:type="normal" w:id="32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69-70 ; repris par Nicolas Caussin </w:t>
      </w:r>
      <w:r>
        <w:rPr>
          <w:rStyle w:val="NotedebasdepageCar"/>
          <w:rFonts w:ascii="Garamond" w:hAnsi="Garamond"/>
          <w:i/>
        </w:rPr>
        <w:t xml:space="preserve">De eloquentia sacra et humana</w:t>
      </w:r>
      <w:r>
        <w:rPr>
          <w:rStyle w:val="NotedebasdepageCar"/>
          <w:rFonts w:ascii="Garamond" w:hAnsi="Garamond"/>
        </w:rPr>
        <w:t xml:space="preserve"> [1627], Lyon, 1657, l. VIII, p. 500-501. </w:t>
      </w:r>
    </w:p>
  </w:footnote>
  <w:footnote w:type="normal" w:id="32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Rhétorique françoise, op. cit.,</w:t>
      </w:r>
      <w:r>
        <w:rPr>
          <w:rStyle w:val="NotedebasdepageCar"/>
          <w:rFonts w:ascii="Garamond" w:hAnsi="Garamond"/>
        </w:rPr>
        <w:t xml:space="preserve"> p. 151-152. </w:t>
      </w:r>
    </w:p>
  </w:footnote>
  <w:footnote w:type="normal" w:id="33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Contra</w:t>
      </w:r>
      <w:r>
        <w:rPr>
          <w:rStyle w:val="NotedebasdepageCar"/>
          <w:rFonts w:ascii="Garamond" w:hAnsi="Garamond"/>
        </w:rPr>
        <w:t xml:space="preserve"> Georges Forestier, </w:t>
      </w:r>
      <w:r>
        <w:rPr>
          <w:rStyle w:val="NotedebasdepageCar"/>
          <w:rFonts w:ascii="Garamond" w:hAnsi="Garamond"/>
          <w:i/>
        </w:rPr>
        <w:t xml:space="preserve">Introduction à l’analyse des textes classiques</w:t>
      </w:r>
      <w:r>
        <w:rPr>
          <w:rStyle w:val="NotedebasdepageCar"/>
          <w:rFonts w:ascii="Garamond" w:hAnsi="Garamond"/>
        </w:rPr>
        <w:t xml:space="preserve">, Paris, Armand Colin, 2017 (rééd.), p. 72-75. Je suis d’accord avec l’analyse de Michael Hawcroft, </w:t>
      </w:r>
      <w:r>
        <w:rPr>
          <w:rStyle w:val="NotedebasdepageCar"/>
          <w:rFonts w:ascii="Garamond" w:hAnsi="Garamond"/>
          <w:i/>
        </w:rPr>
        <w:t xml:space="preserve">Word as action : Racine, Rhetoric and Theatrical Language</w:t>
      </w:r>
      <w:r>
        <w:rPr>
          <w:rStyle w:val="NotedebasdepageCar"/>
          <w:rFonts w:ascii="Garamond" w:hAnsi="Garamond"/>
        </w:rPr>
        <w:t xml:space="preserve">, Oxford, Oxford University Press, 1992, p. 123-125 : « There is no suggestion of judicial oratory in Iphigénie’s speech, no hint of accusation. It is a deliberative speech, based on a subtle strategy. »</w:t>
      </w:r>
    </w:p>
  </w:footnote>
  <w:footnote w:type="normal" w:id="33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Rhétorique</w:t>
      </w:r>
      <w:r>
        <w:rPr>
          <w:rStyle w:val="NotedebasdepageCar"/>
          <w:rFonts w:ascii="Garamond" w:hAnsi="Garamond"/>
        </w:rPr>
        <w:t xml:space="preserve">, II, 5, 16, 1383a18. Sur son analyse, voir Olivier Renaut, </w:t>
      </w:r>
      <w:r>
        <w:rPr>
          <w:rStyle w:val="NotedebasdepageCar"/>
          <w:rFonts w:ascii="Garamond" w:hAnsi="Garamond"/>
          <w:i/>
        </w:rPr>
        <w:t xml:space="preserve">La Rhétorique des passions. Aristote, Rhétorique II.1-11,</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207-225. </w:t>
      </w:r>
    </w:p>
  </w:footnote>
  <w:footnote w:type="normal" w:id="33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Vossius, </w:t>
      </w:r>
      <w:r>
        <w:rPr>
          <w:rStyle w:val="NotedebasdepageCar"/>
          <w:rFonts w:ascii="Garamond" w:hAnsi="Garamond"/>
          <w:i/>
        </w:rPr>
        <w:t xml:space="preserve">Rhetorices contractæ</w:t>
      </w:r>
      <w:r>
        <w:rPr>
          <w:rStyle w:val="NotedebasdepageCar"/>
          <w:rFonts w:ascii="Garamond" w:hAnsi="Garamond"/>
        </w:rPr>
        <w:t xml:space="preserv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II, 23, p. 131 : l’</w:t>
      </w:r>
      <w:r>
        <w:rPr>
          <w:rStyle w:val="NotedebasdepageCar"/>
          <w:rFonts w:ascii="Garamond" w:hAnsi="Garamond"/>
          <w:i/>
        </w:rPr>
        <w:t xml:space="preserve">adhortatio</w:t>
      </w:r>
      <w:r>
        <w:rPr>
          <w:rStyle w:val="NotedebasdepageCar"/>
          <w:rFonts w:ascii="Garamond" w:hAnsi="Garamond"/>
        </w:rPr>
        <w:t xml:space="preserve"> se distingue de la </w:t>
      </w:r>
      <w:r>
        <w:rPr>
          <w:rStyle w:val="NotedebasdepageCar"/>
          <w:rFonts w:ascii="Garamond" w:hAnsi="Garamond"/>
          <w:i/>
        </w:rPr>
        <w:t xml:space="preserve">suasio</w:t>
      </w:r>
      <w:r>
        <w:rPr>
          <w:rStyle w:val="NotedebasdepageCar"/>
          <w:rFonts w:ascii="Garamond" w:hAnsi="Garamond"/>
        </w:rPr>
        <w:t xml:space="preserve"> par son objet, sa fin et ses leviers : son objet parce qu’elle s’adresse à des hommes déjà en partie convaincus de la nécessité de faire quelque chose ; sa fin parce qu’il ne s’agit pas de vouloir, mais de vouloir davantage (</w:t>
      </w:r>
      <w:r>
        <w:rPr>
          <w:rStyle w:val="NotedebasdepageCar"/>
          <w:rFonts w:ascii="Garamond" w:hAnsi="Garamond"/>
          <w:i/>
        </w:rPr>
        <w:t xml:space="preserve">ut magis velis</w:t>
      </w:r>
      <w:r>
        <w:rPr>
          <w:rStyle w:val="NotedebasdepageCar"/>
          <w:rFonts w:ascii="Garamond" w:hAnsi="Garamond"/>
        </w:rPr>
        <w:t xml:space="preserve">) ; ses leviers parce qu’elle n’utilise pas des preuves (</w:t>
      </w:r>
      <w:r>
        <w:rPr>
          <w:rStyle w:val="NotedebasdepageCar"/>
          <w:rFonts w:ascii="Garamond" w:hAnsi="Garamond"/>
          <w:i/>
        </w:rPr>
        <w:t xml:space="preserve">probationes</w:t>
      </w:r>
      <w:r>
        <w:rPr>
          <w:rStyle w:val="NotedebasdepageCar"/>
          <w:rFonts w:ascii="Garamond" w:hAnsi="Garamond"/>
        </w:rPr>
        <w:t xml:space="preserve">) mais infuse l’espérance (</w:t>
      </w:r>
      <w:r>
        <w:rPr>
          <w:rStyle w:val="NotedebasdepageCar"/>
          <w:rFonts w:ascii="Garamond" w:hAnsi="Garamond"/>
          <w:i/>
        </w:rPr>
        <w:t xml:space="preserve">fiducia</w:t>
      </w:r>
      <w:r>
        <w:rPr>
          <w:rStyle w:val="NotedebasdepageCar"/>
          <w:rFonts w:ascii="Garamond" w:hAnsi="Garamond"/>
        </w:rPr>
        <w:t xml:space="preserve">) et supprime la crainte (</w:t>
      </w:r>
      <w:r>
        <w:rPr>
          <w:rStyle w:val="NotedebasdepageCar"/>
          <w:rFonts w:ascii="Garamond" w:hAnsi="Garamond"/>
          <w:i/>
        </w:rPr>
        <w:t xml:space="preserve">metus</w:t>
      </w:r>
      <w:r>
        <w:rPr>
          <w:rStyle w:val="NotedebasdepageCar"/>
          <w:rFonts w:ascii="Garamond" w:hAnsi="Garamond"/>
        </w:rPr>
        <w:t xml:space="preserve">). </w:t>
      </w:r>
    </w:p>
  </w:footnote>
  <w:footnote w:type="normal" w:id="33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I, 3, v. 295-296 : « Gardez-vous de réduire un </w:t>
      </w:r>
      <w:r>
        <w:rPr>
          <w:rStyle w:val="NotedebasdepageCar"/>
          <w:rFonts w:ascii="Garamond" w:hAnsi="Garamond"/>
        </w:rPr>
        <w:t xml:space="preserve">P</w:t>
      </w:r>
      <w:r>
        <w:rPr>
          <w:rStyle w:val="NotedebasdepageCar"/>
          <w:rFonts w:ascii="Garamond" w:hAnsi="Garamond"/>
        </w:rPr>
        <w:t xml:space="preserve">euple furieux / Seigneur, à prononcer entre vous et les Dieux ». </w:t>
      </w:r>
    </w:p>
  </w:footnote>
  <w:footnote w:type="normal" w:id="33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Bernard Lamy, </w:t>
      </w:r>
      <w:r>
        <w:rPr>
          <w:rStyle w:val="NotedebasdepageCar"/>
          <w:rFonts w:ascii="Garamond" w:hAnsi="Garamond"/>
          <w:i/>
        </w:rPr>
        <w:t xml:space="preserve">La Rhétorique ou l’art de parler, op. cit</w:t>
      </w:r>
      <w:r>
        <w:rPr>
          <w:rStyle w:val="NotedebasdepageCar"/>
          <w:rFonts w:ascii="Garamond" w:hAnsi="Garamond"/>
        </w:rPr>
        <w:t xml:space="preserve">., p. 153. Il en traite logiquement dans le chapitre consacré à l’hypotypose. Sur l’hypotypose racinienne, voir Peter France, </w:t>
      </w:r>
      <w:r>
        <w:rPr>
          <w:rStyle w:val="NotedebasdepageCar"/>
          <w:rFonts w:ascii="Garamond" w:hAnsi="Garamond"/>
          <w:i/>
        </w:rPr>
        <w:t xml:space="preserve">Racine’s Rhetoric</w:t>
      </w:r>
      <w:r>
        <w:rPr>
          <w:rStyle w:val="NotedebasdepageCar"/>
          <w:rFonts w:ascii="Garamond" w:hAnsi="Garamond"/>
        </w:rPr>
        <w:t xml:space="preserve">, Oxford, Clarendon Press, 1965, p. 216-217 et Gilles Declercq, « À l’école de Quintilien. L’hypotypose dans les tragédies de Racine », </w:t>
      </w:r>
      <w:r>
        <w:rPr>
          <w:rStyle w:val="NotedebasdepageCar"/>
          <w:rFonts w:ascii="Garamond" w:hAnsi="Garamond"/>
          <w:i/>
        </w:rPr>
        <w:t xml:space="preserve">Revue de littératures française et comparée</w:t>
      </w:r>
      <w:r>
        <w:rPr>
          <w:rStyle w:val="NotedebasdepageCar"/>
          <w:rFonts w:ascii="Garamond" w:hAnsi="Garamond"/>
        </w:rPr>
        <w:t xml:space="preserve">, n° 5, 1995, p. 73-88.</w:t>
      </w:r>
    </w:p>
  </w:footnote>
  <w:footnote w:type="normal" w:id="33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Nicolas Coeffeteau, </w:t>
      </w:r>
      <w:r>
        <w:rPr>
          <w:rStyle w:val="NotedebasdepageCar"/>
          <w:rFonts w:ascii="Garamond" w:hAnsi="Garamond"/>
          <w:i/>
        </w:rPr>
        <w:t xml:space="preserve">op. cit</w:t>
      </w:r>
      <w:r>
        <w:rPr>
          <w:rStyle w:val="NotedebasdepageCar"/>
          <w:rFonts w:ascii="Garamond" w:hAnsi="Garamond"/>
        </w:rPr>
        <w:t xml:space="preserve">., resp. p. 207 et p. 209. La figure est ainsi naturalisée par la logique de la passion de l’espérance qui la réclame ; sur « l’intégration » des figures qui participe de la « sobriété figurative » de Racine, voir Gilles Declercq, « Représenter la passion : la sobriété racinienne », </w:t>
      </w:r>
      <w:r>
        <w:rPr>
          <w:rStyle w:val="NotedebasdepageCar"/>
          <w:rFonts w:ascii="Garamond" w:hAnsi="Garamond"/>
          <w:i/>
        </w:rPr>
        <w:t xml:space="preserve">Littératures classiques</w:t>
      </w:r>
      <w:r>
        <w:rPr>
          <w:rStyle w:val="NotedebasdepageCar"/>
          <w:rFonts w:ascii="Garamond" w:hAnsi="Garamond"/>
        </w:rPr>
        <w:t xml:space="preserve">, n°11, 1989, p. 69-93.</w:t>
      </w:r>
    </w:p>
  </w:footnote>
  <w:footnote w:type="normal" w:id="33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Montaigne, </w:t>
      </w:r>
      <w:r>
        <w:rPr>
          <w:rStyle w:val="NotedebasdepageCar"/>
          <w:rFonts w:ascii="Garamond" w:hAnsi="Garamond"/>
          <w:i/>
        </w:rPr>
        <w:t xml:space="preserve">Essais,</w:t>
      </w:r>
      <w:r>
        <w:rPr>
          <w:rStyle w:val="NotedebasdepageCar"/>
          <w:rFonts w:ascii="Garamond" w:hAnsi="Garamond"/>
        </w:rPr>
        <w:t xml:space="preserve"> I, 46, p. 496. </w:t>
      </w:r>
    </w:p>
  </w:footnote>
  <w:footnote w:type="normal" w:id="33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Jean-François Senault, </w:t>
      </w:r>
      <w:r>
        <w:rPr>
          <w:rStyle w:val="NotedebasdepageCar"/>
          <w:rFonts w:ascii="Garamond" w:hAnsi="Garamond"/>
          <w:i/>
        </w:rPr>
        <w:t xml:space="preserve">op. cit</w:t>
      </w:r>
      <w:r>
        <w:rPr>
          <w:rStyle w:val="NotedebasdepageCar"/>
          <w:rFonts w:ascii="Garamond" w:hAnsi="Garamond"/>
        </w:rPr>
        <w:t xml:space="preserve">., p. 314. </w:t>
      </w:r>
    </w:p>
  </w:footnote>
  <w:footnote w:type="normal" w:id="33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Nicolas Fontaine, </w:t>
      </w:r>
      <w:r>
        <w:rPr>
          <w:rStyle w:val="NotedebasdepageCar"/>
          <w:rFonts w:ascii="Garamond" w:hAnsi="Garamond"/>
          <w:i/>
        </w:rPr>
        <w:t xml:space="preserve">Dictionnaire chrétien</w:t>
      </w:r>
      <w:r>
        <w:rPr>
          <w:rStyle w:val="NotedebasdepageCar"/>
          <w:rFonts w:ascii="Garamond" w:hAnsi="Garamond"/>
        </w:rPr>
        <w:t xml:space="preserve">, Paris, chez Élie Josset, 1691, p. 631. </w:t>
      </w:r>
    </w:p>
  </w:footnote>
  <w:footnote w:type="normal" w:id="33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Je meurs dans cet espoir satisfaite, et tranquille / Si je n'ai pas vécu la </w:t>
      </w:r>
      <w:r>
        <w:rPr>
          <w:rStyle w:val="NotedebasdepageCar"/>
          <w:rFonts w:ascii="Garamond" w:hAnsi="Garamond"/>
        </w:rPr>
        <w:t xml:space="preserve">C</w:t>
      </w:r>
      <w:r>
        <w:rPr>
          <w:rStyle w:val="NotedebasdepageCar"/>
          <w:rFonts w:ascii="Garamond" w:hAnsi="Garamond"/>
        </w:rPr>
        <w:t xml:space="preserve">ompagne d'Achille, / J'espère que du moins un heureux </w:t>
      </w:r>
      <w:r>
        <w:rPr>
          <w:rStyle w:val="NotedebasdepageCar"/>
          <w:rFonts w:ascii="Garamond" w:hAnsi="Garamond"/>
        </w:rPr>
        <w:t xml:space="preserve">A</w:t>
      </w:r>
      <w:r>
        <w:rPr>
          <w:rStyle w:val="NotedebasdepageCar"/>
          <w:rFonts w:ascii="Garamond" w:hAnsi="Garamond"/>
        </w:rPr>
        <w:t xml:space="preserve">venir / À vos faits immortels joindra mon souvenir, / Et qu'un jour mon trépas, source de votre gloire, / Ouvrira le récit d'une si belle </w:t>
      </w:r>
      <w:r>
        <w:rPr>
          <w:rStyle w:val="NotedebasdepageCar"/>
          <w:rFonts w:ascii="Garamond" w:hAnsi="Garamond"/>
        </w:rPr>
        <w:t xml:space="preserve">H</w:t>
      </w:r>
      <w:r>
        <w:rPr>
          <w:rStyle w:val="NotedebasdepageCar"/>
          <w:rFonts w:ascii="Garamond" w:hAnsi="Garamond"/>
        </w:rPr>
        <w:t xml:space="preserve">istoire » (v. </w:t>
      </w:r>
      <w:r>
        <w:rPr>
          <w:rStyle w:val="NotedebasdepageCar"/>
          <w:rFonts w:ascii="Garamond" w:hAnsi="Garamond"/>
        </w:rPr>
        <w:t xml:space="preserve">1557</w:t>
      </w:r>
      <w:r>
        <w:rPr>
          <w:rStyle w:val="NotedebasdepageCar"/>
          <w:rFonts w:ascii="Garamond" w:hAnsi="Garamond"/>
        </w:rPr>
        <w:t xml:space="preserve">-156</w:t>
      </w:r>
      <w:r>
        <w:rPr>
          <w:rStyle w:val="NotedebasdepageCar"/>
          <w:rFonts w:ascii="Garamond" w:hAnsi="Garamond"/>
        </w:rPr>
        <w:t xml:space="preserve">1</w:t>
      </w:r>
      <w:r>
        <w:rPr>
          <w:rStyle w:val="NotedebasdepageCar"/>
          <w:rFonts w:ascii="Garamond" w:hAnsi="Garamond"/>
        </w:rPr>
        <w:t xml:space="preserve">). </w:t>
      </w:r>
    </w:p>
  </w:footnote>
  <w:footnote w:type="normal" w:id="34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le rôle de l’espoir dans la consolation, voir Vossius, </w:t>
      </w:r>
      <w:r>
        <w:rPr>
          <w:rStyle w:val="NotedebasdepageCar"/>
          <w:rFonts w:ascii="Garamond" w:hAnsi="Garamond"/>
          <w:i/>
        </w:rPr>
        <w:t xml:space="preserve">Commentariorum rhetoricorum, sive oratoriarum institutionum libri sex</w:t>
      </w:r>
      <w:r>
        <w:rPr>
          <w:rStyle w:val="NotedebasdepageCar"/>
          <w:rFonts w:ascii="Garamond" w:hAnsi="Garamond"/>
        </w:rPr>
        <w:t xml:space="preserve"> [1605], Leyde, J. Maire 1630, I, 4, III, p. 31-32. </w:t>
      </w:r>
    </w:p>
  </w:footnote>
  <w:footnote w:type="normal" w:id="34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Traduction de la </w:t>
      </w:r>
      <w:r>
        <w:rPr>
          <w:rStyle w:val="NotedebasdepageCar"/>
          <w:rFonts w:ascii="Garamond" w:hAnsi="Garamond"/>
          <w:i/>
        </w:rPr>
        <w:t xml:space="preserve">Poétique</w:t>
      </w:r>
      <w:r>
        <w:rPr>
          <w:rStyle w:val="NotedebasdepageCar"/>
          <w:rFonts w:ascii="Garamond" w:hAnsi="Garamond"/>
        </w:rPr>
        <w:t xml:space="preserve"> d’Aristote par Racine (cité par Alonge, </w:t>
      </w:r>
      <w:r>
        <w:rPr>
          <w:rStyle w:val="NotedebasdepageCar"/>
          <w:rFonts w:ascii="Garamond" w:hAnsi="Garamond"/>
          <w:i/>
        </w:rPr>
        <w:t xml:space="preserve">Racine et Euripide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261). </w:t>
      </w:r>
    </w:p>
  </w:footnote>
  <w:footnote w:type="normal" w:id="34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les harmoniques que fait entendre le verbe « ouvrir », dans la tragédie, liant l’ouverture métaphorique du champ de la gloire (I, 2, v. 170-171) à l’ouverture toute littérale des « flots » pour sauver sa promise (V, 2, v. 1519-1520) ou encore l’ouverture des bras réclamée par une Iphigénie consentante (V, 3, v. 1664 ) à la demande furieuse de l’ouverture de la mer pour abîmer ceux que l’on croit coupables (V, 4, v. 1684), jusqu’à l’entre-ouverture, finale, d’un ciel qui fait figure d’apocalypse (V, 6, v. 1783-1784).</w:t>
      </w:r>
    </w:p>
  </w:footnote>
  <w:footnote w:type="normal" w:id="34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w:t>
      </w:r>
      <w:r>
        <w:rPr>
          <w:rStyle w:val="NotedebasdepageCar"/>
          <w:rFonts w:ascii="Garamond" w:hAnsi="Garamond"/>
        </w:rPr>
        <w:t xml:space="preserve">ierre </w:t>
      </w:r>
      <w:r>
        <w:rPr>
          <w:rStyle w:val="NotedebasdepageCar"/>
          <w:rFonts w:ascii="Garamond" w:hAnsi="Garamond"/>
        </w:rPr>
        <w:t xml:space="preserve">Corneille, </w:t>
      </w:r>
      <w:r>
        <w:rPr>
          <w:rStyle w:val="NotedebasdepageCar"/>
          <w:rFonts w:ascii="Garamond" w:hAnsi="Garamond"/>
          <w:i/>
        </w:rPr>
        <w:t xml:space="preserve">Trois discours sur le poème dramatique</w:t>
      </w:r>
      <w:r>
        <w:rPr>
          <w:rStyle w:val="NotedebasdepageCar"/>
          <w:rFonts w:ascii="Garamond" w:hAnsi="Garamond"/>
        </w:rPr>
        <w:t xml:space="preserve">, « Discours de la tragédie »,</w:t>
      </w:r>
      <w:r>
        <w:rPr>
          <w:rStyle w:val="NotedebasdepageCar"/>
          <w:rFonts w:ascii="Garamond" w:hAnsi="Garamond"/>
          <w:i/>
        </w:rPr>
        <w:t xml:space="preserve"> op. cit</w:t>
      </w:r>
      <w:r>
        <w:rPr>
          <w:rStyle w:val="NotedebasdepageCar"/>
          <w:rFonts w:ascii="Garamond" w:hAnsi="Garamond"/>
        </w:rPr>
        <w:t xml:space="preserve">., p. 109. </w:t>
      </w:r>
    </w:p>
  </w:footnote>
  <w:footnote w:type="normal" w:id="34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Tony Gheeraert</w:t>
      </w:r>
      <w:r>
        <w:rPr>
          <w:rStyle w:val="NotedebasdepageCar"/>
          <w:rFonts w:ascii="Garamond" w:hAnsi="Garamond"/>
          <w:b/>
        </w:rPr>
        <w:t xml:space="preserve">,</w:t>
      </w:r>
      <w:r>
        <w:rPr>
          <w:rStyle w:val="NotedebasdepageCar"/>
          <w:rFonts w:ascii="Garamond" w:hAnsi="Garamond"/>
        </w:rPr>
        <w:t xml:space="preserve"> « Voix de Dieu, voix des dieux : oracles, visions et prophéties chez Jean Racine », </w:t>
      </w:r>
      <w:r>
        <w:rPr>
          <w:rStyle w:val="NotedebasdepageCar"/>
          <w:rFonts w:ascii="Garamond" w:hAnsi="Garamond"/>
          <w:i/>
        </w:rPr>
        <w:t xml:space="preserve">Études Épistémè</w:t>
      </w:r>
      <w:r>
        <w:rPr>
          <w:rStyle w:val="NotedebasdepageCar"/>
          <w:rFonts w:ascii="Garamond" w:hAnsi="Garamond"/>
        </w:rPr>
        <w:t xml:space="preserve"> [</w:t>
      </w:r>
      <w:r>
        <w:rPr>
          <w:rStyle w:val="NotedebasdepageCar"/>
          <w:rFonts w:ascii="Garamond" w:hAnsi="Garamond"/>
        </w:rPr>
        <w:t xml:space="preserve">En ligne</w:t>
      </w:r>
      <w:r>
        <w:rPr>
          <w:rStyle w:val="NotedebasdepageCar"/>
          <w:rFonts w:ascii="Garamond" w:hAnsi="Garamond"/>
        </w:rPr>
        <w:t xml:space="preserve">],</w:t>
      </w:r>
      <w:r>
        <w:rPr>
          <w:rStyle w:val="NotedebasdepageCar"/>
          <w:rFonts w:ascii="Garamond" w:hAnsi="Garamond"/>
        </w:rPr>
        <w:t xml:space="preserve"> 12, </w:t>
      </w:r>
      <w:r>
        <w:rPr>
          <w:rStyle w:val="NotedebasdepageCar"/>
          <w:rFonts w:ascii="Garamond" w:hAnsi="Garamond"/>
        </w:rPr>
        <w:t xml:space="preserve"> 2007, </w:t>
      </w:r>
      <w:r>
        <w:rPr>
          <w:rStyle w:val="NotedebasdepageCar"/>
          <w:rFonts w:ascii="Garamond" w:hAnsi="Garamond"/>
        </w:rPr>
        <w:t xml:space="preserve">en ligne depuis le 1er septembre 2007</w:t>
      </w:r>
      <w:r>
        <w:rPr>
          <w:rStyle w:val="NotedebasdepageCar"/>
          <w:rFonts w:ascii="Garamond" w:hAnsi="Garamond"/>
        </w:rPr>
        <w:t xml:space="preserve">, </w:t>
      </w:r>
      <w:r>
        <w:rPr>
          <w:rStyle w:val="NotedebasdepageCar"/>
          <w:rFonts w:ascii="Garamond" w:hAnsi="Garamond"/>
        </w:rPr>
        <w:t xml:space="preserve">consulté le 28 août </w:t>
      </w:r>
      <w:r>
        <w:rPr>
          <w:rStyle w:val="NotedebasdepageCar"/>
          <w:rFonts w:ascii="Garamond" w:hAnsi="Garamond"/>
        </w:rPr>
        <w:t xml:space="preserve">2024. URL: </w:t>
      </w:r>
      <w:r>
        <w:rPr>
          <w:rStyle w:val="NotedebasdepageCar"/>
          <w:rFonts w:ascii="Garamond" w:hAnsi="Garamond"/>
        </w:rPr>
        <w:t xml:space="preserve">http://journals.openedition.org/episteme/922</w:t>
      </w:r>
      <w:r>
        <w:rPr>
          <w:rStyle w:val="NotedebasdepageCar"/>
          <w:rFonts w:ascii="Garamond" w:hAnsi="Garamond"/>
        </w:rPr>
        <w:t xml:space="preserve">.</w:t>
      </w:r>
    </w:p>
  </w:footnote>
  <w:footnote w:type="normal" w:id="34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Euripide, </w:t>
      </w:r>
      <w:r>
        <w:rPr>
          <w:rStyle w:val="NotedebasdepageCar"/>
          <w:rFonts w:ascii="Garamond" w:hAnsi="Garamond"/>
          <w:i/>
        </w:rPr>
        <w:t xml:space="preserve">Iphigénie à Aulis</w:t>
      </w:r>
      <w:r>
        <w:rPr>
          <w:rStyle w:val="NotedebasdepageCar"/>
          <w:rFonts w:ascii="Garamond" w:hAnsi="Garamond"/>
        </w:rPr>
        <w:t xml:space="preserve">, v. 391-393. Pour une lecture politique de ce serment, voir Jean-Marie Apostolidès, </w:t>
      </w:r>
      <w:r>
        <w:rPr>
          <w:rStyle w:val="NotedebasdepageCar"/>
          <w:rFonts w:ascii="Garamond" w:hAnsi="Garamond"/>
          <w:i/>
        </w:rPr>
        <w:t xml:space="preserve">Le Prince sacrifié. Théâtre et politique au temps de Louis XIV</w:t>
      </w:r>
      <w:r>
        <w:rPr>
          <w:rStyle w:val="NotedebasdepageCar"/>
          <w:rFonts w:ascii="Garamond" w:hAnsi="Garamond"/>
        </w:rPr>
        <w:t xml:space="preserve">, Paris, Les Éditions de Minuit, 1985, p. 112-115. </w:t>
      </w:r>
    </w:p>
  </w:footnote>
  <w:footnote w:type="normal" w:id="34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Le Sacrifice d’Iphigénie</w:t>
      </w:r>
      <w:r>
        <w:rPr>
          <w:rStyle w:val="NotedebasdepageCar"/>
          <w:rFonts w:ascii="Garamond" w:hAnsi="Garamond"/>
        </w:rPr>
        <w:t xml:space="preserve">, Huile sur toile, Charles de La Fosse, 1680.</w:t>
      </w:r>
    </w:p>
  </w:footnote>
  <w:footnote w:type="normal" w:id="34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 Préface », dans </w:t>
      </w:r>
      <w:r>
        <w:rPr>
          <w:rStyle w:val="NotedebasdepageCar"/>
          <w:rFonts w:ascii="Garamond" w:hAnsi="Garamond"/>
          <w:i/>
        </w:rPr>
        <w:t xml:space="preserve">Œuvres complètes I</w:t>
      </w:r>
      <w:r>
        <w:rPr>
          <w:rStyle w:val="NotedebasdepageCar"/>
          <w:rFonts w:ascii="Garamond" w:hAnsi="Garamond"/>
        </w:rPr>
        <w:t xml:space="preserve">, Paris, Gallimard, 1999, p. 698.</w:t>
      </w:r>
    </w:p>
  </w:footnote>
  <w:footnote w:type="normal" w:id="34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par exemple Jean Rohou, </w:t>
      </w:r>
      <w:r>
        <w:rPr>
          <w:rStyle w:val="NotedebasdepageCar"/>
          <w:rFonts w:ascii="Garamond" w:hAnsi="Garamond"/>
          <w:i/>
        </w:rPr>
        <w:t xml:space="preserve">L’évolution du tragique racinien</w:t>
      </w:r>
      <w:r>
        <w:rPr>
          <w:rStyle w:val="NotedebasdepageCar"/>
          <w:rFonts w:ascii="Garamond" w:hAnsi="Garamond"/>
        </w:rPr>
        <w:t xml:space="preserve">, Paris, SEDES, 1991, p. 238.</w:t>
      </w:r>
    </w:p>
  </w:footnote>
  <w:footnote w:type="normal" w:id="34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Aucune source antique n’évoque l’existence d’une deuxième Iphigénie, certaines d’entre elles se contentant de mettre en avant une origine différente pour Iphigénie elle-même, qui aurait été la fille cachée d’Hélène et non pas de Clytemnestre. Sur le sujet, voir Tristan Alonge, </w:t>
      </w:r>
      <w:r>
        <w:rPr>
          <w:rStyle w:val="NotedebasdepageCar"/>
          <w:rFonts w:ascii="Garamond" w:hAnsi="Garamond"/>
          <w:i/>
        </w:rPr>
        <w:t xml:space="preserve">Racine et Euripide</w:t>
      </w:r>
      <w:r>
        <w:rPr>
          <w:rStyle w:val="NotedebasdepageCar"/>
          <w:rFonts w:ascii="Garamond" w:hAnsi="Garamond"/>
        </w:rPr>
        <w:t xml:space="preserve">, Genève, Droz, 2017, p. 277-278.</w:t>
      </w:r>
    </w:p>
  </w:footnote>
  <w:footnote w:type="normal" w:id="35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Abel Boyer, </w:t>
      </w:r>
      <w:r>
        <w:rPr>
          <w:rStyle w:val="NotedebasdepageCar"/>
          <w:rFonts w:ascii="Garamond" w:hAnsi="Garamond"/>
          <w:i/>
        </w:rPr>
        <w:t xml:space="preserve">Achilles : or, Iphigenia in Aulis. A Tragedy As it is Acted at the Theatre-Royal, in Drury-Lane</w:t>
      </w:r>
      <w:r>
        <w:rPr>
          <w:rStyle w:val="NotedebasdepageCar"/>
          <w:rFonts w:ascii="Garamond" w:hAnsi="Garamond"/>
        </w:rPr>
        <w:t xml:space="preserve">, London, Thomas Bennett, 1700.</w:t>
      </w:r>
    </w:p>
  </w:footnote>
  <w:footnote w:type="normal" w:id="35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Charles Johnson, </w:t>
      </w:r>
      <w:r>
        <w:rPr>
          <w:rStyle w:val="NotedebasdepageCar"/>
          <w:rFonts w:ascii="Garamond" w:hAnsi="Garamond"/>
          <w:i/>
        </w:rPr>
        <w:t xml:space="preserve">The Victim. A Tragedy As it is Acted at the Theatre-Royal in Drury-Lane</w:t>
      </w:r>
      <w:r>
        <w:rPr>
          <w:rStyle w:val="NotedebasdepageCar"/>
          <w:rFonts w:ascii="Garamond" w:hAnsi="Garamond"/>
        </w:rPr>
        <w:t xml:space="preserve">, Dublin, 1727.</w:t>
      </w:r>
    </w:p>
  </w:footnote>
  <w:footnote w:type="normal" w:id="35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l’importance de l’appartenance confessionnelle de Boyer voir entre autres Suzanne Jones, « Amphibious Author : Abel Boyer, Iphigénie, and Huguenot Migration », </w:t>
      </w:r>
      <w:r>
        <w:rPr>
          <w:rStyle w:val="NotedebasdepageCar"/>
          <w:rFonts w:ascii="Garamond" w:hAnsi="Garamond"/>
          <w:i/>
        </w:rPr>
        <w:t xml:space="preserve">Early Modern French Studies</w:t>
      </w:r>
      <w:r>
        <w:rPr>
          <w:rStyle w:val="NotedebasdepageCar"/>
          <w:rFonts w:ascii="Garamond" w:hAnsi="Garamond"/>
        </w:rPr>
        <w:t xml:space="preserve">, 46-2, 2024, p. 150-165.</w:t>
      </w:r>
    </w:p>
  </w:footnote>
  <w:footnote w:type="normal" w:id="35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en particulier Katherine E. Wheatley, </w:t>
      </w:r>
      <w:r>
        <w:rPr>
          <w:rStyle w:val="NotedebasdepageCar"/>
          <w:rFonts w:ascii="Garamond" w:hAnsi="Garamond"/>
          <w:i/>
        </w:rPr>
        <w:t xml:space="preserve">Racine and English Classicism</w:t>
      </w:r>
      <w:r>
        <w:rPr>
          <w:rStyle w:val="NotedebasdepageCar"/>
          <w:rFonts w:ascii="Garamond" w:hAnsi="Garamond"/>
        </w:rPr>
        <w:t xml:space="preserve">, Austin, University of Texas Press, 2021 [1956], p. 139-147.</w:t>
      </w:r>
    </w:p>
  </w:footnote>
  <w:footnote w:type="normal" w:id="35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De même avis Louis Charlanne, </w:t>
      </w:r>
      <w:r>
        <w:rPr>
          <w:rStyle w:val="NotedebasdepageCar"/>
          <w:rFonts w:ascii="Garamond" w:hAnsi="Garamond"/>
          <w:i/>
        </w:rPr>
        <w:t xml:space="preserve">L’Influence française en Angleterre au XVIIe siècle</w:t>
      </w:r>
      <w:r>
        <w:rPr>
          <w:rStyle w:val="NotedebasdepageCar"/>
          <w:rFonts w:ascii="Garamond" w:hAnsi="Garamond"/>
        </w:rPr>
        <w:t xml:space="preserve">, Paris, Société Française d’imprimerie et de librairie, 1906, p. 152 ; Dorothea Canfield, </w:t>
      </w:r>
      <w:r>
        <w:rPr>
          <w:rStyle w:val="NotedebasdepageCar"/>
          <w:rFonts w:ascii="Garamond" w:hAnsi="Garamond"/>
          <w:i/>
        </w:rPr>
        <w:t xml:space="preserve">Corneille and Racine in England</w:t>
      </w:r>
      <w:r>
        <w:rPr>
          <w:rStyle w:val="NotedebasdepageCar"/>
          <w:rFonts w:ascii="Garamond" w:hAnsi="Garamond"/>
        </w:rPr>
        <w:t xml:space="preserve">, New York, Columbia University Press, 1904, p. 200.</w:t>
      </w:r>
    </w:p>
  </w:footnote>
  <w:footnote w:type="normal" w:id="35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 Advertisement », NP.</w:t>
      </w:r>
    </w:p>
  </w:footnote>
  <w:footnote w:type="normal" w:id="35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 </w:t>
      </w:r>
      <w:r>
        <w:rPr>
          <w:rStyle w:val="NotedebasdepageCar"/>
          <w:rFonts w:ascii="Garamond" w:hAnsi="Garamond"/>
          <w:i/>
        </w:rPr>
        <w:t xml:space="preserve">The Victim</w:t>
      </w:r>
      <w:r>
        <w:rPr>
          <w:rStyle w:val="NotedebasdepageCar"/>
          <w:rFonts w:ascii="Garamond" w:hAnsi="Garamond"/>
        </w:rPr>
        <w:t xml:space="preserve">, « Prologue », NP.</w:t>
      </w:r>
    </w:p>
  </w:footnote>
  <w:footnote w:type="normal" w:id="35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Une seule petite exception est constituée, à l’acte V, par un partiel remplacement d’Eurybates par Arcas qui en reprend les répliques à la scène 3 et qui emmène Iphigénie à l’autel.</w:t>
      </w:r>
    </w:p>
  </w:footnote>
  <w:footnote w:type="normal" w:id="35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À l’acte V, dans une scène inventée par Johnson, Ulysse perd les traits impitoyables des sources pour déplorer lui aussi la folie homicide de l’armée.</w:t>
      </w:r>
    </w:p>
  </w:footnote>
  <w:footnote w:type="normal" w:id="35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w:t>
      </w:r>
    </w:p>
  </w:footnote>
  <w:footnote w:type="normal" w:id="36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28.</w:t>
      </w:r>
    </w:p>
  </w:footnote>
  <w:footnote w:type="normal" w:id="36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28.</w:t>
      </w:r>
    </w:p>
  </w:footnote>
  <w:footnote w:type="normal" w:id="36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1105-1106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34.</w:t>
      </w:r>
    </w:p>
  </w:footnote>
  <w:footnote w:type="normal" w:id="36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Tendance fréquente dans les adaptations anglaises de Racine, présente par exemple dans les réécritures de la figure d’Andromaque, qui perd la complexité de l’original pour ne devenir qu’une veuve vertueuse et une mère exemplaire. Sur le sujet voir Tristan Alonge « L’Andromaque deux fois veuve de Crowne et Philips. Réécritures anglaises à la recherche du Racine perdu ? », dans T. Alonge, C. Belin, L. Borot, F. March, (dir.), </w:t>
      </w:r>
      <w:r>
        <w:rPr>
          <w:rStyle w:val="NotedebasdepageCar"/>
          <w:rFonts w:ascii="Garamond" w:hAnsi="Garamond"/>
          <w:i/>
        </w:rPr>
        <w:t xml:space="preserve">Le </w:t>
      </w:r>
      <w:r>
        <w:rPr>
          <w:rStyle w:val="NotedebasdepageCar"/>
          <w:rFonts w:ascii="Garamond" w:hAnsi="Garamond"/>
          <w:i/>
        </w:rPr>
        <w:t xml:space="preserve">T</w:t>
      </w:r>
      <w:r>
        <w:rPr>
          <w:rStyle w:val="NotedebasdepageCar"/>
          <w:rFonts w:ascii="Garamond" w:hAnsi="Garamond"/>
          <w:i/>
        </w:rPr>
        <w:t xml:space="preserve">héâtre classique français en Europe : transferts, traductions, adaptations (XVII</w:t>
      </w:r>
      <w:r>
        <w:rPr>
          <w:rStyle w:val="NotedebasdepageCar"/>
          <w:rFonts w:ascii="Garamond" w:hAnsi="Garamond"/>
          <w:i/>
        </w:rPr>
        <w:t xml:space="preserve">e</w:t>
      </w:r>
      <w:r>
        <w:rPr>
          <w:rStyle w:val="NotedebasdepageCar"/>
          <w:rFonts w:ascii="Garamond" w:hAnsi="Garamond"/>
          <w:i/>
        </w:rPr>
        <w:t xml:space="preserve">-XVIII</w:t>
      </w:r>
      <w:r>
        <w:rPr>
          <w:rStyle w:val="NotedebasdepageCar"/>
          <w:rFonts w:ascii="Garamond" w:hAnsi="Garamond"/>
          <w:i/>
        </w:rPr>
        <w:t xml:space="preserve">e</w:t>
      </w:r>
      <w:r>
        <w:rPr>
          <w:rStyle w:val="NotedebasdepageCar"/>
          <w:rFonts w:ascii="Garamond" w:hAnsi="Garamond"/>
          <w:i/>
        </w:rPr>
        <w:t xml:space="preserve"> siècles)</w:t>
      </w:r>
      <w:r>
        <w:rPr>
          <w:rStyle w:val="NotedebasdepageCar"/>
          <w:rFonts w:ascii="Garamond" w:hAnsi="Garamond"/>
        </w:rPr>
        <w:t xml:space="preserve">, Hermann, 2025 (en cours de publication).</w:t>
      </w:r>
    </w:p>
  </w:footnote>
  <w:footnote w:type="normal" w:id="36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Dans son analyse de la pièce de Boyer, K. Wheatley (</w:t>
      </w:r>
      <w:r>
        <w:rPr>
          <w:rStyle w:val="NotedebasdepageCar"/>
          <w:rFonts w:ascii="Garamond" w:hAnsi="Garamond"/>
          <w:i/>
        </w:rPr>
        <w:t xml:space="preserve">Racine and English Classicism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85-87) insiste également sur la simplification d’Ériphile, mais ignore les modifications apportées à Iphigénie.</w:t>
      </w:r>
    </w:p>
  </w:footnote>
  <w:footnote w:type="normal" w:id="36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16.</w:t>
      </w:r>
    </w:p>
  </w:footnote>
  <w:footnote w:type="normal" w:id="36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18.</w:t>
      </w:r>
    </w:p>
  </w:footnote>
  <w:footnote w:type="normal" w:id="36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15.</w:t>
      </w:r>
    </w:p>
  </w:footnote>
  <w:footnote w:type="normal" w:id="36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w:t>
      </w:r>
      <w:r>
        <w:rPr>
          <w:rStyle w:val="NotedebasdepageCar"/>
          <w:rFonts w:ascii="Garamond" w:hAnsi="Garamond"/>
          <w:i/>
        </w:rPr>
        <w:t xml:space="preserve"> op. cit.</w:t>
      </w:r>
      <w:r>
        <w:rPr>
          <w:rStyle w:val="NotedebasdepageCar"/>
          <w:rFonts w:ascii="Garamond" w:hAnsi="Garamond"/>
        </w:rPr>
        <w:t xml:space="preserve">, v. 913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29.</w:t>
      </w:r>
    </w:p>
  </w:footnote>
  <w:footnote w:type="normal" w:id="36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27.</w:t>
      </w:r>
    </w:p>
  </w:footnote>
  <w:footnote w:type="normal" w:id="37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Francis Yvon Eccles, </w:t>
      </w:r>
      <w:r>
        <w:rPr>
          <w:rStyle w:val="NotedebasdepageCar"/>
          <w:rFonts w:ascii="Garamond" w:hAnsi="Garamond"/>
          <w:i/>
        </w:rPr>
        <w:t xml:space="preserve">Racine in England</w:t>
      </w:r>
      <w:r>
        <w:rPr>
          <w:rStyle w:val="NotedebasdepageCar"/>
          <w:rFonts w:ascii="Garamond" w:hAnsi="Garamond"/>
        </w:rPr>
        <w:t xml:space="preserve">, Oxford, The Clarendon Press, 1922, p. 7-8 ; Jacques Voisine, « Corneille et Racine en Angleterre au XVIIIe siècle », </w:t>
      </w:r>
      <w:r>
        <w:rPr>
          <w:rStyle w:val="NotedebasdepageCar"/>
          <w:rFonts w:ascii="Garamond" w:hAnsi="Garamond"/>
          <w:i/>
        </w:rPr>
        <w:t xml:space="preserve">Revue de Littérature comparée</w:t>
      </w:r>
      <w:r>
        <w:rPr>
          <w:rStyle w:val="NotedebasdepageCar"/>
          <w:rFonts w:ascii="Garamond" w:hAnsi="Garamond"/>
        </w:rPr>
        <w:t xml:space="preserve">, 22, 1948, p. 163-164 ; K. Wheatley,</w:t>
      </w:r>
      <w:r>
        <w:rPr>
          <w:rStyle w:val="NotedebasdepageCar"/>
          <w:rFonts w:ascii="Garamond" w:hAnsi="Garamond"/>
          <w:i/>
        </w:rPr>
        <w:t xml:space="preserve"> Racine and English Classicism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83-84.</w:t>
      </w:r>
    </w:p>
  </w:footnote>
  <w:footnote w:type="normal" w:id="37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Par exemple la lecture de la lettre d’Agamemnon à l’acte II de Boyer ou l’introduction d’une chanson totalement inventée adressée à Morphée par Ériphile au début de l’acte IV, pour traduire l’« étrange manie » du personnage racinien.</w:t>
      </w:r>
    </w:p>
  </w:footnote>
  <w:footnote w:type="normal" w:id="37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Roland Barthes, </w:t>
      </w:r>
      <w:r>
        <w:rPr>
          <w:rStyle w:val="NotedebasdepageCar"/>
          <w:rFonts w:ascii="Garamond" w:hAnsi="Garamond"/>
          <w:i/>
        </w:rPr>
        <w:t xml:space="preserve">Sur Racine</w:t>
      </w:r>
      <w:r>
        <w:rPr>
          <w:rStyle w:val="NotedebasdepageCar"/>
          <w:rFonts w:ascii="Garamond" w:hAnsi="Garamond"/>
        </w:rPr>
        <w:t xml:space="preserve">, Paris, </w:t>
      </w:r>
      <w:r>
        <w:rPr>
          <w:rStyle w:val="NotedebasdepageCar"/>
          <w:rFonts w:ascii="Garamond" w:hAnsi="Garamond"/>
          <w:smallCaps w:val="true"/>
        </w:rPr>
        <w:t xml:space="preserve">É</w:t>
      </w:r>
      <w:r>
        <w:rPr>
          <w:rStyle w:val="NotedebasdepageCar"/>
          <w:rFonts w:ascii="Garamond" w:hAnsi="Garamond"/>
        </w:rPr>
        <w:t xml:space="preserve">ditions du Seuil, 1963, p. 108.</w:t>
      </w:r>
    </w:p>
  </w:footnote>
  <w:footnote w:type="normal" w:id="37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La formule est de Barthes (</w:t>
      </w:r>
      <w:r>
        <w:rPr>
          <w:rStyle w:val="NotedebasdepageCar"/>
          <w:rFonts w:ascii="Garamond" w:hAnsi="Garamond"/>
          <w:i/>
        </w:rPr>
        <w:t xml:space="preserve">Sur Racine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109).</w:t>
      </w:r>
    </w:p>
  </w:footnote>
  <w:footnote w:type="normal" w:id="37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w:t>
      </w:r>
      <w:r>
        <w:rPr>
          <w:rStyle w:val="NotedebasdepageCar"/>
          <w:rFonts w:ascii="Garamond" w:hAnsi="Garamond"/>
          <w:i/>
        </w:rPr>
        <w:t xml:space="preserve"> op. cit.</w:t>
      </w:r>
      <w:r>
        <w:rPr>
          <w:rStyle w:val="NotedebasdepageCar"/>
          <w:rFonts w:ascii="Garamond" w:hAnsi="Garamond"/>
        </w:rPr>
        <w:t xml:space="preserve">, v. 1785-1788.</w:t>
      </w:r>
    </w:p>
  </w:footnote>
  <w:footnote w:type="normal" w:id="37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7.</w:t>
      </w:r>
    </w:p>
  </w:footnote>
  <w:footnote w:type="normal" w:id="37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374-376 et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9.</w:t>
      </w:r>
    </w:p>
  </w:footnote>
  <w:footnote w:type="normal" w:id="37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837-840 et Boyer,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23.</w:t>
      </w:r>
    </w:p>
  </w:footnote>
  <w:footnote w:type="normal" w:id="37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134-142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5.</w:t>
      </w:r>
    </w:p>
  </w:footnote>
  <w:footnote w:type="normal" w:id="37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9.</w:t>
      </w:r>
    </w:p>
  </w:footnote>
  <w:footnote w:type="normal" w:id="38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1237-1241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37.</w:t>
      </w:r>
    </w:p>
  </w:footnote>
  <w:footnote w:type="normal" w:id="38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1382-1386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43.</w:t>
      </w:r>
    </w:p>
  </w:footnote>
  <w:footnote w:type="normal" w:id="38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1283-86 et Boyer,</w:t>
      </w:r>
      <w:r>
        <w:rPr>
          <w:rStyle w:val="NotedebasdepageCar"/>
          <w:rFonts w:ascii="Garamond" w:hAnsi="Garamond"/>
          <w:i/>
        </w:rPr>
        <w:t xml:space="preserve"> 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37. Johnson fera de même, p. 37.</w:t>
      </w:r>
    </w:p>
  </w:footnote>
  <w:footnote w:type="normal" w:id="38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437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13.</w:t>
      </w:r>
    </w:p>
  </w:footnote>
  <w:footnote w:type="normal" w:id="38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521-522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15.</w:t>
      </w:r>
    </w:p>
  </w:footnote>
  <w:footnote w:type="normal" w:id="38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135-136 et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w:t>
      </w:r>
    </w:p>
  </w:footnote>
  <w:footnote w:type="normal" w:id="38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142 et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w:t>
      </w:r>
    </w:p>
  </w:footnote>
  <w:footnote w:type="normal" w:id="38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917-918 et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22-23.</w:t>
      </w:r>
    </w:p>
  </w:footnote>
  <w:footnote w:type="normal" w:id="38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1181-1182 et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30.</w:t>
      </w:r>
    </w:p>
  </w:footnote>
  <w:footnote w:type="normal" w:id="38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574 et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14.</w:t>
      </w:r>
    </w:p>
  </w:footnote>
  <w:footnote w:type="normal" w:id="39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921.</w:t>
      </w:r>
    </w:p>
  </w:footnote>
  <w:footnote w:type="normal" w:id="39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1649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51.</w:t>
      </w:r>
    </w:p>
  </w:footnote>
  <w:footnote w:type="normal" w:id="39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48.</w:t>
      </w:r>
    </w:p>
  </w:footnote>
  <w:footnote w:type="normal" w:id="39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57.</w:t>
      </w:r>
    </w:p>
  </w:footnote>
  <w:footnote w:type="normal" w:id="39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9.</w:t>
      </w:r>
    </w:p>
  </w:footnote>
  <w:footnote w:type="normal" w:id="39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10.</w:t>
      </w:r>
    </w:p>
  </w:footnote>
  <w:footnote w:type="normal" w:id="39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89-90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5.</w:t>
      </w:r>
    </w:p>
  </w:footnote>
  <w:footnote w:type="normal" w:id="39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329-337 et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10.</w:t>
      </w:r>
    </w:p>
  </w:footnote>
  <w:footnote w:type="normal" w:id="39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12.</w:t>
      </w:r>
    </w:p>
  </w:footnote>
  <w:footnote w:type="normal" w:id="39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37.</w:t>
      </w:r>
    </w:p>
  </w:footnote>
  <w:footnote w:type="normal" w:id="40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w:t>
      </w:r>
    </w:p>
  </w:footnote>
  <w:footnote w:type="normal" w:id="40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46 : « As Iphigenia is leading to be Sacrific'd the Sun is Eclips'd; Skrieks in the Air; Subterranean Groans and Howlings; Thunder »; Johnson, </w:t>
      </w:r>
      <w:r>
        <w:rPr>
          <w:rStyle w:val="NotedebasdepageCar"/>
          <w:rFonts w:ascii="Garamond" w:hAnsi="Garamond"/>
          <w:i/>
        </w:rPr>
        <w:t xml:space="preserve">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54 : « Agamemnon leads up Iphigenia, and as he delivers her to Calchas, a Sudden Darkness as if the Day were eclips’d, it thunders and lightens, and Calchas comes forward, and speaks ».</w:t>
      </w:r>
    </w:p>
  </w:footnote>
  <w:footnote w:type="normal" w:id="40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Marcel Gutwirth, « </w:t>
      </w:r>
      <w:r>
        <w:rPr>
          <w:rStyle w:val="NotedebasdepageCar"/>
          <w:rFonts w:ascii="Garamond" w:hAnsi="Garamond"/>
          <w:i/>
        </w:rPr>
        <w:t xml:space="preserve">Britannicus</w:t>
      </w:r>
      <w:r>
        <w:rPr>
          <w:rStyle w:val="NotedebasdepageCar"/>
          <w:rFonts w:ascii="Garamond" w:hAnsi="Garamond"/>
        </w:rPr>
        <w:t xml:space="preserve">, tragédie de qui ? », dans Constant Venesoen (dir.), </w:t>
      </w:r>
      <w:r>
        <w:rPr>
          <w:rStyle w:val="NotedebasdepageCar"/>
          <w:rFonts w:ascii="Garamond" w:hAnsi="Garamond"/>
          <w:i/>
        </w:rPr>
        <w:t xml:space="preserve">Racine, mythes et réalités, Actes du colloque Racine</w:t>
      </w:r>
      <w:r>
        <w:rPr>
          <w:rStyle w:val="NotedebasdepageCar"/>
          <w:rFonts w:ascii="Garamond" w:hAnsi="Garamond"/>
        </w:rPr>
        <w:t xml:space="preserve">, Paris, Libraire d’Argences, 1976, p. 53-69.</w:t>
      </w:r>
    </w:p>
  </w:footnote>
  <w:footnote w:type="normal" w:id="40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en particulier Georges Forestier, « préface » à son édition Racine, </w:t>
      </w:r>
      <w:r>
        <w:rPr>
          <w:rStyle w:val="NotedebasdepageCar"/>
          <w:rFonts w:ascii="Garamond" w:hAnsi="Garamond"/>
          <w:i/>
        </w:rPr>
        <w:t xml:space="preserve">Iphigénie</w:t>
      </w:r>
      <w:r>
        <w:rPr>
          <w:rStyle w:val="NotedebasdepageCar"/>
          <w:rFonts w:ascii="Garamond" w:hAnsi="Garamond"/>
        </w:rPr>
        <w:t xml:space="preserve">, Paris, Gallimard, « collection Folio/Théâtre », 1999, p. 17-18.</w:t>
      </w:r>
    </w:p>
  </w:footnote>
  <w:footnote w:type="normal" w:id="40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Barthes, </w:t>
      </w:r>
      <w:r>
        <w:rPr>
          <w:rStyle w:val="NotedebasdepageCar"/>
          <w:rFonts w:ascii="Garamond" w:hAnsi="Garamond"/>
          <w:i/>
        </w:rPr>
        <w:t xml:space="preserve">Sur Racine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109 : « </w:t>
      </w:r>
      <w:r>
        <w:rPr>
          <w:rStyle w:val="NotedebasdepageCar"/>
          <w:rFonts w:ascii="Garamond" w:hAnsi="Garamond"/>
          <w:i/>
        </w:rPr>
        <w:t xml:space="preserve">Iphigénie</w:t>
      </w:r>
      <w:r>
        <w:rPr>
          <w:rStyle w:val="NotedebasdepageCar"/>
          <w:rFonts w:ascii="Garamond" w:hAnsi="Garamond"/>
        </w:rPr>
        <w:t xml:space="preserve"> est ‘une grande comédie dramatique’, où le Sang n’est plus un lien tribal, mais seulement familial, une simple continuité de bénéfices et d’affections. […] La tragédie, battue en brèche de tous côtés par le puissant courant bourgeois qui emporte l’époque, la tragédie est ici tout entière réfugiée dans Ériphile ».</w:t>
      </w:r>
    </w:p>
  </w:footnote>
  <w:footnote w:type="normal" w:id="40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Aristote, </w:t>
      </w:r>
      <w:r>
        <w:rPr>
          <w:rStyle w:val="NotedebasdepageCar"/>
          <w:rFonts w:ascii="Garamond" w:hAnsi="Garamond"/>
          <w:i/>
        </w:rPr>
        <w:t xml:space="preserve">La Poétique</w:t>
      </w:r>
      <w:r>
        <w:rPr>
          <w:rStyle w:val="NotedebasdepageCar"/>
          <w:rFonts w:ascii="Garamond" w:hAnsi="Garamond"/>
        </w:rPr>
        <w:t xml:space="preserve">, Paris, Le Seuil, 1980, ch. 15, 54a28-32, p. 84-85.</w:t>
      </w:r>
    </w:p>
  </w:footnote>
  <w:footnote w:type="normal" w:id="40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Euripide, </w:t>
      </w:r>
      <w:r>
        <w:rPr>
          <w:rStyle w:val="NotedebasdepageCar"/>
          <w:rFonts w:ascii="Garamond" w:hAnsi="Garamond"/>
          <w:i/>
        </w:rPr>
        <w:t xml:space="preserve">Iphigénie en Aulis</w:t>
      </w:r>
      <w:r>
        <w:rPr>
          <w:rStyle w:val="NotedebasdepageCar"/>
          <w:rFonts w:ascii="Garamond" w:hAnsi="Garamond"/>
        </w:rPr>
        <w:t xml:space="preserve">, Paris, Belles Lettres, 1990, v. 638.</w:t>
      </w:r>
    </w:p>
  </w:footnote>
  <w:footnote w:type="normal" w:id="40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Avec une ironie évidente, Euripide emploie justement le terme προτέλεια dans sa pièce pour se référer au sacrifice qui se prépare : Clytemnestre en arrivant en Aulide demande si tout est prêt pour le rite du mariage, prenant le sacrifice imminent de sa fille pour le sacrifice pré-nuptial qui devait la libérer du joug d’Artémis pour lui permettre de se consacrer à Aphrodite, passant du père à l’époux.</w:t>
      </w:r>
    </w:p>
  </w:footnote>
  <w:footnote w:type="normal" w:id="40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Au rappel des deux premiers termes par Achille (Racine, </w:t>
      </w:r>
      <w:r>
        <w:rPr>
          <w:rStyle w:val="NotedebasdepageCar"/>
          <w:rFonts w:ascii="Garamond" w:hAnsi="Garamond"/>
          <w:i/>
        </w:rPr>
        <w:t xml:space="preserve">Iphigénie</w:t>
      </w:r>
      <w:r>
        <w:rPr>
          <w:rStyle w:val="NotedebasdepageCar"/>
          <w:rFonts w:ascii="Garamond" w:hAnsi="Garamond"/>
        </w:rPr>
        <w:t xml:space="preserve">,</w:t>
      </w:r>
      <w:r>
        <w:rPr>
          <w:rStyle w:val="NotedebasdepageCar"/>
          <w:rFonts w:ascii="Garamond" w:hAnsi="Garamond"/>
          <w:i/>
        </w:rPr>
        <w:t xml:space="preserve"> op. cit.</w:t>
      </w:r>
      <w:r>
        <w:rPr>
          <w:rStyle w:val="NotedebasdepageCar"/>
          <w:rFonts w:ascii="Garamond" w:hAnsi="Garamond"/>
        </w:rPr>
        <w:t xml:space="preserve">, v. 1573 : « Ma gloire, mon amour, vous ordonnent de vivre »), Iphigénie oppose les deux derniers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1575-1577 : « Qui moi ? Que contre un Père osant me révolter, / Je mérite la mort, que j’irais éviter ? / Où serait le respect ! Et ce devoir suprême… »).</w:t>
      </w:r>
    </w:p>
  </w:footnote>
  <w:footnote w:type="normal" w:id="40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Boyer, </w:t>
      </w:r>
      <w:r>
        <w:rPr>
          <w:rStyle w:val="NotedebasdepageCar"/>
          <w:rFonts w:ascii="Garamond" w:hAnsi="Garamond"/>
          <w:i/>
        </w:rPr>
        <w:t xml:space="preserve">Achilles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15 : « His worth, my Father, my Heart bid me Love him ».</w:t>
      </w:r>
    </w:p>
  </w:footnote>
  <w:footnote w:type="normal" w:id="41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18: « His Fame, his Love, my Parents, and my Duty ».</w:t>
      </w:r>
    </w:p>
  </w:footnote>
  <w:footnote w:type="normal" w:id="41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1001 ss. et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31.</w:t>
      </w:r>
    </w:p>
  </w:footnote>
  <w:footnote w:type="normal" w:id="41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1566 ss. et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49.</w:t>
      </w:r>
    </w:p>
  </w:footnote>
  <w:footnote w:type="normal" w:id="41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Cf.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v. 1599-1600 (« Portez à votre Père un cœur, où j’entrevois / Moins de respect pour lui, que de haine pour moi ») et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50.</w:t>
      </w:r>
    </w:p>
  </w:footnote>
  <w:footnote w:type="normal" w:id="41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w:t>
      </w:r>
      <w:r>
        <w:rPr>
          <w:rStyle w:val="NotedebasdepageCar"/>
          <w:rFonts w:ascii="Garamond" w:hAnsi="Garamond"/>
          <w:i/>
        </w:rPr>
        <w:t xml:space="preserve">L’Ingénu</w:t>
      </w:r>
      <w:r>
        <w:rPr>
          <w:rStyle w:val="NotedebasdepageCar"/>
          <w:rFonts w:ascii="Garamond" w:hAnsi="Garamond"/>
        </w:rPr>
        <w:t xml:space="preserve">, dans </w:t>
      </w:r>
      <w:r>
        <w:rPr>
          <w:rStyle w:val="NotedebasdepageCar"/>
          <w:rFonts w:ascii="Garamond" w:hAnsi="Garamond"/>
          <w:i/>
        </w:rPr>
        <w:t xml:space="preserve">OCV</w:t>
      </w:r>
      <w:r>
        <w:rPr>
          <w:rStyle w:val="NotedebasdepageCar"/>
          <w:rFonts w:ascii="Garamond" w:hAnsi="Garamond"/>
          <w:i/>
        </w:rPr>
        <w:t xml:space="preserve"> </w:t>
      </w:r>
      <w:r>
        <w:rPr>
          <w:rStyle w:val="NotedebasdepageCar"/>
          <w:rFonts w:ascii="Garamond" w:hAnsi="Garamond"/>
        </w:rPr>
        <w:t xml:space="preserve">[désormais </w:t>
      </w:r>
      <w:r>
        <w:rPr>
          <w:rStyle w:val="NotedebasdepageCar"/>
          <w:rFonts w:ascii="Garamond" w:hAnsi="Garamond"/>
          <w:i/>
        </w:rPr>
        <w:t xml:space="preserve">OCV</w:t>
      </w:r>
      <w:r>
        <w:rPr>
          <w:rStyle w:val="NotedebasdepageCar"/>
          <w:rFonts w:ascii="Garamond" w:hAnsi="Garamond"/>
        </w:rPr>
        <w:t xml:space="preserve">], Oxford, Voltaire Foundation, t. 23C, chap. 12 (fin du chapitre), p. 272.</w:t>
      </w:r>
    </w:p>
  </w:footnote>
  <w:footnote w:type="normal" w:id="41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La Bruyère, </w:t>
      </w:r>
      <w:r>
        <w:rPr>
          <w:rStyle w:val="NotedebasdepageCar"/>
          <w:rFonts w:ascii="Garamond" w:hAnsi="Garamond"/>
          <w:i/>
        </w:rPr>
        <w:t xml:space="preserve">Les Caractères</w:t>
      </w:r>
      <w:r>
        <w:rPr>
          <w:rStyle w:val="NotedebasdepageCar"/>
          <w:rFonts w:ascii="Garamond" w:hAnsi="Garamond"/>
        </w:rPr>
        <w:t xml:space="preserve">, éd. Emmanuel Bury, Paris, Le Livre de poche, 1995, « Des ouvrages de l’esprit », §54, p. 148.</w:t>
      </w:r>
    </w:p>
  </w:footnote>
  <w:footnote w:type="normal" w:id="41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w:t>
      </w:r>
      <w:r>
        <w:rPr>
          <w:rStyle w:val="NotedebasdepageCar"/>
          <w:rFonts w:ascii="Garamond" w:hAnsi="Garamond"/>
          <w:i/>
        </w:rPr>
        <w:t xml:space="preserve">Commentaires sur Corneille</w:t>
      </w:r>
      <w:r>
        <w:rPr>
          <w:rStyle w:val="NotedebasdepageCar"/>
          <w:rFonts w:ascii="Garamond" w:hAnsi="Garamond"/>
        </w:rPr>
        <w:t xml:space="preserve">, dans </w:t>
      </w:r>
      <w:r>
        <w:rPr>
          <w:rStyle w:val="NotedebasdepageCar"/>
          <w:rFonts w:ascii="Garamond" w:hAnsi="Garamond"/>
          <w:i/>
        </w:rPr>
        <w:t xml:space="preserve">OCV</w:t>
      </w:r>
      <w:r>
        <w:rPr>
          <w:rStyle w:val="NotedebasdepageCar"/>
          <w:rFonts w:ascii="Garamond" w:hAnsi="Garamond"/>
        </w:rPr>
        <w:t xml:space="preserve">, t. 53, p. 235. </w:t>
      </w:r>
    </w:p>
  </w:footnote>
  <w:footnote w:type="normal" w:id="41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973.</w:t>
      </w:r>
      <w:r>
        <w:rPr>
          <w:rStyle w:val="NotedebasdepageCar"/>
          <w:rFonts w:ascii="Garamond" w:hAnsi="Garamond"/>
        </w:rPr>
        <w:t xml:space="preserve"> </w:t>
      </w:r>
      <w:r>
        <w:rPr>
          <w:rStyle w:val="NotedebasdepageCar"/>
          <w:rFonts w:ascii="Garamond" w:hAnsi="Garamond"/>
        </w:rPr>
        <w:t xml:space="preserve">Voir Boileau, </w:t>
      </w:r>
      <w:r>
        <w:rPr>
          <w:rStyle w:val="NotedebasdepageCar"/>
          <w:rFonts w:ascii="Garamond" w:hAnsi="Garamond"/>
          <w:i/>
        </w:rPr>
        <w:t xml:space="preserve">Épîtres</w:t>
      </w:r>
      <w:r>
        <w:rPr>
          <w:rStyle w:val="NotedebasdepageCar"/>
          <w:rFonts w:ascii="Garamond" w:hAnsi="Garamond"/>
        </w:rPr>
        <w:t xml:space="preserve">, VII, v. 3-6.</w:t>
      </w:r>
    </w:p>
  </w:footnote>
  <w:footnote w:type="normal" w:id="41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w:t>
      </w:r>
      <w:r>
        <w:rPr>
          <w:rStyle w:val="NotedebasdepageCar"/>
          <w:rFonts w:ascii="Garamond" w:hAnsi="Garamond"/>
          <w:i/>
        </w:rPr>
        <w:t xml:space="preserve">Questions sur l’Encyclopédie</w:t>
      </w:r>
      <w:r>
        <w:rPr>
          <w:rStyle w:val="NotedebasdepageCar"/>
          <w:rFonts w:ascii="Garamond" w:hAnsi="Garamond"/>
        </w:rPr>
        <w:t xml:space="preserve">, dans </w:t>
      </w:r>
      <w:r>
        <w:rPr>
          <w:rStyle w:val="NotedebasdepageCar"/>
          <w:rFonts w:ascii="Garamond" w:hAnsi="Garamond"/>
          <w:i/>
        </w:rPr>
        <w:t xml:space="preserve">OCV</w:t>
      </w:r>
      <w:r>
        <w:rPr>
          <w:rStyle w:val="NotedebasdepageCar"/>
          <w:rFonts w:ascii="Garamond" w:hAnsi="Garamond"/>
        </w:rPr>
        <w:t xml:space="preserve">, t. 39, </w:t>
      </w:r>
      <w:r>
        <w:rPr>
          <w:rStyle w:val="NotedebasdepageCar"/>
          <w:rFonts w:ascii="Garamond" w:hAnsi="Garamond"/>
        </w:rPr>
        <w:t xml:space="preserve">p. </w:t>
      </w:r>
      <w:r>
        <w:rPr>
          <w:rStyle w:val="NotedebasdepageCar"/>
          <w:rFonts w:ascii="Garamond" w:hAnsi="Garamond"/>
        </w:rPr>
        <w:t xml:space="preserve">65-77.</w:t>
      </w:r>
    </w:p>
  </w:footnote>
  <w:footnote w:type="normal" w:id="41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Rousseau, </w:t>
      </w:r>
      <w:r>
        <w:rPr>
          <w:rStyle w:val="NotedebasdepageCar"/>
          <w:rFonts w:ascii="Garamond" w:hAnsi="Garamond"/>
          <w:i/>
        </w:rPr>
        <w:t xml:space="preserve">Lettre</w:t>
      </w:r>
      <w:r>
        <w:rPr>
          <w:rStyle w:val="NotedebasdepageCar"/>
          <w:rFonts w:ascii="Garamond" w:hAnsi="Garamond"/>
          <w:i/>
        </w:rPr>
        <w:t xml:space="preserve"> à d’Alembert</w:t>
      </w:r>
      <w:r>
        <w:rPr>
          <w:rStyle w:val="NotedebasdepageCar"/>
          <w:rFonts w:ascii="Garamond" w:hAnsi="Garamond"/>
        </w:rPr>
        <w:t xml:space="preserve">, dans </w:t>
      </w:r>
      <w:r>
        <w:rPr>
          <w:rStyle w:val="NotedebasdepageCar"/>
          <w:rFonts w:ascii="Garamond" w:hAnsi="Garamond"/>
          <w:i/>
        </w:rPr>
        <w:t xml:space="preserve">Œuvres Complètes</w:t>
      </w:r>
      <w:r>
        <w:rPr>
          <w:rStyle w:val="NotedebasdepageCar"/>
          <w:rFonts w:ascii="Garamond" w:hAnsi="Garamond"/>
        </w:rPr>
        <w:t xml:space="preserve">, dir. Bernard Gagnebin et Marcel Raymond, Paris, Gallimard, « Bibliothèque de la Pléiade », 1995, t. V, p. 49.</w:t>
      </w:r>
    </w:p>
  </w:footnote>
  <w:footnote w:type="normal" w:id="42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w:t>
      </w:r>
      <w:r>
        <w:rPr>
          <w:rStyle w:val="NotedebasdepageCar"/>
          <w:rFonts w:ascii="Garamond" w:hAnsi="Garamond"/>
          <w:i/>
        </w:rPr>
        <w:t xml:space="preserve">Commentaires sur Corneille</w:t>
      </w:r>
      <w:r>
        <w:rPr>
          <w:rStyle w:val="NotedebasdepageCar"/>
          <w:rFonts w:ascii="Garamond" w:hAnsi="Garamond"/>
        </w:rPr>
        <w:t xml:space="preserve">, dans </w:t>
      </w:r>
      <w:r>
        <w:rPr>
          <w:rStyle w:val="NotedebasdepageCar"/>
          <w:rFonts w:ascii="Garamond" w:hAnsi="Garamond"/>
          <w:i/>
        </w:rPr>
        <w:t xml:space="preserve">OCV</w:t>
      </w:r>
      <w:r>
        <w:rPr>
          <w:rStyle w:val="NotedebasdepageCar"/>
          <w:rFonts w:ascii="Garamond" w:hAnsi="Garamond"/>
        </w:rPr>
        <w:t xml:space="preserve">, t. 53, p. 119.</w:t>
      </w:r>
    </w:p>
  </w:footnote>
  <w:footnote w:type="normal" w:id="42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Moishe Black, « M</w:t>
      </w:r>
      <w:r>
        <w:rPr>
          <w:rStyle w:val="NotedebasdepageCar"/>
          <w:rFonts w:ascii="Garamond" w:hAnsi="Garamond"/>
        </w:rPr>
        <w:t xml:space="preserve">urder most foul – Iphigeneia, Lucretius and Diderot </w:t>
      </w:r>
      <w:r>
        <w:rPr>
          <w:rStyle w:val="NotedebasdepageCar"/>
          <w:rFonts w:ascii="Garamond" w:hAnsi="Garamond"/>
        </w:rPr>
        <w:t xml:space="preserve">»</w:t>
      </w:r>
      <w:r>
        <w:rPr>
          <w:rStyle w:val="NotedebasdepageCar"/>
          <w:rFonts w:ascii="Garamond" w:hAnsi="Garamond"/>
        </w:rPr>
        <w:t xml:space="preserve">, </w:t>
      </w:r>
      <w:r>
        <w:rPr>
          <w:rStyle w:val="NotedebasdepageCar"/>
          <w:rFonts w:ascii="Garamond" w:hAnsi="Garamond"/>
          <w:i/>
        </w:rPr>
        <w:t xml:space="preserve">Diderot studies</w:t>
      </w:r>
      <w:r>
        <w:rPr>
          <w:rStyle w:val="NotedebasdepageCar"/>
          <w:rFonts w:ascii="Garamond" w:hAnsi="Garamond"/>
        </w:rPr>
        <w:t xml:space="preserve">, vol. 29, 2003, p. 15.</w:t>
      </w:r>
    </w:p>
  </w:footnote>
  <w:footnote w:type="normal" w:id="42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Diderot, lettre à Sophie Volland du 6 novembre 1760, dans </w:t>
      </w:r>
      <w:r>
        <w:rPr>
          <w:rStyle w:val="NotedebasdepageCar"/>
          <w:rFonts w:ascii="Garamond" w:hAnsi="Garamond"/>
          <w:i/>
        </w:rPr>
        <w:t xml:space="preserve">Œuvres complètes</w:t>
      </w:r>
      <w:r>
        <w:rPr>
          <w:rStyle w:val="NotedebasdepageCar"/>
          <w:rFonts w:ascii="Garamond" w:hAnsi="Garamond"/>
        </w:rPr>
        <w:t xml:space="preserve">, éd. </w:t>
      </w:r>
      <w:r>
        <w:rPr>
          <w:rStyle w:val="NotedebasdepageCar"/>
          <w:rFonts w:ascii="Garamond" w:hAnsi="Garamond"/>
        </w:rPr>
        <w:t xml:space="preserve">H. Dieckmann, G. Proust, J. Varlott</w:t>
      </w:r>
      <w:r>
        <w:rPr>
          <w:rStyle w:val="NotedebasdepageCar"/>
          <w:rFonts w:ascii="Garamond" w:hAnsi="Garamond"/>
        </w:rPr>
        <w:t xml:space="preserve"> [désormais </w:t>
      </w:r>
      <w:r>
        <w:rPr>
          <w:rStyle w:val="NotedebasdepageCar"/>
          <w:rFonts w:ascii="Garamond" w:hAnsi="Garamond"/>
          <w:i/>
        </w:rPr>
        <w:t xml:space="preserve">DPV</w:t>
      </w:r>
      <w:r>
        <w:rPr>
          <w:rStyle w:val="NotedebasdepageCar"/>
          <w:rFonts w:ascii="Garamond" w:hAnsi="Garamond"/>
        </w:rPr>
        <w:t xml:space="preserve">]</w:t>
      </w:r>
      <w:r>
        <w:rPr>
          <w:rStyle w:val="NotedebasdepageCar"/>
          <w:rFonts w:ascii="Garamond" w:hAnsi="Garamond"/>
        </w:rPr>
        <w:t xml:space="preserve">, Paris, Hermann, t. 28, </w:t>
      </w:r>
      <w:r>
        <w:rPr>
          <w:rStyle w:val="NotedebasdepageCar"/>
          <w:rFonts w:ascii="Garamond" w:hAnsi="Garamond"/>
        </w:rPr>
        <w:t xml:space="preserve">p. </w:t>
      </w:r>
      <w:r>
        <w:rPr>
          <w:rStyle w:val="NotedebasdepageCar"/>
          <w:rFonts w:ascii="Garamond" w:hAnsi="Garamond"/>
        </w:rPr>
        <w:t xml:space="preserve">887.</w:t>
      </w:r>
    </w:p>
  </w:footnote>
  <w:footnote w:type="normal" w:id="42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Roland Barthes, </w:t>
      </w:r>
      <w:r>
        <w:rPr>
          <w:rStyle w:val="NotedebasdepageCar"/>
          <w:rFonts w:ascii="Garamond" w:hAnsi="Garamond"/>
          <w:i/>
        </w:rPr>
        <w:t xml:space="preserve">Sur Racine</w:t>
      </w:r>
      <w:r>
        <w:rPr>
          <w:rStyle w:val="NotedebasdepageCar"/>
          <w:rFonts w:ascii="Garamond" w:hAnsi="Garamond"/>
        </w:rPr>
        <w:t xml:space="preserve">, Paris, Seuil, 1963, p. 110.</w:t>
      </w:r>
    </w:p>
  </w:footnote>
  <w:footnote w:type="normal" w:id="42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Rohou, </w:t>
      </w:r>
      <w:r>
        <w:rPr>
          <w:rStyle w:val="NotedebasdepageCar"/>
          <w:rFonts w:ascii="Garamond" w:hAnsi="Garamond"/>
          <w:i/>
        </w:rPr>
        <w:t xml:space="preserve">L’</w:t>
      </w:r>
      <w:r>
        <w:rPr>
          <w:rStyle w:val="NotedebasdepageCar"/>
          <w:rFonts w:ascii="Garamond" w:hAnsi="Garamond"/>
          <w:i/>
        </w:rPr>
        <w:t xml:space="preserve">é</w:t>
      </w:r>
      <w:r>
        <w:rPr>
          <w:rStyle w:val="NotedebasdepageCar"/>
          <w:rFonts w:ascii="Garamond" w:hAnsi="Garamond"/>
          <w:i/>
        </w:rPr>
        <w:t xml:space="preserve">volution du tragique racinien</w:t>
      </w:r>
      <w:r>
        <w:rPr>
          <w:rStyle w:val="NotedebasdepageCar"/>
          <w:rFonts w:ascii="Garamond" w:hAnsi="Garamond"/>
        </w:rPr>
        <w:t xml:space="preserve">, Paris, SEDES, 1991. </w:t>
      </w:r>
    </w:p>
  </w:footnote>
  <w:footnote w:type="normal" w:id="42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I, 1, v. 107 ; Voltaire, </w:t>
      </w:r>
      <w:r>
        <w:rPr>
          <w:rStyle w:val="NotedebasdepageCar"/>
          <w:rFonts w:ascii="Garamond" w:hAnsi="Garamond"/>
          <w:i/>
        </w:rPr>
        <w:t xml:space="preserve">La Henriade</w:t>
      </w:r>
      <w:r>
        <w:rPr>
          <w:rStyle w:val="NotedebasdepageCar"/>
          <w:rFonts w:ascii="Garamond" w:hAnsi="Garamond"/>
        </w:rPr>
        <w:t xml:space="preserve">, chant IX, v. 85 (</w:t>
      </w:r>
      <w:r>
        <w:rPr>
          <w:rStyle w:val="NotedebasdepageCar"/>
          <w:rFonts w:ascii="Garamond" w:hAnsi="Garamond"/>
          <w:i/>
        </w:rPr>
        <w:t xml:space="preserve">OCV</w:t>
      </w:r>
      <w:r>
        <w:rPr>
          <w:rStyle w:val="NotedebasdepageCar"/>
          <w:rFonts w:ascii="Garamond" w:hAnsi="Garamond"/>
        </w:rPr>
        <w:t xml:space="preserve">, t. 2, p. 580).</w:t>
      </w:r>
    </w:p>
  </w:footnote>
  <w:footnote w:type="normal" w:id="42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V, 4, v. 1307-1308 ; Voltaire, </w:t>
      </w:r>
      <w:r>
        <w:rPr>
          <w:rStyle w:val="NotedebasdepageCar"/>
          <w:rFonts w:ascii="Garamond" w:hAnsi="Garamond"/>
          <w:i/>
        </w:rPr>
        <w:t xml:space="preserve">La Henriade</w:t>
      </w:r>
      <w:r>
        <w:rPr>
          <w:rStyle w:val="NotedebasdepageCar"/>
          <w:rFonts w:ascii="Garamond" w:hAnsi="Garamond"/>
        </w:rPr>
        <w:t xml:space="preserve">, chant V, v. 184 (</w:t>
      </w:r>
      <w:r>
        <w:rPr>
          <w:rStyle w:val="NotedebasdepageCar"/>
          <w:rFonts w:ascii="Garamond" w:hAnsi="Garamond"/>
          <w:i/>
        </w:rPr>
        <w:t xml:space="preserve">OCV</w:t>
      </w:r>
      <w:r>
        <w:rPr>
          <w:rStyle w:val="NotedebasdepageCar"/>
          <w:rFonts w:ascii="Garamond" w:hAnsi="Garamond"/>
        </w:rPr>
        <w:t xml:space="preserve">, t. 2, p. 184).</w:t>
      </w:r>
    </w:p>
  </w:footnote>
  <w:footnote w:type="normal" w:id="42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Marie-Claude Hubert, « Nuits d’insomnie », dans </w:t>
      </w:r>
      <w:r>
        <w:rPr>
          <w:rStyle w:val="NotedebasdepageCar"/>
          <w:rFonts w:ascii="Garamond" w:hAnsi="Garamond"/>
          <w:i/>
        </w:rPr>
        <w:t xml:space="preserve">De Claudel à Malraux. Mélanges offerts à Michel Autrand</w:t>
      </w:r>
      <w:r>
        <w:rPr>
          <w:rStyle w:val="NotedebasdepageCar"/>
          <w:rFonts w:ascii="Garamond" w:hAnsi="Garamond"/>
        </w:rPr>
        <w:t xml:space="preserve">, dir. Pascale-Alexandre Bergues et Jean-Yves Guérin, Presses Universitaires de Franche-Comté, 2004, p. 406-407.</w:t>
      </w:r>
    </w:p>
  </w:footnote>
  <w:footnote w:type="normal" w:id="42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Catherine Ramond, </w:t>
      </w:r>
      <w:r>
        <w:rPr>
          <w:rStyle w:val="NotedebasdepageCar"/>
          <w:rFonts w:ascii="Garamond" w:hAnsi="Garamond"/>
          <w:i/>
        </w:rPr>
        <w:t xml:space="preserve">La </w:t>
      </w:r>
      <w:r>
        <w:rPr>
          <w:rStyle w:val="NotedebasdepageCar"/>
          <w:rFonts w:ascii="Garamond" w:hAnsi="Garamond"/>
          <w:i/>
        </w:rPr>
        <w:t xml:space="preserve">V</w:t>
      </w:r>
      <w:r>
        <w:rPr>
          <w:rStyle w:val="NotedebasdepageCar"/>
          <w:rFonts w:ascii="Garamond" w:hAnsi="Garamond"/>
          <w:i/>
        </w:rPr>
        <w:t xml:space="preserve">oix racinienne dans les romans du dix-huitième siècle</w:t>
      </w:r>
      <w:r>
        <w:rPr>
          <w:rStyle w:val="NotedebasdepageCar"/>
          <w:rFonts w:ascii="Garamond" w:hAnsi="Garamond"/>
        </w:rPr>
        <w:t xml:space="preserve">, Paris, Honoré Champion, 2015, p. 239-247.</w:t>
      </w:r>
    </w:p>
  </w:footnote>
  <w:footnote w:type="normal" w:id="42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Gérard Genette, </w:t>
      </w:r>
      <w:r>
        <w:rPr>
          <w:rStyle w:val="NotedebasdepageCar"/>
          <w:rFonts w:ascii="Garamond" w:hAnsi="Garamond"/>
          <w:i/>
        </w:rPr>
        <w:t xml:space="preserve">Palimpsestes</w:t>
      </w:r>
      <w:r>
        <w:rPr>
          <w:rStyle w:val="NotedebasdepageCar"/>
          <w:rFonts w:ascii="Garamond" w:hAnsi="Garamond"/>
        </w:rPr>
        <w:t xml:space="preserve">, Paris, Seuil, 1982, p. 10. </w:t>
      </w:r>
    </w:p>
  </w:footnote>
  <w:footnote w:type="normal" w:id="43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France Marchal-Ninosque, </w:t>
      </w:r>
      <w:r>
        <w:rPr>
          <w:rStyle w:val="NotedebasdepageCar"/>
          <w:rFonts w:ascii="Garamond" w:hAnsi="Garamond"/>
          <w:i/>
        </w:rPr>
        <w:t xml:space="preserve">Images du sacrifice (1670-1840)</w:t>
      </w:r>
      <w:r>
        <w:rPr>
          <w:rStyle w:val="NotedebasdepageCar"/>
          <w:rFonts w:ascii="Garamond" w:hAnsi="Garamond"/>
        </w:rPr>
        <w:t xml:space="preserve">, Paris, H. Champion, 2005, p. 64.</w:t>
      </w:r>
    </w:p>
  </w:footnote>
  <w:footnote w:type="normal" w:id="43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IV, 4, v. 1268.</w:t>
      </w:r>
    </w:p>
  </w:footnote>
  <w:footnote w:type="normal" w:id="43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39, p.71 ; </w:t>
      </w:r>
      <w:r>
        <w:rPr>
          <w:rStyle w:val="NotedebasdepageCar"/>
          <w:rFonts w:ascii="Garamond" w:hAnsi="Garamond"/>
          <w:i/>
        </w:rPr>
        <w:t xml:space="preserve">OCV</w:t>
      </w:r>
      <w:r>
        <w:rPr>
          <w:rStyle w:val="NotedebasdepageCar"/>
          <w:rFonts w:ascii="Garamond" w:hAnsi="Garamond"/>
        </w:rPr>
        <w:t xml:space="preserve">, t. 39, </w:t>
      </w:r>
      <w:r>
        <w:rPr>
          <w:rStyle w:val="NotedebasdepageCar"/>
          <w:rFonts w:ascii="Garamond" w:hAnsi="Garamond"/>
        </w:rPr>
        <w:t xml:space="preserve">p. </w:t>
      </w:r>
      <w:r>
        <w:rPr>
          <w:rStyle w:val="NotedebasdepageCar"/>
          <w:rFonts w:ascii="Garamond" w:hAnsi="Garamond"/>
        </w:rPr>
        <w:t xml:space="preserve">73.</w:t>
      </w:r>
      <w:r>
        <w:rPr>
          <w:rStyle w:val="NotedebasdepageCar"/>
          <w:rFonts w:ascii="Garamond" w:hAnsi="Garamond"/>
        </w:rPr>
        <w:t xml:space="preserve"> </w:t>
      </w:r>
      <w:r>
        <w:rPr>
          <w:rStyle w:val="NotedebasdepageCar"/>
          <w:rFonts w:ascii="Garamond" w:hAnsi="Garamond"/>
        </w:rPr>
        <w:t xml:space="preserve">Voir aussi : </w:t>
      </w:r>
      <w:r>
        <w:rPr>
          <w:rStyle w:val="NotedebasdepageCar"/>
          <w:rFonts w:ascii="Garamond" w:hAnsi="Garamond"/>
        </w:rPr>
        <w:t xml:space="preserve">« c’est là, selon moi, qu’est le comble de la perfection » (</w:t>
      </w:r>
      <w:r>
        <w:rPr>
          <w:rStyle w:val="NotedebasdepageCar"/>
          <w:rFonts w:ascii="Garamond" w:hAnsi="Garamond"/>
          <w:i/>
        </w:rPr>
        <w:t xml:space="preserve">ibid.</w:t>
      </w:r>
      <w:r>
        <w:rPr>
          <w:rStyle w:val="NotedebasdepageCar"/>
          <w:rFonts w:ascii="Garamond" w:hAnsi="Garamond"/>
        </w:rPr>
        <w:t xml:space="preserve">, p. 71).</w:t>
      </w:r>
    </w:p>
  </w:footnote>
  <w:footnote w:type="normal" w:id="43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w:t>
      </w:r>
      <w:r>
        <w:rPr>
          <w:rStyle w:val="NotedebasdepageCar"/>
          <w:rFonts w:ascii="Garamond" w:hAnsi="Garamond"/>
        </w:rPr>
        <w:t xml:space="preserve">p. </w:t>
      </w:r>
      <w:r>
        <w:rPr>
          <w:rStyle w:val="NotedebasdepageCar"/>
          <w:rFonts w:ascii="Garamond" w:hAnsi="Garamond"/>
        </w:rPr>
        <w:t xml:space="preserve">65.</w:t>
      </w:r>
    </w:p>
  </w:footnote>
  <w:footnote w:type="normal" w:id="43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w:t>
      </w:r>
      <w:r>
        <w:rPr>
          <w:rStyle w:val="NotedebasdepageCar"/>
          <w:rFonts w:ascii="Garamond" w:hAnsi="Garamond"/>
        </w:rPr>
        <w:t xml:space="preserve">p. </w:t>
      </w:r>
      <w:r>
        <w:rPr>
          <w:rStyle w:val="NotedebasdepageCar"/>
          <w:rFonts w:ascii="Garamond" w:hAnsi="Garamond"/>
        </w:rPr>
        <w:t xml:space="preserve">66.</w:t>
      </w:r>
    </w:p>
  </w:footnote>
  <w:footnote w:type="normal" w:id="43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Campbell, </w:t>
      </w:r>
      <w:r>
        <w:rPr>
          <w:rStyle w:val="NotedebasdepageCar"/>
          <w:rFonts w:ascii="Garamond" w:hAnsi="Garamond"/>
        </w:rPr>
        <w:t xml:space="preserve">p. </w:t>
      </w:r>
      <w:r>
        <w:rPr>
          <w:rStyle w:val="NotedebasdepageCar"/>
          <w:rFonts w:ascii="Garamond" w:hAnsi="Garamond"/>
        </w:rPr>
        <w:t xml:space="preserve">971.</w:t>
      </w:r>
    </w:p>
  </w:footnote>
  <w:footnote w:type="normal" w:id="43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w:t>
      </w:r>
      <w:r>
        <w:rPr>
          <w:rStyle w:val="NotedebasdepageCar"/>
          <w:rFonts w:ascii="Garamond" w:hAnsi="Garamond"/>
        </w:rPr>
        <w:t xml:space="preserve">II, </w:t>
      </w:r>
      <w:r>
        <w:rPr>
          <w:rStyle w:val="NotedebasdepageCar"/>
          <w:rFonts w:ascii="Garamond" w:hAnsi="Garamond"/>
        </w:rPr>
        <w:t xml:space="preserve">1, v.</w:t>
      </w:r>
      <w:r>
        <w:rPr>
          <w:rStyle w:val="NotedebasdepageCar"/>
          <w:rFonts w:ascii="Garamond" w:hAnsi="Garamond"/>
        </w:rPr>
        <w:t xml:space="preserve"> </w:t>
      </w:r>
      <w:r>
        <w:rPr>
          <w:rStyle w:val="NotedebasdepageCar"/>
          <w:rFonts w:ascii="Garamond" w:hAnsi="Garamond"/>
        </w:rPr>
        <w:t xml:space="preserve">497.</w:t>
      </w:r>
    </w:p>
  </w:footnote>
  <w:footnote w:type="normal" w:id="43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39, p. 69.</w:t>
      </w:r>
    </w:p>
  </w:footnote>
  <w:footnote w:type="normal" w:id="43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Saint-Évremond, </w:t>
      </w:r>
      <w:r>
        <w:rPr>
          <w:rStyle w:val="NotedebasdepageCar"/>
          <w:rFonts w:ascii="Garamond" w:hAnsi="Garamond"/>
          <w:i/>
        </w:rPr>
        <w:t xml:space="preserve">Lettres</w:t>
      </w:r>
      <w:r>
        <w:rPr>
          <w:rStyle w:val="NotedebasdepageCar"/>
          <w:rFonts w:ascii="Garamond" w:hAnsi="Garamond"/>
        </w:rPr>
        <w:t xml:space="preserve">, éd. </w:t>
      </w:r>
      <w:r>
        <w:rPr>
          <w:rStyle w:val="NotedebasdepageCar"/>
          <w:rFonts w:ascii="Garamond" w:hAnsi="Garamond"/>
        </w:rPr>
        <w:t xml:space="preserve">R. Ternois, S.T.F.M., 1967, t. 1, </w:t>
      </w:r>
      <w:r>
        <w:rPr>
          <w:rStyle w:val="NotedebasdepageCar"/>
          <w:rFonts w:ascii="Garamond" w:hAnsi="Garamond"/>
        </w:rPr>
        <w:t xml:space="preserve">p. </w:t>
      </w:r>
      <w:r>
        <w:rPr>
          <w:rStyle w:val="NotedebasdepageCar"/>
          <w:rFonts w:ascii="Garamond" w:hAnsi="Garamond"/>
        </w:rPr>
        <w:t xml:space="preserve">219.</w:t>
      </w:r>
    </w:p>
  </w:footnote>
  <w:footnote w:type="normal" w:id="43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10, p. 156-160. Comme l’écrivent Jacques Chouillet et Anne-Marie Chouillet, « c’est donc à Racine que Diderot va finalement demander des modèles rythmiques susceptibles de rajeunir l’opéra » (</w:t>
      </w:r>
      <w:r>
        <w:rPr>
          <w:rStyle w:val="NotedebasdepageCar"/>
          <w:rFonts w:ascii="Garamond" w:hAnsi="Garamond"/>
          <w:i/>
        </w:rPr>
        <w:t xml:space="preserve">ibid.</w:t>
      </w:r>
      <w:r>
        <w:rPr>
          <w:rStyle w:val="NotedebasdepageCar"/>
          <w:rFonts w:ascii="Garamond" w:hAnsi="Garamond"/>
        </w:rPr>
        <w:t xml:space="preserve">, p. 157).</w:t>
      </w:r>
    </w:p>
  </w:footnote>
  <w:footnote w:type="normal" w:id="44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4, </w:t>
      </w:r>
      <w:r>
        <w:rPr>
          <w:rStyle w:val="NotedebasdepageCar"/>
          <w:rFonts w:ascii="Garamond" w:hAnsi="Garamond"/>
        </w:rPr>
        <w:t xml:space="preserve">p. </w:t>
      </w:r>
      <w:r>
        <w:rPr>
          <w:rStyle w:val="NotedebasdepageCar"/>
          <w:rFonts w:ascii="Garamond" w:hAnsi="Garamond"/>
        </w:rPr>
        <w:t xml:space="preserve">184. </w:t>
      </w:r>
    </w:p>
  </w:footnote>
  <w:footnote w:type="normal" w:id="44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12, </w:t>
      </w:r>
      <w:r>
        <w:rPr>
          <w:rStyle w:val="NotedebasdepageCar"/>
          <w:rFonts w:ascii="Garamond" w:hAnsi="Garamond"/>
        </w:rPr>
        <w:t xml:space="preserve">p. </w:t>
      </w:r>
      <w:r>
        <w:rPr>
          <w:rStyle w:val="NotedebasdepageCar"/>
          <w:rFonts w:ascii="Garamond" w:hAnsi="Garamond"/>
        </w:rPr>
        <w:t xml:space="preserve">169.</w:t>
      </w:r>
    </w:p>
  </w:footnote>
  <w:footnote w:type="normal" w:id="44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 </w:t>
      </w:r>
      <w:r>
        <w:rPr>
          <w:rStyle w:val="NotedebasdepageCar"/>
          <w:rFonts w:ascii="Garamond" w:hAnsi="Garamond"/>
          <w:i/>
        </w:rPr>
        <w:t xml:space="preserve">DPV</w:t>
      </w:r>
      <w:r>
        <w:rPr>
          <w:rStyle w:val="NotedebasdepageCar"/>
          <w:rFonts w:ascii="Garamond" w:hAnsi="Garamond"/>
        </w:rPr>
        <w:t xml:space="preserve">, t. 10, p. 157.</w:t>
      </w:r>
    </w:p>
  </w:footnote>
  <w:footnote w:type="normal" w:id="44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Sophie Marchand, « Langue des émotions et retour à l’origine : le cri de la nature dans le théâtre du </w:t>
      </w:r>
      <w:r>
        <w:rPr>
          <w:rStyle w:val="NotedebasdepageCar"/>
          <w:rFonts w:ascii="Garamond" w:hAnsi="Garamond"/>
          <w:smallCaps w:val="true"/>
        </w:rPr>
        <w:t xml:space="preserve">xviii</w:t>
      </w:r>
      <w:r>
        <w:rPr>
          <w:rStyle w:val="NotedebasdepageCar"/>
          <w:rFonts w:ascii="Garamond" w:hAnsi="Garamond"/>
        </w:rPr>
        <w:t xml:space="preserve">e</w:t>
      </w:r>
      <w:r>
        <w:rPr>
          <w:rStyle w:val="NotedebasdepageCar"/>
          <w:rFonts w:ascii="Garamond" w:hAnsi="Garamond"/>
        </w:rPr>
        <w:t xml:space="preserve"> siècle », </w:t>
      </w:r>
      <w:r>
        <w:rPr>
          <w:rStyle w:val="NotedebasdepageCar"/>
          <w:rFonts w:ascii="Garamond" w:hAnsi="Garamond"/>
          <w:i/>
        </w:rPr>
        <w:t xml:space="preserve">La langue des émotions (</w:t>
      </w:r>
      <w:r>
        <w:rPr>
          <w:rStyle w:val="NotedebasdepageCar"/>
          <w:rFonts w:ascii="Garamond" w:hAnsi="Garamond"/>
          <w:i/>
          <w:smallCaps w:val="true"/>
        </w:rPr>
        <w:t xml:space="preserve">xvi</w:t>
      </w:r>
      <w:r>
        <w:rPr>
          <w:rStyle w:val="NotedebasdepageCar"/>
          <w:rFonts w:ascii="Garamond" w:hAnsi="Garamond"/>
          <w:i/>
        </w:rPr>
        <w:t xml:space="preserve">e</w:t>
      </w:r>
      <w:r>
        <w:rPr>
          <w:rStyle w:val="NotedebasdepageCar"/>
          <w:rFonts w:ascii="Garamond" w:hAnsi="Garamond"/>
          <w:i/>
        </w:rPr>
        <w:t xml:space="preserve">-</w:t>
      </w:r>
      <w:r>
        <w:rPr>
          <w:rStyle w:val="NotedebasdepageCar"/>
          <w:rFonts w:ascii="Garamond" w:hAnsi="Garamond"/>
          <w:i/>
          <w:smallCaps w:val="true"/>
        </w:rPr>
        <w:t xml:space="preserve">xviii</w:t>
      </w:r>
      <w:r>
        <w:rPr>
          <w:rStyle w:val="NotedebasdepageCar"/>
          <w:rFonts w:ascii="Garamond" w:hAnsi="Garamond"/>
          <w:i/>
        </w:rPr>
        <w:t xml:space="preserve">e</w:t>
      </w:r>
      <w:r>
        <w:rPr>
          <w:rStyle w:val="NotedebasdepageCar"/>
          <w:rFonts w:ascii="Garamond" w:hAnsi="Garamond"/>
          <w:i/>
        </w:rPr>
        <w:t xml:space="preserve"> siècle)</w:t>
      </w:r>
      <w:r>
        <w:rPr>
          <w:rStyle w:val="NotedebasdepageCar"/>
          <w:rFonts w:ascii="Garamond" w:hAnsi="Garamond"/>
        </w:rPr>
        <w:t xml:space="preserve">, dir. Véronique Ferrer et Catherine Ramond, Paris, Classiques Garnier, p. 293.</w:t>
      </w:r>
    </w:p>
  </w:footnote>
  <w:footnote w:type="normal" w:id="44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Jacques Scherer, </w:t>
      </w:r>
      <w:r>
        <w:rPr>
          <w:rStyle w:val="NotedebasdepageCar"/>
          <w:rFonts w:ascii="Garamond" w:hAnsi="Garamond"/>
          <w:i/>
        </w:rPr>
        <w:t xml:space="preserve">Le Cardinal et l’Orang-outan. Essai sur les inversions et les distances dans la pensée de Diderot</w:t>
      </w:r>
      <w:r>
        <w:rPr>
          <w:rStyle w:val="NotedebasdepageCar"/>
          <w:rFonts w:ascii="Garamond" w:hAnsi="Garamond"/>
        </w:rPr>
        <w:t xml:space="preserve">, Société d’Edition et d’Enseignement Supérieur, Paris, 1972, p. 149.</w:t>
      </w:r>
    </w:p>
  </w:footnote>
  <w:footnote w:type="normal" w:id="44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Buford Norman, « Racine déraciné : l’utilisation de vers d’</w:t>
      </w:r>
      <w:r>
        <w:rPr>
          <w:rStyle w:val="NotedebasdepageCar"/>
          <w:rFonts w:ascii="Garamond" w:hAnsi="Garamond"/>
          <w:i/>
        </w:rPr>
        <w:t xml:space="preserve">Andromaque</w:t>
      </w:r>
      <w:r>
        <w:rPr>
          <w:rStyle w:val="NotedebasdepageCar"/>
          <w:rFonts w:ascii="Garamond" w:hAnsi="Garamond"/>
        </w:rPr>
        <w:t xml:space="preserve"> dans le livret de Pitra »,</w:t>
      </w:r>
      <w:r>
        <w:rPr>
          <w:rStyle w:val="NotedebasdepageCar"/>
          <w:rFonts w:ascii="Garamond" w:hAnsi="Garamond"/>
          <w:i/>
        </w:rPr>
        <w:t xml:space="preserve"> Regards sur la musique. Grétry en société</w:t>
      </w:r>
      <w:r>
        <w:rPr>
          <w:rStyle w:val="NotedebasdepageCar"/>
          <w:rFonts w:ascii="Garamond" w:hAnsi="Garamond"/>
        </w:rPr>
        <w:t xml:space="preserve">, dir. Jean Duron, Versailles, Mardaga, 2009, p. 179.</w:t>
      </w:r>
    </w:p>
  </w:footnote>
  <w:footnote w:type="normal" w:id="44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Œuvres Complètes</w:t>
      </w:r>
      <w:r>
        <w:rPr>
          <w:rStyle w:val="NotedebasdepageCar"/>
          <w:rFonts w:ascii="Garamond" w:hAnsi="Garamond"/>
        </w:rPr>
        <w:t xml:space="preserve">, éd. Raymond Picard, Paris, Gallimard, « Bibliothèque de la Pléiade », 1950, p. 667.</w:t>
      </w:r>
    </w:p>
  </w:footnote>
  <w:footnote w:type="normal" w:id="44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II, 2, v. 578.</w:t>
      </w:r>
    </w:p>
  </w:footnote>
  <w:footnote w:type="normal" w:id="44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Luneau de Boisjermain, </w:t>
      </w:r>
      <w:r>
        <w:rPr>
          <w:rStyle w:val="NotedebasdepageCar"/>
          <w:rFonts w:ascii="Garamond" w:hAnsi="Garamond"/>
          <w:i/>
        </w:rPr>
        <w:t xml:space="preserve">Commentaires sur les œuvres de Racine</w:t>
      </w:r>
      <w:r>
        <w:rPr>
          <w:rStyle w:val="NotedebasdepageCar"/>
          <w:rFonts w:ascii="Garamond" w:hAnsi="Garamond"/>
        </w:rPr>
        <w:t xml:space="preserve">, t. II, Panckoucke, 1768, p. 292. Voir l’article </w:t>
      </w:r>
      <w:r>
        <w:rPr>
          <w:rStyle w:val="NotedebasdepageCar"/>
          <w:rFonts w:ascii="Garamond" w:hAnsi="Garamond"/>
          <w:smallCaps w:val="true"/>
        </w:rPr>
        <w:t xml:space="preserve">Art dramatique</w:t>
      </w:r>
      <w:r>
        <w:rPr>
          <w:rStyle w:val="NotedebasdepageCar"/>
          <w:rFonts w:ascii="Garamond" w:hAnsi="Garamond"/>
        </w:rPr>
        <w:t xml:space="preserve"> de Voltaire : « M. Luneau de Boisjermain, qui a fait une édition de Racine avec des commentaires, voudrait que la catastrophe d’Iphigénie fût en action sur le théâtre » (</w:t>
      </w:r>
      <w:r>
        <w:rPr>
          <w:rStyle w:val="NotedebasdepageCar"/>
          <w:rFonts w:ascii="Garamond" w:hAnsi="Garamond"/>
          <w:i/>
        </w:rPr>
        <w:t xml:space="preserve">OCV</w:t>
      </w:r>
      <w:r>
        <w:rPr>
          <w:rStyle w:val="NotedebasdepageCar"/>
          <w:rFonts w:ascii="Garamond" w:hAnsi="Garamond"/>
        </w:rPr>
        <w:t xml:space="preserve">, t. 39, p. 75). </w:t>
      </w:r>
    </w:p>
  </w:footnote>
  <w:footnote w:type="normal" w:id="44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w:t>
      </w:r>
      <w:r>
        <w:rPr>
          <w:rStyle w:val="NotedebasdepageCar"/>
          <w:rFonts w:ascii="Garamond" w:hAnsi="Garamond"/>
        </w:rPr>
        <w:t xml:space="preserve">p. </w:t>
      </w:r>
      <w:r>
        <w:rPr>
          <w:rStyle w:val="NotedebasdepageCar"/>
          <w:rFonts w:ascii="Garamond" w:hAnsi="Garamond"/>
        </w:rPr>
        <w:t xml:space="preserve">69.</w:t>
      </w:r>
    </w:p>
  </w:footnote>
  <w:footnote w:type="normal" w:id="45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10, p. 394 ; Racine, </w:t>
      </w:r>
      <w:r>
        <w:rPr>
          <w:rStyle w:val="NotedebasdepageCar"/>
          <w:rFonts w:ascii="Garamond" w:hAnsi="Garamond"/>
          <w:i/>
        </w:rPr>
        <w:t xml:space="preserve">Phèdre</w:t>
      </w:r>
      <w:r>
        <w:rPr>
          <w:rStyle w:val="NotedebasdepageCar"/>
          <w:rFonts w:ascii="Garamond" w:hAnsi="Garamond"/>
        </w:rPr>
        <w:t xml:space="preserve">, IV, 6, v. 1252. </w:t>
      </w:r>
    </w:p>
  </w:footnote>
  <w:footnote w:type="normal" w:id="45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w:t>
      </w:r>
      <w:r>
        <w:rPr>
          <w:rStyle w:val="NotedebasdepageCar"/>
          <w:rFonts w:ascii="Garamond" w:hAnsi="Garamond"/>
        </w:rPr>
        <w:t xml:space="preserve">t. 20, p. </w:t>
      </w:r>
      <w:r>
        <w:rPr>
          <w:rStyle w:val="NotedebasdepageCar"/>
          <w:rFonts w:ascii="Garamond" w:hAnsi="Garamond"/>
        </w:rPr>
        <w:t xml:space="preserve">55</w:t>
      </w:r>
      <w:r>
        <w:rPr>
          <w:rStyle w:val="NotedebasdepageCar"/>
          <w:rFonts w:ascii="Garamond" w:hAnsi="Garamond"/>
        </w:rPr>
        <w:t xml:space="preserve"> ; Voltaire, </w:t>
      </w:r>
      <w:r>
        <w:rPr>
          <w:rStyle w:val="NotedebasdepageCar"/>
          <w:rFonts w:ascii="Garamond" w:hAnsi="Garamond"/>
          <w:i/>
        </w:rPr>
        <w:t xml:space="preserve">Zaïre</w:t>
      </w:r>
      <w:r>
        <w:rPr>
          <w:rStyle w:val="NotedebasdepageCar"/>
          <w:rFonts w:ascii="Garamond" w:hAnsi="Garamond"/>
        </w:rPr>
        <w:t xml:space="preserve">, IV, 2, v. 1156.</w:t>
      </w:r>
    </w:p>
  </w:footnote>
  <w:footnote w:type="normal" w:id="45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i/>
        </w:rPr>
        <w:t xml:space="preserve"> DPV</w:t>
      </w:r>
      <w:r>
        <w:rPr>
          <w:rStyle w:val="NotedebasdepageCar"/>
          <w:rFonts w:ascii="Garamond" w:hAnsi="Garamond"/>
        </w:rPr>
        <w:t xml:space="preserve">, t. </w:t>
      </w:r>
      <w:r>
        <w:rPr>
          <w:rStyle w:val="NotedebasdepageCar"/>
          <w:rFonts w:ascii="Garamond" w:hAnsi="Garamond"/>
        </w:rPr>
        <w:t xml:space="preserve">25</w:t>
      </w:r>
      <w:r>
        <w:rPr>
          <w:rStyle w:val="NotedebasdepageCar"/>
          <w:rFonts w:ascii="Garamond" w:hAnsi="Garamond"/>
        </w:rPr>
        <w:t xml:space="preserve">, </w:t>
      </w:r>
      <w:r>
        <w:rPr>
          <w:rStyle w:val="NotedebasdepageCar"/>
          <w:rFonts w:ascii="Garamond" w:hAnsi="Garamond"/>
        </w:rPr>
        <w:t xml:space="preserve">p. </w:t>
      </w:r>
      <w:r>
        <w:rPr>
          <w:rStyle w:val="NotedebasdepageCar"/>
          <w:rFonts w:ascii="Garamond" w:hAnsi="Garamond"/>
        </w:rPr>
        <w:t xml:space="preserve">324</w:t>
      </w:r>
      <w:r>
        <w:rPr>
          <w:rStyle w:val="NotedebasdepageCar"/>
          <w:rFonts w:ascii="Garamond" w:hAnsi="Garamond"/>
        </w:rPr>
        <w:t xml:space="preserve"> ; Corneille, </w:t>
      </w:r>
      <w:r>
        <w:rPr>
          <w:rStyle w:val="NotedebasdepageCar"/>
          <w:rFonts w:ascii="Garamond" w:hAnsi="Garamond"/>
          <w:i/>
        </w:rPr>
        <w:t xml:space="preserve">Cinna</w:t>
      </w:r>
      <w:r>
        <w:rPr>
          <w:rStyle w:val="NotedebasdepageCar"/>
          <w:rFonts w:ascii="Garamond" w:hAnsi="Garamond"/>
        </w:rPr>
        <w:t xml:space="preserve">, V, 3, v. 1701. </w:t>
      </w:r>
    </w:p>
  </w:footnote>
  <w:footnote w:type="normal" w:id="45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39, p. 72.</w:t>
      </w:r>
    </w:p>
  </w:footnote>
  <w:footnote w:type="normal" w:id="45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10, p. </w:t>
      </w:r>
      <w:r>
        <w:rPr>
          <w:rStyle w:val="NotedebasdepageCar"/>
          <w:rFonts w:ascii="Garamond" w:hAnsi="Garamond"/>
        </w:rPr>
        <w:t xml:space="preserve">394. </w:t>
      </w:r>
      <w:r>
        <w:rPr>
          <w:rStyle w:val="NotedebasdepageCar"/>
          <w:rFonts w:ascii="Garamond" w:hAnsi="Garamond"/>
        </w:rPr>
        <w:t xml:space="preserve">Diderot confie à cette </w:t>
      </w:r>
      <w:r>
        <w:rPr>
          <w:rStyle w:val="NotedebasdepageCar"/>
          <w:rFonts w:ascii="Garamond" w:hAnsi="Garamond"/>
        </w:rPr>
        <w:t xml:space="preserve">occasion : « on pense bien que ces gens-là sont fous de Racine : et j’avoue que je le suis aussi ». </w:t>
      </w:r>
    </w:p>
  </w:footnote>
  <w:footnote w:type="normal" w:id="45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28, p. 887</w:t>
      </w:r>
    </w:p>
  </w:footnote>
  <w:footnote w:type="normal" w:id="45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Guilhem Armand, </w:t>
      </w:r>
      <w:r>
        <w:rPr>
          <w:rStyle w:val="NotedebasdepageCar"/>
          <w:rFonts w:ascii="Garamond" w:hAnsi="Garamond"/>
          <w:i/>
        </w:rPr>
        <w:t xml:space="preserve">Le père, le fils et Diderot. Enquête sur la question de la paternité et de la filiation dans l’œuvre littéraire et philosophique de Denis Diderot</w:t>
      </w:r>
      <w:r>
        <w:rPr>
          <w:rStyle w:val="NotedebasdepageCar"/>
          <w:rFonts w:ascii="Garamond" w:hAnsi="Garamond"/>
        </w:rPr>
        <w:t xml:space="preserve">, Paris, Honoré Champion, 2022, p. 15.</w:t>
      </w:r>
    </w:p>
  </w:footnote>
  <w:footnote w:type="normal" w:id="45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George Forestier, Notice d’</w:t>
      </w:r>
      <w:r>
        <w:rPr>
          <w:rStyle w:val="NotedebasdepageCar"/>
          <w:rFonts w:ascii="Garamond" w:hAnsi="Garamond"/>
          <w:i/>
        </w:rPr>
        <w:t xml:space="preserve">Iphigénie</w:t>
      </w:r>
      <w:r>
        <w:rPr>
          <w:rStyle w:val="NotedebasdepageCar"/>
          <w:rFonts w:ascii="Garamond" w:hAnsi="Garamond"/>
        </w:rPr>
        <w:t xml:space="preserve">, dans Racine, </w:t>
      </w:r>
      <w:r>
        <w:rPr>
          <w:rStyle w:val="NotedebasdepageCar"/>
          <w:rFonts w:ascii="Garamond" w:hAnsi="Garamond"/>
          <w:i/>
        </w:rPr>
        <w:t xml:space="preserve">Œuvres complètes</w:t>
      </w:r>
      <w:r>
        <w:rPr>
          <w:rStyle w:val="NotedebasdepageCar"/>
          <w:rFonts w:ascii="Garamond" w:hAnsi="Garamond"/>
        </w:rPr>
        <w:t xml:space="preserve">, Paris, Gallimard, « Bibliothèque de la Pléiade », 1999, p. 1572-1574. </w:t>
      </w:r>
    </w:p>
  </w:footnote>
  <w:footnote w:type="normal" w:id="45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w:t>
      </w:r>
      <w:r>
        <w:rPr>
          <w:rStyle w:val="NotedebasdepageCar"/>
          <w:rFonts w:ascii="Garamond" w:hAnsi="Garamond"/>
          <w:i/>
        </w:rPr>
        <w:t xml:space="preserve">Préface des éditeurs de La Mort de César</w:t>
      </w:r>
      <w:r>
        <w:rPr>
          <w:rStyle w:val="NotedebasdepageCar"/>
          <w:rFonts w:ascii="Garamond" w:hAnsi="Garamond"/>
        </w:rPr>
        <w:t xml:space="preserve">, dans </w:t>
      </w:r>
      <w:r>
        <w:rPr>
          <w:rStyle w:val="NotedebasdepageCar"/>
          <w:rFonts w:ascii="Garamond" w:hAnsi="Garamond"/>
          <w:i/>
        </w:rPr>
        <w:t xml:space="preserve">OCV</w:t>
      </w:r>
      <w:r>
        <w:rPr>
          <w:rStyle w:val="NotedebasdepageCar"/>
          <w:rFonts w:ascii="Garamond" w:hAnsi="Garamond"/>
        </w:rPr>
        <w:t xml:space="preserve">, t. 8, p. 251.</w:t>
      </w:r>
    </w:p>
  </w:footnote>
  <w:footnote w:type="normal" w:id="45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lettre à Charles Porée de janvier 1731 [D392], dans </w:t>
      </w:r>
      <w:r>
        <w:rPr>
          <w:rStyle w:val="NotedebasdepageCar"/>
          <w:rFonts w:ascii="Garamond" w:hAnsi="Garamond"/>
          <w:i/>
        </w:rPr>
        <w:t xml:space="preserve">Correspondance</w:t>
      </w:r>
      <w:r>
        <w:rPr>
          <w:rStyle w:val="NotedebasdepageCar"/>
          <w:rFonts w:ascii="Garamond" w:hAnsi="Garamond"/>
        </w:rPr>
        <w:t xml:space="preserve">, t. 86, p. 48.</w:t>
      </w:r>
    </w:p>
  </w:footnote>
  <w:footnote w:type="normal" w:id="46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lettre à Cideville du 23 décembre 1737 [D1409], dans </w:t>
      </w:r>
      <w:r>
        <w:rPr>
          <w:rStyle w:val="NotedebasdepageCar"/>
          <w:rFonts w:ascii="Garamond" w:hAnsi="Garamond"/>
          <w:i/>
        </w:rPr>
        <w:t xml:space="preserve">Correspondance</w:t>
      </w:r>
      <w:r>
        <w:rPr>
          <w:rStyle w:val="NotedebasdepageCar"/>
          <w:rFonts w:ascii="Garamond" w:hAnsi="Garamond"/>
        </w:rPr>
        <w:t xml:space="preserve">, t. 88, p. 428.</w:t>
      </w:r>
    </w:p>
  </w:footnote>
  <w:footnote w:type="normal" w:id="46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Pierre de Villiers, </w:t>
      </w:r>
      <w:r>
        <w:rPr>
          <w:rStyle w:val="NotedebasdepageCar"/>
          <w:rFonts w:ascii="Garamond" w:hAnsi="Garamond"/>
          <w:i/>
        </w:rPr>
        <w:t xml:space="preserve">Entretien sur les tragédies de ce temps</w:t>
      </w:r>
      <w:r>
        <w:rPr>
          <w:rStyle w:val="NotedebasdepageCar"/>
          <w:rFonts w:ascii="Garamond" w:hAnsi="Garamond"/>
        </w:rPr>
        <w:t xml:space="preserve">, dans Racine, </w:t>
      </w:r>
      <w:r>
        <w:rPr>
          <w:rStyle w:val="NotedebasdepageCar"/>
          <w:rFonts w:ascii="Garamond" w:hAnsi="Garamond"/>
          <w:i/>
        </w:rPr>
        <w:t xml:space="preserve">Œuvres complètes</w:t>
      </w:r>
      <w:r>
        <w:rPr>
          <w:rStyle w:val="NotedebasdepageCar"/>
          <w:rFonts w:ascii="Garamond" w:hAnsi="Garamond"/>
        </w:rPr>
        <w:t xml:space="preserve">, éd. </w:t>
      </w:r>
      <w:r>
        <w:rPr>
          <w:rStyle w:val="NotedebasdepageCar"/>
          <w:rFonts w:ascii="Garamond" w:hAnsi="Garamond"/>
        </w:rPr>
        <w:t xml:space="preserve">Georges Forestier, éd. cit</w:t>
      </w:r>
      <w:r>
        <w:rPr>
          <w:rStyle w:val="NotedebasdepageCar"/>
          <w:rFonts w:ascii="Garamond" w:hAnsi="Garamond"/>
        </w:rPr>
        <w:t xml:space="preserve">ée</w:t>
      </w:r>
      <w:r>
        <w:rPr>
          <w:rStyle w:val="NotedebasdepageCar"/>
          <w:rFonts w:ascii="Garamond" w:hAnsi="Garamond"/>
        </w:rPr>
        <w:t xml:space="preserve">, p. 774.</w:t>
      </w:r>
    </w:p>
  </w:footnote>
  <w:footnote w:type="normal" w:id="46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30A, p. 156. </w:t>
      </w:r>
      <w:r>
        <w:rPr>
          <w:rStyle w:val="NotedebasdepageCar"/>
          <w:rFonts w:ascii="Garamond" w:hAnsi="Garamond"/>
        </w:rPr>
        <w:t xml:space="preserve">Voir Pierre de Villiers, </w:t>
      </w:r>
      <w:r>
        <w:rPr>
          <w:rStyle w:val="NotedebasdepageCar"/>
          <w:rFonts w:ascii="Garamond" w:hAnsi="Garamond"/>
          <w:i/>
        </w:rPr>
        <w:t xml:space="preserve">Entretiens sur les tragédies de ce temps</w:t>
      </w:r>
      <w:r>
        <w:rPr>
          <w:rStyle w:val="NotedebasdepageCar"/>
          <w:rFonts w:ascii="Garamond" w:hAnsi="Garamond"/>
        </w:rPr>
        <w:t xml:space="preserve">, éd. citée, p. 774-775 : « vous savez bien vous-même, que les endroits qui ont le plus touché ne sont pas ceux où Achille, Iphigénie et </w:t>
      </w:r>
      <w:r>
        <w:rPr>
          <w:rStyle w:val="NotedebasdepageCar"/>
          <w:rFonts w:ascii="Garamond" w:hAnsi="Garamond"/>
        </w:rPr>
        <w:t xml:space="preserve">é</w:t>
      </w:r>
      <w:r>
        <w:rPr>
          <w:rStyle w:val="NotedebasdepageCar"/>
          <w:rFonts w:ascii="Garamond" w:hAnsi="Garamond"/>
        </w:rPr>
        <w:t xml:space="preserve">riphile, parlent de leur passion. Agamemnon et Clytemnestre m’intéressent bien davantage ». </w:t>
      </w:r>
    </w:p>
  </w:footnote>
  <w:footnote w:type="normal" w:id="46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39, p. 74.</w:t>
      </w:r>
    </w:p>
  </w:footnote>
  <w:footnote w:type="normal" w:id="46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55, p. 973.</w:t>
      </w:r>
    </w:p>
  </w:footnote>
  <w:footnote w:type="normal" w:id="46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39, p. 74</w:t>
      </w:r>
      <w:r>
        <w:rPr>
          <w:rStyle w:val="NotedebasdepageCar"/>
          <w:rFonts w:ascii="Garamond" w:hAnsi="Garamond"/>
        </w:rPr>
        <w:t xml:space="preserve"> ; Racine, </w:t>
      </w:r>
      <w:r>
        <w:rPr>
          <w:rStyle w:val="NotedebasdepageCar"/>
          <w:rFonts w:ascii="Garamond" w:hAnsi="Garamond"/>
          <w:i/>
        </w:rPr>
        <w:t xml:space="preserve">Iphigénie</w:t>
      </w:r>
      <w:r>
        <w:rPr>
          <w:rStyle w:val="NotedebasdepageCar"/>
          <w:rFonts w:ascii="Garamond" w:hAnsi="Garamond"/>
        </w:rPr>
        <w:t xml:space="preserve">, IV, 2, v. 1166.</w:t>
      </w:r>
    </w:p>
  </w:footnote>
  <w:footnote w:type="normal" w:id="46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George Forestier, Notice d’</w:t>
      </w:r>
      <w:r>
        <w:rPr>
          <w:rStyle w:val="NotedebasdepageCar"/>
          <w:rFonts w:ascii="Garamond" w:hAnsi="Garamond"/>
          <w:i/>
        </w:rPr>
        <w:t xml:space="preserve">Iphigénie</w:t>
      </w:r>
      <w:r>
        <w:rPr>
          <w:rStyle w:val="NotedebasdepageCar"/>
          <w:rFonts w:ascii="Garamond" w:hAnsi="Garamond"/>
        </w:rPr>
        <w:t xml:space="preserve">, dans </w:t>
      </w:r>
      <w:r>
        <w:rPr>
          <w:rStyle w:val="NotedebasdepageCar"/>
          <w:rFonts w:ascii="Garamond" w:hAnsi="Garamond"/>
          <w:i/>
        </w:rPr>
        <w:t xml:space="preserve">Œuvres Complètes</w:t>
      </w:r>
      <w:r>
        <w:rPr>
          <w:rStyle w:val="NotedebasdepageCar"/>
          <w:rFonts w:ascii="Garamond" w:hAnsi="Garamond"/>
        </w:rPr>
        <w:t xml:space="preserve">, éd. citée, p. 1568.</w:t>
      </w:r>
    </w:p>
  </w:footnote>
  <w:footnote w:type="normal" w:id="46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39, </w:t>
      </w:r>
      <w:r>
        <w:rPr>
          <w:rStyle w:val="NotedebasdepageCar"/>
          <w:rFonts w:ascii="Garamond" w:hAnsi="Garamond"/>
        </w:rPr>
        <w:t xml:space="preserve">p. </w:t>
      </w:r>
      <w:r>
        <w:rPr>
          <w:rStyle w:val="NotedebasdepageCar"/>
          <w:rFonts w:ascii="Garamond" w:hAnsi="Garamond"/>
        </w:rPr>
        <w:t xml:space="preserve">68 ; </w:t>
      </w:r>
      <w:r>
        <w:rPr>
          <w:rStyle w:val="NotedebasdepageCar"/>
          <w:rFonts w:ascii="Garamond" w:hAnsi="Garamond"/>
        </w:rPr>
        <w:t xml:space="preserve">p. </w:t>
      </w:r>
      <w:r>
        <w:rPr>
          <w:rStyle w:val="NotedebasdepageCar"/>
          <w:rFonts w:ascii="Garamond" w:hAnsi="Garamond"/>
        </w:rPr>
        <w:t xml:space="preserve">77.</w:t>
      </w:r>
    </w:p>
  </w:footnote>
  <w:footnote w:type="normal" w:id="46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XX, </w:t>
      </w:r>
      <w:r>
        <w:rPr>
          <w:rStyle w:val="NotedebasdepageCar"/>
          <w:rFonts w:ascii="Garamond" w:hAnsi="Garamond"/>
        </w:rPr>
        <w:t xml:space="preserve">p. </w:t>
      </w:r>
      <w:r>
        <w:rPr>
          <w:rStyle w:val="NotedebasdepageCar"/>
          <w:rFonts w:ascii="Garamond" w:hAnsi="Garamond"/>
        </w:rPr>
        <w:t xml:space="preserve">60.</w:t>
      </w:r>
    </w:p>
  </w:footnote>
  <w:footnote w:type="normal" w:id="46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Prévost, </w:t>
      </w:r>
      <w:r>
        <w:rPr>
          <w:rStyle w:val="NotedebasdepageCar"/>
          <w:rFonts w:ascii="Garamond" w:hAnsi="Garamond"/>
          <w:i/>
        </w:rPr>
        <w:t xml:space="preserve">Manon Lescaut</w:t>
      </w:r>
      <w:r>
        <w:rPr>
          <w:rStyle w:val="NotedebasdepageCar"/>
          <w:rFonts w:ascii="Garamond" w:hAnsi="Garamond"/>
        </w:rPr>
        <w:t xml:space="preserve">, éd. </w:t>
      </w:r>
      <w:r>
        <w:rPr>
          <w:rStyle w:val="NotedebasdepageCar"/>
          <w:rFonts w:ascii="Garamond" w:hAnsi="Garamond"/>
        </w:rPr>
        <w:t xml:space="preserve">Audrey Faulot, </w:t>
      </w:r>
      <w:r>
        <w:rPr>
          <w:rStyle w:val="NotedebasdepageCar"/>
          <w:rFonts w:ascii="Garamond" w:hAnsi="Garamond"/>
        </w:rPr>
        <w:t xml:space="preserve">é</w:t>
      </w:r>
      <w:r>
        <w:rPr>
          <w:rStyle w:val="NotedebasdepageCar"/>
          <w:rFonts w:ascii="Garamond" w:hAnsi="Garamond"/>
        </w:rPr>
        <w:t xml:space="preserve">rik Leborgne et Jean Sgard, Paris, Gallimard, « Folio », p. 212. Ce sont les v. 674-676 et 680-682 de l’acte II, scène 5, qui sont parodiés par les deux amants.</w:t>
      </w:r>
      <w:r>
        <w:rPr>
          <w:rStyle w:val="NotedebasdepageCar"/>
          <w:rFonts w:ascii="Garamond" w:hAnsi="Garamond"/>
        </w:rPr>
        <w:t xml:space="preserve"> </w:t>
      </w:r>
    </w:p>
  </w:footnote>
  <w:footnote w:type="normal" w:id="47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V. 4, v. 1696-1697. Voir </w:t>
      </w:r>
      <w:r>
        <w:rPr>
          <w:rStyle w:val="NotedebasdepageCar"/>
          <w:rFonts w:ascii="Garamond" w:hAnsi="Garamond"/>
          <w:i/>
        </w:rPr>
        <w:t xml:space="preserve">DPV</w:t>
      </w:r>
      <w:r>
        <w:rPr>
          <w:rStyle w:val="NotedebasdepageCar"/>
          <w:rFonts w:ascii="Garamond" w:hAnsi="Garamond"/>
        </w:rPr>
        <w:t xml:space="preserve">, t. 10, p. 157.</w:t>
      </w:r>
    </w:p>
  </w:footnote>
  <w:footnote w:type="normal" w:id="47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Deleyre, art. </w:t>
      </w:r>
      <w:r>
        <w:rPr>
          <w:rStyle w:val="NotedebasdepageCar"/>
          <w:rFonts w:ascii="Garamond" w:hAnsi="Garamond"/>
          <w:smallCaps w:val="true"/>
        </w:rPr>
        <w:t xml:space="preserve">Fanatisme</w:t>
      </w:r>
      <w:r>
        <w:rPr>
          <w:rStyle w:val="NotedebasdepageCar"/>
          <w:rFonts w:ascii="Garamond" w:hAnsi="Garamond"/>
        </w:rPr>
        <w:t xml:space="preserve"> de </w:t>
      </w:r>
      <w:r>
        <w:rPr>
          <w:rStyle w:val="NotedebasdepageCar"/>
          <w:rFonts w:ascii="Garamond" w:hAnsi="Garamond"/>
          <w:i/>
        </w:rPr>
        <w:t xml:space="preserve">l’Encyclopédie</w:t>
      </w:r>
      <w:r>
        <w:rPr>
          <w:rStyle w:val="NotedebasdepageCar"/>
          <w:rFonts w:ascii="Garamond" w:hAnsi="Garamond"/>
        </w:rPr>
        <w:t xml:space="preserve">, vol. 6, p. 393.</w:t>
      </w:r>
    </w:p>
  </w:footnote>
  <w:footnote w:type="normal" w:id="47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Tony Gheeraert, « Voix de Dieu, voix des dieux : oracles, visions et prophéties chez Jean Racine », </w:t>
      </w:r>
      <w:r>
        <w:rPr>
          <w:rStyle w:val="NotedebasdepageCar"/>
          <w:rFonts w:ascii="Garamond" w:hAnsi="Garamond"/>
          <w:i/>
        </w:rPr>
        <w:t xml:space="preserve">é</w:t>
      </w:r>
      <w:r>
        <w:rPr>
          <w:rStyle w:val="NotedebasdepageCar"/>
          <w:rFonts w:ascii="Garamond" w:hAnsi="Garamond"/>
          <w:i/>
        </w:rPr>
        <w:t xml:space="preserve">tudes Epistémè</w:t>
      </w:r>
      <w:r>
        <w:rPr>
          <w:rStyle w:val="NotedebasdepageCar"/>
          <w:rFonts w:ascii="Garamond" w:hAnsi="Garamond"/>
        </w:rPr>
        <w:t xml:space="preserve">, n°12, 2007 (en ligne).</w:t>
      </w:r>
    </w:p>
  </w:footnote>
  <w:footnote w:type="normal" w:id="47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Voltaire, </w:t>
      </w:r>
      <w:r>
        <w:rPr>
          <w:rStyle w:val="NotedebasdepageCar"/>
          <w:rFonts w:ascii="Garamond" w:hAnsi="Garamond"/>
          <w:i/>
        </w:rPr>
        <w:t xml:space="preserve">La Henriade</w:t>
      </w:r>
      <w:r>
        <w:rPr>
          <w:rStyle w:val="NotedebasdepageCar"/>
          <w:rFonts w:ascii="Garamond" w:hAnsi="Garamond"/>
        </w:rPr>
        <w:t xml:space="preserve">, chant V, v. 94, dans </w:t>
      </w:r>
      <w:r>
        <w:rPr>
          <w:rStyle w:val="NotedebasdepageCar"/>
          <w:rFonts w:ascii="Garamond" w:hAnsi="Garamond"/>
          <w:i/>
        </w:rPr>
        <w:t xml:space="preserve">OCV</w:t>
      </w:r>
      <w:r>
        <w:rPr>
          <w:rStyle w:val="NotedebasdepageCar"/>
          <w:rFonts w:ascii="Garamond" w:hAnsi="Garamond"/>
        </w:rPr>
        <w:t xml:space="preserve">, t. 2, p. 473.</w:t>
      </w:r>
    </w:p>
  </w:footnote>
  <w:footnote w:type="normal" w:id="47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w:t>
      </w:r>
      <w:r>
        <w:rPr>
          <w:rStyle w:val="NotedebasdepageCar"/>
          <w:rFonts w:ascii="Garamond" w:hAnsi="Garamond"/>
        </w:rPr>
        <w:t xml:space="preserve">76, p. </w:t>
      </w:r>
      <w:r>
        <w:rPr>
          <w:rStyle w:val="NotedebasdepageCar"/>
          <w:rFonts w:ascii="Garamond" w:hAnsi="Garamond"/>
        </w:rPr>
        <w:t xml:space="preserve">122.</w:t>
      </w:r>
    </w:p>
  </w:footnote>
  <w:footnote w:type="normal" w:id="47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39, </w:t>
      </w:r>
      <w:r>
        <w:rPr>
          <w:rStyle w:val="NotedebasdepageCar"/>
          <w:rFonts w:ascii="Garamond" w:hAnsi="Garamond"/>
        </w:rPr>
        <w:t xml:space="preserve">p. </w:t>
      </w:r>
      <w:r>
        <w:rPr>
          <w:rStyle w:val="NotedebasdepageCar"/>
          <w:rFonts w:ascii="Garamond" w:hAnsi="Garamond"/>
        </w:rPr>
        <w:t xml:space="preserve">77.</w:t>
      </w:r>
    </w:p>
  </w:footnote>
  <w:footnote w:type="normal" w:id="47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Cité dans </w:t>
      </w:r>
      <w:r>
        <w:rPr>
          <w:rStyle w:val="NotedebasdepageCar"/>
          <w:rFonts w:ascii="Garamond" w:hAnsi="Garamond"/>
          <w:i/>
        </w:rPr>
        <w:t xml:space="preserve">Ibid.</w:t>
      </w:r>
      <w:r>
        <w:rPr>
          <w:rStyle w:val="NotedebasdepageCar"/>
          <w:rFonts w:ascii="Garamond" w:hAnsi="Garamond"/>
        </w:rPr>
        <w:t xml:space="preserve">, p. 65.</w:t>
      </w:r>
    </w:p>
  </w:footnote>
  <w:footnote w:type="normal" w:id="47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68.</w:t>
      </w:r>
    </w:p>
  </w:footnote>
  <w:footnote w:type="normal" w:id="47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L’Année littéraire</w:t>
      </w:r>
      <w:r>
        <w:rPr>
          <w:rStyle w:val="NotedebasdepageCar"/>
          <w:rFonts w:ascii="Garamond" w:hAnsi="Garamond"/>
        </w:rPr>
        <w:t xml:space="preserve">, Paris, Mérigot, 1782, p. 80. </w:t>
      </w:r>
    </w:p>
  </w:footnote>
  <w:footnote w:type="normal" w:id="47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i/>
        </w:rPr>
        <w:t xml:space="preserve">L’Autre Iphigénie. Textes de Guimond de la Touche, Guillard et Favart</w:t>
      </w:r>
      <w:r>
        <w:rPr>
          <w:rStyle w:val="NotedebasdepageCar"/>
          <w:rFonts w:ascii="Garamond" w:hAnsi="Garamond"/>
        </w:rPr>
        <w:t xml:space="preserve">, éd. Jean-Noël Pascal, Presses Universitaires de Perpignan, 1997.</w:t>
      </w:r>
    </w:p>
  </w:footnote>
  <w:footnote w:type="normal" w:id="48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w:t>
      </w:r>
      <w:r>
        <w:rPr>
          <w:rStyle w:val="NotedebasdepageCar"/>
          <w:rFonts w:ascii="Garamond" w:hAnsi="Garamond"/>
          <w:i/>
        </w:rPr>
        <w:t xml:space="preserve">Ibid.</w:t>
      </w:r>
      <w:r>
        <w:rPr>
          <w:rStyle w:val="NotedebasdepageCar"/>
          <w:rFonts w:ascii="Garamond" w:hAnsi="Garamond"/>
        </w:rPr>
        <w:t xml:space="preserve">, p. 47 et France Marchal-Ninosque, </w:t>
      </w:r>
      <w:r>
        <w:rPr>
          <w:rStyle w:val="NotedebasdepageCar"/>
          <w:rFonts w:ascii="Garamond" w:hAnsi="Garamond"/>
          <w:i/>
        </w:rPr>
        <w:t xml:space="preserve">Images du sacrifice (1670-1840)</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47.</w:t>
      </w:r>
    </w:p>
  </w:footnote>
  <w:footnote w:type="normal" w:id="48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Cité par </w:t>
      </w:r>
      <w:r>
        <w:rPr>
          <w:rStyle w:val="NotedebasdepageCar"/>
          <w:rFonts w:ascii="Garamond" w:hAnsi="Garamond"/>
        </w:rPr>
        <w:t xml:space="preserve">Moishe Black, « M</w:t>
      </w:r>
      <w:r>
        <w:rPr>
          <w:rStyle w:val="NotedebasdepageCar"/>
          <w:rFonts w:ascii="Garamond" w:hAnsi="Garamond"/>
        </w:rPr>
        <w:t xml:space="preserve">urder most foul – Iphigeneia, Lucretius and Diderot </w:t>
      </w:r>
      <w:r>
        <w:rPr>
          <w:rStyle w:val="NotedebasdepageCar"/>
          <w:rFonts w:ascii="Garamond" w:hAnsi="Garamond"/>
        </w:rPr>
        <w:t xml:space="preserve">»</w:t>
      </w:r>
      <w:r>
        <w:rPr>
          <w:rStyle w:val="NotedebasdepageCar"/>
          <w:rFonts w:ascii="Garamond" w:hAnsi="Garamond"/>
        </w:rPr>
        <w:t xml:space="preserve">, art. cité, p. </w:t>
      </w:r>
      <w:r>
        <w:rPr>
          <w:rStyle w:val="NotedebasdepageCar"/>
          <w:rFonts w:ascii="Garamond" w:hAnsi="Garamond"/>
        </w:rPr>
        <w:t xml:space="preserve">19.</w:t>
      </w:r>
      <w:r>
        <w:rPr>
          <w:rStyle w:val="NotedebasdepageCar"/>
          <w:rFonts w:ascii="Garamond" w:hAnsi="Garamond"/>
        </w:rPr>
        <w:t xml:space="preserve"> Le vers de Lemierre se trouve au chant 3 de </w:t>
      </w:r>
      <w:r>
        <w:rPr>
          <w:rStyle w:val="NotedebasdepageCar"/>
          <w:rFonts w:ascii="Garamond" w:hAnsi="Garamond"/>
          <w:i/>
        </w:rPr>
        <w:t xml:space="preserve">La Peinture</w:t>
      </w:r>
      <w:r>
        <w:rPr>
          <w:rStyle w:val="NotedebasdepageCar"/>
          <w:rFonts w:ascii="Garamond" w:hAnsi="Garamond"/>
        </w:rPr>
        <w:t xml:space="preserve">.</w:t>
      </w:r>
    </w:p>
  </w:footnote>
  <w:footnote w:type="normal" w:id="48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3, p. 246.</w:t>
      </w:r>
    </w:p>
  </w:footnote>
  <w:footnote w:type="normal" w:id="48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Diderot, </w:t>
      </w:r>
      <w:r>
        <w:rPr>
          <w:rStyle w:val="NotedebasdepageCar"/>
          <w:rFonts w:ascii="Garamond" w:hAnsi="Garamond"/>
          <w:i/>
        </w:rPr>
        <w:t xml:space="preserve">De la poésie dramatique</w:t>
      </w:r>
      <w:r>
        <w:rPr>
          <w:rStyle w:val="NotedebasdepageCar"/>
          <w:rFonts w:ascii="Garamond" w:hAnsi="Garamond"/>
        </w:rPr>
        <w:t xml:space="preserve">, chap. IX (« Des incidents »).</w:t>
      </w:r>
    </w:p>
  </w:footnote>
  <w:footnote w:type="normal" w:id="48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11, p. 100.</w:t>
      </w:r>
    </w:p>
  </w:footnote>
  <w:footnote w:type="normal" w:id="48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6, p. 76.</w:t>
      </w:r>
    </w:p>
  </w:footnote>
  <w:footnote w:type="normal" w:id="48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Diderot, art. </w:t>
      </w:r>
      <w:r>
        <w:rPr>
          <w:rStyle w:val="NotedebasdepageCar"/>
          <w:rFonts w:ascii="Garamond" w:hAnsi="Garamond"/>
          <w:smallCaps w:val="true"/>
        </w:rPr>
        <w:t xml:space="preserve">Journée</w:t>
      </w:r>
      <w:r>
        <w:rPr>
          <w:rStyle w:val="NotedebasdepageCar"/>
          <w:rFonts w:ascii="Garamond" w:hAnsi="Garamond"/>
        </w:rPr>
        <w:t xml:space="preserve"> de la Saint-Barthélemy (Hist. moderne) de </w:t>
      </w:r>
      <w:r>
        <w:rPr>
          <w:rStyle w:val="NotedebasdepageCar"/>
          <w:rFonts w:ascii="Garamond" w:hAnsi="Garamond"/>
          <w:i/>
        </w:rPr>
        <w:t xml:space="preserve">l’Encyclopédie</w:t>
      </w:r>
      <w:r>
        <w:rPr>
          <w:rStyle w:val="NotedebasdepageCar"/>
          <w:rFonts w:ascii="Garamond" w:hAnsi="Garamond"/>
        </w:rPr>
        <w:t xml:space="preserve">, vol. VII, 1765, p. 898b.</w:t>
      </w:r>
    </w:p>
  </w:footnote>
  <w:footnote w:type="normal" w:id="48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Michel Delon, « Le regard détourné. Diderot ou les limites de la représentation », dans </w:t>
      </w:r>
      <w:r>
        <w:rPr>
          <w:rStyle w:val="NotedebasdepageCar"/>
          <w:rFonts w:ascii="Garamond" w:hAnsi="Garamond"/>
          <w:i/>
        </w:rPr>
        <w:t xml:space="preserve">Le regard et l’objet. Diderot critique d’art</w:t>
      </w:r>
      <w:r>
        <w:rPr>
          <w:rStyle w:val="NotedebasdepageCar"/>
          <w:rFonts w:ascii="Garamond" w:hAnsi="Garamond"/>
        </w:rPr>
        <w:t xml:space="preserve">, éd. Michel Delon et Wolfgang Drost, Heidelberg, Carl Winter Universitätsverlag, 1989, p. 41.</w:t>
      </w:r>
    </w:p>
  </w:footnote>
  <w:footnote w:type="normal" w:id="48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Parmi les nombreux travaux consacrés à la question, voir, outre l’article précédemment cité de Michel Delon, Emmanuel Hénin, « Iphigénie ou la représentation voilée », </w:t>
      </w:r>
      <w:r>
        <w:rPr>
          <w:rStyle w:val="NotedebasdepageCar"/>
          <w:rFonts w:ascii="Garamond" w:hAnsi="Garamond"/>
          <w:i/>
        </w:rPr>
        <w:t xml:space="preserve">Studiolo</w:t>
      </w:r>
      <w:r>
        <w:rPr>
          <w:rStyle w:val="NotedebasdepageCar"/>
          <w:rFonts w:ascii="Garamond" w:hAnsi="Garamond"/>
        </w:rPr>
        <w:t xml:space="preserve">, n°3, 2005, p. 95-132 et Kate Tunstall, « ‘‘Le récit est un voile’’ : esthétique et Lumières », </w:t>
      </w:r>
      <w:r>
        <w:rPr>
          <w:rStyle w:val="NotedebasdepageCar"/>
          <w:rFonts w:ascii="Garamond" w:hAnsi="Garamond"/>
          <w:i/>
        </w:rPr>
        <w:t xml:space="preserve">SVEC</w:t>
      </w:r>
      <w:r>
        <w:rPr>
          <w:rStyle w:val="NotedebasdepageCar"/>
          <w:rFonts w:ascii="Garamond" w:hAnsi="Garamond"/>
        </w:rPr>
        <w:t xml:space="preserve">, 2006, n°12, p. 155-164. </w:t>
      </w:r>
    </w:p>
  </w:footnote>
  <w:footnote w:type="normal" w:id="48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Racine, </w:t>
      </w:r>
      <w:r>
        <w:rPr>
          <w:rStyle w:val="NotedebasdepageCar"/>
          <w:rFonts w:ascii="Garamond" w:hAnsi="Garamond"/>
          <w:i/>
        </w:rPr>
        <w:t xml:space="preserve">Iphigénie</w:t>
      </w:r>
      <w:r>
        <w:rPr>
          <w:rStyle w:val="NotedebasdepageCar"/>
          <w:rFonts w:ascii="Garamond" w:hAnsi="Garamond"/>
        </w:rPr>
        <w:t xml:space="preserve">, V, 5, v. 1710.</w:t>
      </w:r>
    </w:p>
  </w:footnote>
  <w:footnote w:type="normal" w:id="49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Kate Tunstall,</w:t>
      </w:r>
      <w:r>
        <w:rPr>
          <w:rStyle w:val="NotedebasdepageCar"/>
          <w:rFonts w:ascii="Garamond" w:hAnsi="Garamond"/>
        </w:rPr>
        <w:t xml:space="preserve"> </w:t>
      </w:r>
      <w:r>
        <w:rPr>
          <w:rStyle w:val="NotedebasdepageCar"/>
          <w:rFonts w:ascii="Garamond" w:hAnsi="Garamond"/>
        </w:rPr>
        <w:t xml:space="preserve">« ‘‘Le récit est un voile’’ : esthétique et Lumières », art. cité, p. 162. </w:t>
      </w:r>
    </w:p>
  </w:footnote>
  <w:footnote w:type="normal" w:id="49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37, </w:t>
      </w:r>
      <w:r>
        <w:rPr>
          <w:rStyle w:val="NotedebasdepageCar"/>
          <w:rFonts w:ascii="Garamond" w:hAnsi="Garamond"/>
        </w:rPr>
        <w:t xml:space="preserve">p. </w:t>
      </w:r>
      <w:r>
        <w:rPr>
          <w:rStyle w:val="NotedebasdepageCar"/>
          <w:rFonts w:ascii="Garamond" w:hAnsi="Garamond"/>
        </w:rPr>
        <w:t xml:space="preserve">348.</w:t>
      </w:r>
    </w:p>
  </w:footnote>
  <w:footnote w:type="normal" w:id="49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 </w:t>
      </w:r>
      <w:r>
        <w:rPr>
          <w:rStyle w:val="NotedebasdepageCar"/>
          <w:rFonts w:ascii="Garamond" w:hAnsi="Garamond"/>
        </w:rPr>
        <w:t xml:space="preserve">; </w:t>
      </w:r>
      <w:r>
        <w:rPr>
          <w:rStyle w:val="NotedebasdepageCar"/>
          <w:rFonts w:ascii="Garamond" w:hAnsi="Garamond"/>
          <w:i/>
        </w:rPr>
        <w:t xml:space="preserve">OCV</w:t>
      </w:r>
      <w:r>
        <w:rPr>
          <w:rStyle w:val="NotedebasdepageCar"/>
          <w:rFonts w:ascii="Garamond" w:hAnsi="Garamond"/>
        </w:rPr>
        <w:t xml:space="preserve">, t. 60A, p. 485.</w:t>
      </w:r>
    </w:p>
  </w:footnote>
  <w:footnote w:type="normal" w:id="49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16, </w:t>
      </w:r>
      <w:r>
        <w:rPr>
          <w:rStyle w:val="NotedebasdepageCar"/>
          <w:rFonts w:ascii="Garamond" w:hAnsi="Garamond"/>
        </w:rPr>
        <w:t xml:space="preserve">p. </w:t>
      </w:r>
      <w:r>
        <w:rPr>
          <w:rStyle w:val="NotedebasdepageCar"/>
          <w:rFonts w:ascii="Garamond" w:hAnsi="Garamond"/>
        </w:rPr>
        <w:t xml:space="preserve">267. </w:t>
      </w:r>
    </w:p>
  </w:footnote>
  <w:footnote w:type="normal" w:id="49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Diderot, </w:t>
      </w:r>
      <w:r>
        <w:rPr>
          <w:rStyle w:val="NotedebasdepageCar"/>
          <w:rFonts w:ascii="Garamond" w:hAnsi="Garamond"/>
          <w:i/>
        </w:rPr>
        <w:t xml:space="preserve">Pensées détachées sur la peinture</w:t>
      </w:r>
      <w:r>
        <w:rPr>
          <w:rStyle w:val="NotedebasdepageCar"/>
          <w:rFonts w:ascii="Garamond" w:hAnsi="Garamond"/>
        </w:rPr>
        <w:t xml:space="preserve">, dans </w:t>
      </w:r>
      <w:r>
        <w:rPr>
          <w:rStyle w:val="NotedebasdepageCar"/>
          <w:rFonts w:ascii="Garamond" w:hAnsi="Garamond"/>
          <w:i/>
        </w:rPr>
        <w:t xml:space="preserve">Salons IV</w:t>
      </w:r>
      <w:r>
        <w:rPr>
          <w:rStyle w:val="NotedebasdepageCar"/>
          <w:rFonts w:ascii="Garamond" w:hAnsi="Garamond"/>
        </w:rPr>
        <w:t xml:space="preserve">, éd. Else Marie Bukdahl, Annette Lorenceau, Gita May, Paris, Hermann, 1995, p. 433.</w:t>
      </w:r>
    </w:p>
  </w:footnote>
  <w:footnote w:type="normal" w:id="49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DPV</w:t>
      </w:r>
      <w:r>
        <w:rPr>
          <w:rStyle w:val="NotedebasdepageCar"/>
          <w:rFonts w:ascii="Garamond" w:hAnsi="Garamond"/>
        </w:rPr>
        <w:t xml:space="preserve">, t. 10 ; p. 440.</w:t>
      </w:r>
    </w:p>
  </w:footnote>
  <w:footnote w:type="normal" w:id="49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Michel Delon, « Le regard détourné. Diderot ou les limites de la représentation », art. cité, p. 38.</w:t>
      </w:r>
    </w:p>
  </w:footnote>
  <w:footnote w:type="normal" w:id="49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France Marchal-Ninosque, </w:t>
      </w:r>
      <w:r>
        <w:rPr>
          <w:rStyle w:val="NotedebasdepageCar"/>
          <w:rFonts w:ascii="Garamond" w:hAnsi="Garamond"/>
          <w:i/>
        </w:rPr>
        <w:t xml:space="preserve">Images du sacrifice (1670-1840)</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w:t>
      </w:r>
      <w:r>
        <w:rPr>
          <w:rStyle w:val="NotedebasdepageCar"/>
          <w:rFonts w:ascii="Garamond" w:hAnsi="Garamond"/>
        </w:rPr>
        <w:t xml:space="preserve">63.</w:t>
      </w:r>
    </w:p>
  </w:footnote>
  <w:footnote w:type="normal" w:id="49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V, 5, v. 1716, p. 761. Sauf exception, les références au théâtre de Racine sont faites à partir de l’édition procurée par Georges Forestier (Jean Racine, </w:t>
      </w:r>
      <w:r>
        <w:rPr>
          <w:rStyle w:val="NotedebasdepageCar"/>
          <w:rFonts w:ascii="Garamond" w:hAnsi="Garamond"/>
          <w:i/>
        </w:rPr>
        <w:t xml:space="preserve">Œuvres complètes. I. Théâtre, poésie</w:t>
      </w:r>
      <w:r>
        <w:rPr>
          <w:rStyle w:val="NotedebasdepageCar"/>
          <w:rFonts w:ascii="Garamond" w:hAnsi="Garamond"/>
        </w:rPr>
        <w:t xml:space="preserve">, édition présentée, établie et annotée par Georges Forestier, Paris, Gallimard, Bibliothèque de la Pléiade, 1999).</w:t>
      </w:r>
    </w:p>
  </w:footnote>
  <w:footnote w:type="normal" w:id="49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III, 5, v. 912, p. 733.</w:t>
      </w:r>
    </w:p>
  </w:footnote>
  <w:footnote w:type="normal" w:id="50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IV, 4, v. 1174, p. 743.</w:t>
      </w:r>
    </w:p>
  </w:footnote>
  <w:footnote w:type="normal" w:id="50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Apollodore, </w:t>
      </w:r>
      <w:r>
        <w:rPr>
          <w:rStyle w:val="NotedebasdepageCar"/>
          <w:rFonts w:ascii="Garamond" w:hAnsi="Garamond"/>
          <w:i/>
        </w:rPr>
        <w:t xml:space="preserve">La Bibliothèque d’Apollodore</w:t>
      </w:r>
      <w:r>
        <w:rPr>
          <w:rStyle w:val="NotedebasdepageCar"/>
          <w:rFonts w:ascii="Garamond" w:hAnsi="Garamond"/>
        </w:rPr>
        <w:t xml:space="preserve">, traduite, annotée et commentée par Jean-Claude Carrière et Bertrand Massonie, Besançon, Université de Besançon, Collection de l’Institut des Sciences et Techniques de l’Antiquité, 443, 1991, livre III, parties 8 et 9, p. 101. Et Pausanias, </w:t>
      </w:r>
      <w:r>
        <w:rPr>
          <w:rStyle w:val="NotedebasdepageCar"/>
          <w:rFonts w:ascii="Garamond" w:hAnsi="Garamond"/>
          <w:i/>
        </w:rPr>
        <w:t xml:space="preserve">Description de la Grèce</w:t>
      </w:r>
      <w:r>
        <w:rPr>
          <w:rStyle w:val="NotedebasdepageCar"/>
          <w:rFonts w:ascii="Garamond" w:hAnsi="Garamond"/>
        </w:rPr>
        <w:t xml:space="preserve">, VIII, chap. 4, § 1.</w:t>
      </w:r>
    </w:p>
  </w:footnote>
  <w:footnote w:type="normal" w:id="50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w:t>
      </w:r>
      <w:r>
        <w:rPr>
          <w:rStyle w:val="NotedebasdepageCar"/>
          <w:rFonts w:ascii="Garamond" w:hAnsi="Garamond"/>
          <w:i/>
        </w:rPr>
        <w:t xml:space="preserve">Juppiter</w:t>
      </w:r>
      <w:r>
        <w:rPr>
          <w:rStyle w:val="NotedebasdepageCar"/>
          <w:rFonts w:ascii="Garamond" w:hAnsi="Garamond"/>
        </w:rPr>
        <w:t xml:space="preserve">] </w:t>
      </w:r>
      <w:r>
        <w:rPr>
          <w:rStyle w:val="NotedebasdepageCar"/>
          <w:rFonts w:ascii="Garamond" w:hAnsi="Garamond"/>
          <w:i/>
        </w:rPr>
        <w:t xml:space="preserve">et  oscula  jungit,  / Nec  moderata  satis,  nec  sic  a  virgine  danda</w:t>
      </w:r>
      <w:r>
        <w:rPr>
          <w:rStyle w:val="NotedebasdepageCar"/>
          <w:rFonts w:ascii="Garamond" w:hAnsi="Garamond"/>
        </w:rPr>
        <w:t xml:space="preserve"> », Ovide, </w:t>
      </w:r>
      <w:r>
        <w:rPr>
          <w:rStyle w:val="NotedebasdepageCar"/>
          <w:rFonts w:ascii="Garamond" w:hAnsi="Garamond"/>
          <w:i/>
        </w:rPr>
        <w:t xml:space="preserve">Métamorphoses</w:t>
      </w:r>
      <w:r>
        <w:rPr>
          <w:rStyle w:val="NotedebasdepageCar"/>
          <w:rFonts w:ascii="Garamond" w:hAnsi="Garamond"/>
        </w:rPr>
        <w:t xml:space="preserve">, II, v. 430-431 (« et [Jupiter] lui donne des baisers, sans aucune retenue, et qui n'étaient pas ceux qu'une vierge devrait échanger »).</w:t>
      </w:r>
    </w:p>
  </w:footnote>
  <w:footnote w:type="normal" w:id="50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w:t>
      </w:r>
      <w:r>
        <w:rPr>
          <w:rStyle w:val="NotedebasdepageCar"/>
          <w:rFonts w:ascii="Garamond" w:hAnsi="Garamond"/>
          <w:i/>
        </w:rPr>
        <w:t xml:space="preserve">Vicinaque</w:t>
      </w:r>
      <w:r>
        <w:rPr>
          <w:rStyle w:val="NotedebasdepageCar"/>
          <w:rFonts w:ascii="Garamond" w:hAnsi="Garamond"/>
          <w:i/>
        </w:rPr>
        <w:t xml:space="preserve"> sidera fecit</w:t>
      </w:r>
      <w:r>
        <w:rPr>
          <w:rStyle w:val="NotedebasdepageCar"/>
          <w:rFonts w:ascii="Garamond" w:hAnsi="Garamond"/>
        </w:rPr>
        <w:t xml:space="preserve"> », </w:t>
      </w:r>
      <w:r>
        <w:rPr>
          <w:rStyle w:val="NotedebasdepageCar"/>
          <w:rFonts w:ascii="Garamond" w:hAnsi="Garamond"/>
          <w:i/>
        </w:rPr>
        <w:t xml:space="preserve">ibid.</w:t>
      </w:r>
      <w:r>
        <w:rPr>
          <w:rStyle w:val="NotedebasdepageCar"/>
          <w:rFonts w:ascii="Garamond" w:hAnsi="Garamond"/>
        </w:rPr>
        <w:t xml:space="preserve">, v. 507 (« il en fit des étoiles voisines »).</w:t>
      </w:r>
    </w:p>
  </w:footnote>
  <w:footnote w:type="normal" w:id="50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w:t>
      </w:r>
      <w:r>
        <w:rPr>
          <w:rStyle w:val="NotedebasdepageCar"/>
          <w:rFonts w:ascii="Garamond" w:hAnsi="Garamond"/>
          <w:i/>
        </w:rPr>
        <w:t xml:space="preserve">Signa propinqua micant. Prior est, quam dicimus </w:t>
      </w:r>
      <w:r>
        <w:rPr>
          <w:rStyle w:val="NotedebasdepageCar"/>
          <w:rFonts w:ascii="Garamond" w:hAnsi="Garamond"/>
        </w:rPr>
        <w:t xml:space="preserve">Arcton </w:t>
      </w:r>
      <w:r>
        <w:rPr>
          <w:rStyle w:val="NotedebasdepageCar"/>
          <w:rFonts w:ascii="Garamond" w:hAnsi="Garamond"/>
          <w:i/>
        </w:rPr>
        <w:t xml:space="preserve">; </w:t>
      </w:r>
      <w:r>
        <w:rPr>
          <w:rStyle w:val="NotedebasdepageCar"/>
          <w:rFonts w:ascii="Garamond" w:hAnsi="Garamond"/>
        </w:rPr>
        <w:t xml:space="preserve">Arctophylax</w:t>
      </w:r>
      <w:r>
        <w:rPr>
          <w:rStyle w:val="NotedebasdepageCar"/>
          <w:rFonts w:ascii="Garamond" w:hAnsi="Garamond"/>
          <w:i/>
        </w:rPr>
        <w:t xml:space="preserve"> formam terga sequentis habet.</w:t>
      </w:r>
      <w:r>
        <w:rPr>
          <w:rStyle w:val="NotedebasdepageCar"/>
          <w:rFonts w:ascii="Garamond" w:hAnsi="Garamond"/>
        </w:rPr>
        <w:t xml:space="preserve"> » Ovide, </w:t>
      </w:r>
      <w:r>
        <w:rPr>
          <w:rStyle w:val="NotedebasdepageCar"/>
          <w:rFonts w:ascii="Garamond" w:hAnsi="Garamond"/>
          <w:i/>
        </w:rPr>
        <w:t xml:space="preserve">Fastes</w:t>
      </w:r>
      <w:r>
        <w:rPr>
          <w:rStyle w:val="NotedebasdepageCar"/>
          <w:rFonts w:ascii="Garamond" w:hAnsi="Garamond"/>
        </w:rPr>
        <w:t xml:space="preserve">, II, v. 189-190 (« Les constellations voisines scintillent. La première est celle que nous appelons l'Ourse ; le Gardien de l'Ourse a la forme de celui qui suit son dos »).</w:t>
      </w:r>
    </w:p>
  </w:footnote>
  <w:footnote w:type="normal" w:id="50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w:t>
      </w:r>
      <w:r>
        <w:rPr>
          <w:rStyle w:val="NotedebasdepageCar"/>
          <w:rFonts w:ascii="Garamond" w:hAnsi="Garamond"/>
          <w:i/>
        </w:rPr>
        <w:t xml:space="preserve">Bootes, stella est quae Plaustrum, id est Septentrionem sequitur, qui etiam ab antiquis Arctophylax dicitur, sive minor Arctos</w:t>
      </w:r>
      <w:r>
        <w:rPr>
          <w:rStyle w:val="NotedebasdepageCar"/>
          <w:rFonts w:ascii="Garamond" w:hAnsi="Garamond"/>
        </w:rPr>
        <w:t xml:space="preserve"> »</w:t>
      </w:r>
      <w:r>
        <w:rPr>
          <w:rStyle w:val="NotedebasdepageCar"/>
          <w:rFonts w:ascii="Garamond" w:hAnsi="Garamond"/>
        </w:rPr>
        <w:t xml:space="preserve">, Isidore de Séville, </w:t>
      </w:r>
      <w:r>
        <w:rPr>
          <w:rStyle w:val="NotedebasdepageCar"/>
          <w:rFonts w:ascii="Garamond" w:hAnsi="Garamond"/>
          <w:i/>
        </w:rPr>
        <w:t xml:space="preserve">De Natura Rerum</w:t>
      </w:r>
      <w:r>
        <w:rPr>
          <w:rStyle w:val="NotedebasdepageCar"/>
          <w:rFonts w:ascii="Garamond" w:hAnsi="Garamond"/>
        </w:rPr>
        <w:t xml:space="preserve">, chap. XXVI, § 5 (« Le Bouvier [</w:t>
      </w:r>
      <w:r>
        <w:rPr>
          <w:rStyle w:val="NotedebasdepageCar"/>
          <w:rFonts w:ascii="Garamond" w:hAnsi="Garamond"/>
          <w:i/>
        </w:rPr>
        <w:t xml:space="preserve">Bootes</w:t>
      </w:r>
      <w:r>
        <w:rPr>
          <w:rStyle w:val="NotedebasdepageCar"/>
          <w:rFonts w:ascii="Garamond" w:hAnsi="Garamond"/>
        </w:rPr>
        <w:t xml:space="preserve">] est l'étoile qui suit le Chariot, c'est-à-dire le Septentrion ; les Anciens l’appellent aussi </w:t>
      </w:r>
      <w:r>
        <w:rPr>
          <w:rStyle w:val="NotedebasdepageCar"/>
          <w:rFonts w:ascii="Garamond" w:hAnsi="Garamond"/>
          <w:i/>
        </w:rPr>
        <w:t xml:space="preserve">Arctophylax</w:t>
      </w:r>
      <w:r>
        <w:rPr>
          <w:rStyle w:val="NotedebasdepageCar"/>
          <w:rFonts w:ascii="Garamond" w:hAnsi="Garamond"/>
        </w:rPr>
        <w:t xml:space="preserve"> [le Gardien de l’Ourse], ou encore la Petite Ourse »). </w:t>
      </w:r>
    </w:p>
  </w:footnote>
  <w:footnote w:type="normal" w:id="50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Par exemple lors de l’ambassade auprès d’Achille : « Δώσω δ᾽ ἑπτὰ γυναῖκας ἀμύμονα ἔργα ἰδυίας / Λεσβίδας, ἃς ὅτε Λέσβον ἐϋκτιμένην ἕλεν αὐτὸς / ἐξελόμην, αἳ κάλλει ἐνίκων φῦλα γυναικῶν », Homère, </w:t>
      </w:r>
      <w:r>
        <w:rPr>
          <w:rStyle w:val="NotedebasdepageCar"/>
          <w:rFonts w:ascii="Garamond" w:hAnsi="Garamond"/>
          <w:i/>
        </w:rPr>
        <w:t xml:space="preserve">Iliade</w:t>
      </w:r>
      <w:r>
        <w:rPr>
          <w:rStyle w:val="NotedebasdepageCar"/>
          <w:rFonts w:ascii="Garamond" w:hAnsi="Garamond"/>
        </w:rPr>
        <w:t xml:space="preserve">, chant IX, v. 128-130 (« Je lui donnerai sept femmes expertes en des travaux parfaits, / Des Lesbiennes que, lorsque lui-même prit la bien bâtie Lesbos, / Je choisis, car elles l’emportaient par leur beauté sur toutes les tribus de femmes »). Lesbos apparaît comme une terre de beauté destinée au pillage.</w:t>
      </w:r>
    </w:p>
  </w:footnote>
  <w:footnote w:type="normal" w:id="50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w:t>
      </w:r>
      <w:r>
        <w:rPr>
          <w:rStyle w:val="NotedebasdepageCar"/>
          <w:rFonts w:ascii="Garamond" w:hAnsi="Garamond"/>
        </w:rPr>
        <w:t xml:space="preserve">ὡς δὲ οἱ Μήθυμναν οἰκοῦντες μάλα κρατερῶς ἀντεῖχον, καὶ ἐν πολλῇ ἀμηχανίᾳ ἦν διὰ τὸ μὴ δύνασθαι ἐλεῖν τὴν πόλιν, Πεισιδίκην τινὰ Μηθυμναίαν, τοῦ βασιλέως θυγατέρα, θεασαμένην ἀπὸ τοῦ τείχους τὸν Ἀχιλλέα, ἐρασθῆναι αὐτοῦ καὶ οὕτως τὴν τροφὸν διαπεμψαμένην ὑπισχνεῖσθαι ἐγχειρίσειν αὐτῷ τὴν πόλιν, εἴ γε μέλλοι αὐτὴν γυναῖκα ἕξειν. ὁ δὲ τὸ μὲν παρ’ αὐτίκα καθωμολογήσατο. ἐπεὶ μέντοι ἐγκρατής &lt;τῆς&gt; πόλεως ἐγένετο, νεμεσήσας ἐπὶ τῷ δρασθέντι, προὐτρέψατο τοὺς στρατιώτας καταλεῦσαι τὴν κόρην », « </w:t>
      </w:r>
      <w:r>
        <w:rPr>
          <w:rStyle w:val="NotedebasdepageCar"/>
          <w:rFonts w:ascii="Garamond" w:hAnsi="Garamond"/>
        </w:rPr>
        <w:t xml:space="preserve">Mais comme les habitants de Méthymne résistaient très vigoureusement, et qu’Achille se trouvait dans un grand embarras parce qu’il ne pouvait prendre la ville, une certaine jeune fille de Méthymne, nommée Peisidique, fille du roi, ayant aperçu Achille du haut des remparts, s’éprit de lui ;  elle lui fit alors promettre, par l’intermédiaire de sa nourrice, de lui livrer la ville, à condition qu’il la prenne pour épouse. Sur le moment, il y consentit. Mais dès qu’il fut maître de la ville, indigné par une telle action, il pressa ses soldats de lapider la jeune fille. » (Cité dans Evangelia Astyrakaki, </w:t>
      </w:r>
      <w:r>
        <w:rPr>
          <w:rStyle w:val="NotedebasdepageCar"/>
          <w:rFonts w:ascii="Garamond" w:hAnsi="Garamond"/>
          <w:i/>
        </w:rPr>
        <w:t xml:space="preserve">Parthenios, </w:t>
      </w:r>
      <w:r>
        <w:rPr>
          <w:rStyle w:val="NotedebasdepageCar"/>
          <w:rFonts w:ascii="Garamond" w:hAnsi="Garamond"/>
        </w:rPr>
        <w:t xml:space="preserve">Erotika Pathemata</w:t>
      </w:r>
      <w:r>
        <w:rPr>
          <w:rStyle w:val="NotedebasdepageCar"/>
          <w:rFonts w:ascii="Garamond" w:hAnsi="Garamond"/>
          <w:i/>
        </w:rPr>
        <w:t xml:space="preserve"> (20-36). A Commentary</w:t>
      </w:r>
      <w:r>
        <w:rPr>
          <w:rStyle w:val="NotedebasdepageCar"/>
          <w:rFonts w:ascii="Garamond" w:hAnsi="Garamond"/>
        </w:rPr>
        <w:t xml:space="preserve">. </w:t>
      </w:r>
      <w:r>
        <w:rPr>
          <w:rStyle w:val="NotedebasdepageCar"/>
          <w:rFonts w:ascii="Garamond" w:hAnsi="Garamond"/>
          <w:i/>
        </w:rPr>
        <w:t xml:space="preserve">A Thesis Submitted for the Degree of Doctor of Philosophy of the University of London</w:t>
      </w:r>
      <w:r>
        <w:rPr>
          <w:rStyle w:val="NotedebasdepageCar"/>
          <w:rFonts w:ascii="Garamond" w:hAnsi="Garamond"/>
        </w:rPr>
        <w:t xml:space="preserve">, Department of Greek and Latin, University College London, University of London, 1998, p. 92-93).</w:t>
      </w:r>
    </w:p>
  </w:footnote>
  <w:footnote w:type="normal" w:id="50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Brantôme, </w:t>
      </w:r>
      <w:r>
        <w:rPr>
          <w:rStyle w:val="NotedebasdepageCar"/>
          <w:rFonts w:ascii="Garamond" w:hAnsi="Garamond"/>
          <w:i/>
        </w:rPr>
        <w:t xml:space="preserve">Mémoires de Messire Pierre de Bourdeille, seigneur de Brantôme, contenant les vies des dames galantes de son temps</w:t>
      </w:r>
      <w:r>
        <w:rPr>
          <w:rStyle w:val="NotedebasdepageCar"/>
          <w:rFonts w:ascii="Garamond" w:hAnsi="Garamond"/>
        </w:rPr>
        <w:t xml:space="preserve">, Leyde, Jean Sameix le Jeune, 1666, p. 250.</w:t>
      </w:r>
    </w:p>
  </w:footnote>
  <w:footnote w:type="normal" w:id="50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II, 1, v. 404, p. 715.</w:t>
      </w:r>
    </w:p>
  </w:footnote>
  <w:footnote w:type="normal" w:id="51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471, p. 717.</w:t>
      </w:r>
    </w:p>
  </w:footnote>
  <w:footnote w:type="normal" w:id="51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Serge Lavoine, « D’Ériphile à Œdipe. Les fruits amers de la pédication », </w:t>
      </w:r>
      <w:r>
        <w:rPr>
          <w:rStyle w:val="NotedebasdepageCar"/>
          <w:rFonts w:ascii="Garamond" w:hAnsi="Garamond"/>
          <w:i/>
        </w:rPr>
        <w:t xml:space="preserve">Psychanalyse</w:t>
      </w:r>
      <w:r>
        <w:rPr>
          <w:rStyle w:val="NotedebasdepageCar"/>
          <w:rFonts w:ascii="Garamond" w:hAnsi="Garamond"/>
        </w:rPr>
        <w:t xml:space="preserve">, 2017/3, n° 40, p. 107-122. Voir en particulier p. 118.</w:t>
      </w:r>
    </w:p>
  </w:footnote>
  <w:footnote w:type="normal" w:id="51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II, 1, v. 502, p. 718. Voir Serge Lavoine, </w:t>
      </w:r>
      <w:r>
        <w:rPr>
          <w:rStyle w:val="NotedebasdepageCar"/>
          <w:rFonts w:ascii="Garamond" w:hAnsi="Garamond"/>
          <w:i/>
        </w:rPr>
        <w:t xml:space="preserve">art. cit.</w:t>
      </w:r>
      <w:r>
        <w:rPr>
          <w:rStyle w:val="NotedebasdepageCar"/>
          <w:rFonts w:ascii="Garamond" w:hAnsi="Garamond"/>
        </w:rPr>
        <w:t xml:space="preserve">, p. 119, qui propose, après Roland Barthes, une lecture fortement sexualisée du passage.</w:t>
      </w:r>
    </w:p>
  </w:footnote>
  <w:footnote w:type="normal" w:id="51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 2, v. 268, nous soulignons.</w:t>
      </w:r>
    </w:p>
  </w:footnote>
  <w:footnote w:type="normal" w:id="51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Platon, </w:t>
      </w:r>
      <w:r>
        <w:rPr>
          <w:rStyle w:val="NotedebasdepageCar"/>
          <w:rFonts w:ascii="Garamond" w:hAnsi="Garamond"/>
          <w:i/>
        </w:rPr>
        <w:t xml:space="preserve">Le Banquet, </w:t>
      </w:r>
      <w:r>
        <w:rPr>
          <w:rStyle w:val="NotedebasdepageCar"/>
          <w:rFonts w:ascii="Garamond" w:hAnsi="Garamond"/>
        </w:rPr>
        <w:t xml:space="preserve">179e.</w:t>
      </w:r>
    </w:p>
  </w:footnote>
  <w:footnote w:type="normal" w:id="51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180b.</w:t>
      </w:r>
    </w:p>
  </w:footnote>
  <w:footnote w:type="normal" w:id="51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Racine, </w:t>
      </w:r>
      <w:r>
        <w:rPr>
          <w:rStyle w:val="NotedebasdepageCar"/>
          <w:rFonts w:ascii="Garamond" w:hAnsi="Garamond"/>
          <w:i/>
        </w:rPr>
        <w:t xml:space="preserve">Œuvres</w:t>
      </w:r>
      <w:r>
        <w:rPr>
          <w:rStyle w:val="NotedebasdepageCar"/>
          <w:rFonts w:ascii="Garamond" w:hAnsi="Garamond"/>
        </w:rPr>
        <w:t xml:space="preserve">, éd. Paul Mesnard, Paris, Librairie Hachette, 1865, p. 268-272.</w:t>
      </w:r>
    </w:p>
  </w:footnote>
  <w:footnote w:type="normal" w:id="51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Boileau, </w:t>
      </w:r>
      <w:r>
        <w:rPr>
          <w:rStyle w:val="NotedebasdepageCar"/>
          <w:rFonts w:ascii="Garamond" w:hAnsi="Garamond"/>
          <w:i/>
        </w:rPr>
        <w:t xml:space="preserve">Traité du Sublime</w:t>
      </w:r>
      <w:r>
        <w:rPr>
          <w:rStyle w:val="NotedebasdepageCar"/>
          <w:rFonts w:ascii="Garamond" w:hAnsi="Garamond"/>
        </w:rPr>
        <w:t xml:space="preserve">, in</w:t>
      </w:r>
      <w:r>
        <w:rPr>
          <w:rStyle w:val="NotedebasdepageCar"/>
          <w:rFonts w:ascii="Garamond" w:hAnsi="Garamond"/>
          <w:i/>
        </w:rPr>
        <w:t xml:space="preserve"> Œuvres diverses du sieur D***</w:t>
      </w:r>
      <w:r>
        <w:rPr>
          <w:rStyle w:val="NotedebasdepageCar"/>
          <w:rFonts w:ascii="Garamond" w:hAnsi="Garamond"/>
        </w:rPr>
        <w:t xml:space="preserve">, Paris, Denys Thierry, 1674, chap. VIII, p. 26.</w:t>
      </w:r>
    </w:p>
  </w:footnote>
  <w:footnote w:type="normal" w:id="51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Hilaire-Bernard de Longepierre, </w:t>
      </w:r>
      <w:r>
        <w:rPr>
          <w:rStyle w:val="NotedebasdepageCar"/>
          <w:rFonts w:ascii="Garamond" w:hAnsi="Garamond"/>
          <w:i/>
        </w:rPr>
        <w:t xml:space="preserve">Les Poésies d’Anacréon et de Sapho</w:t>
      </w:r>
      <w:r>
        <w:rPr>
          <w:rStyle w:val="NotedebasdepageCar"/>
          <w:rFonts w:ascii="Garamond" w:hAnsi="Garamond"/>
        </w:rPr>
        <w:t xml:space="preserve">, P. Emery, 1684, p. 375 (« M. Racine pourrait bien s’en être souvenu [de l’ode de Saphol], lorsqu’il a fait dire si pathétiquement à sa Phèdre : ‘Je le vis, je rougis, je pâlis à sa vue’ »). Cité par Joan DeJean, </w:t>
      </w:r>
      <w:r>
        <w:rPr>
          <w:rStyle w:val="NotedebasdepageCar"/>
          <w:rFonts w:ascii="Garamond" w:hAnsi="Garamond"/>
          <w:i/>
        </w:rPr>
        <w:t xml:space="preserve">Sapho. Les fictions du désir. 1546-1937</w:t>
      </w:r>
      <w:r>
        <w:rPr>
          <w:rStyle w:val="NotedebasdepageCar"/>
          <w:rFonts w:ascii="Garamond" w:hAnsi="Garamond"/>
        </w:rPr>
        <w:t xml:space="preserve">, trad. François Lecercle, Paris, Hachette Supérieur, 1994, p. 78. Première édition : </w:t>
      </w:r>
      <w:r>
        <w:rPr>
          <w:rStyle w:val="NotedebasdepageCar"/>
          <w:rFonts w:ascii="Garamond" w:hAnsi="Garamond"/>
          <w:i/>
        </w:rPr>
        <w:t xml:space="preserve">Fictions of Sappho. 1546-1937, </w:t>
      </w:r>
      <w:r>
        <w:rPr>
          <w:rStyle w:val="NotedebasdepageCar"/>
          <w:rFonts w:ascii="Garamond" w:hAnsi="Garamond"/>
        </w:rPr>
        <w:t xml:space="preserve">The University of Chicago Press, 1989.</w:t>
      </w:r>
    </w:p>
  </w:footnote>
  <w:footnote w:type="normal" w:id="51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Phèdre</w:t>
      </w:r>
      <w:r>
        <w:rPr>
          <w:rStyle w:val="NotedebasdepageCar"/>
          <w:rFonts w:ascii="Garamond" w:hAnsi="Garamond"/>
        </w:rPr>
        <w:t xml:space="preserve">, V, scène dernière, v. 1637 et 1641, p. 876.</w:t>
      </w:r>
    </w:p>
  </w:footnote>
  <w:footnote w:type="normal" w:id="52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 3, v. 164, p. 826.</w:t>
      </w:r>
    </w:p>
  </w:footnote>
  <w:footnote w:type="normal" w:id="52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Quelle importune main, en formant tous ces nœuds, / A pris soin sur mon front d’assembler mes cheveux ? »,  </w:t>
      </w:r>
      <w:r>
        <w:rPr>
          <w:rStyle w:val="NotedebasdepageCar"/>
          <w:rFonts w:ascii="Garamond" w:hAnsi="Garamond"/>
          <w:i/>
        </w:rPr>
        <w:t xml:space="preserve">ibid.</w:t>
      </w:r>
      <w:r>
        <w:rPr>
          <w:rStyle w:val="NotedebasdepageCar"/>
          <w:rFonts w:ascii="Garamond" w:hAnsi="Garamond"/>
        </w:rPr>
        <w:t xml:space="preserve">, I, 3, v. 159-160, p. 826.</w:t>
      </w:r>
    </w:p>
  </w:footnote>
  <w:footnote w:type="normal" w:id="52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 3, v. 244, p. 829.</w:t>
      </w:r>
    </w:p>
  </w:footnote>
  <w:footnote w:type="normal" w:id="52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246.</w:t>
      </w:r>
    </w:p>
  </w:footnote>
  <w:footnote w:type="normal" w:id="52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Τροφός » chez Euripide, « Nutrix » chez Sénèque.</w:t>
      </w:r>
    </w:p>
  </w:footnote>
  <w:footnote w:type="normal" w:id="52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Ovide, </w:t>
      </w:r>
      <w:r>
        <w:rPr>
          <w:rStyle w:val="NotedebasdepageCar"/>
          <w:rFonts w:ascii="Garamond" w:hAnsi="Garamond"/>
          <w:i/>
        </w:rPr>
        <w:t xml:space="preserve">Héroïdes</w:t>
      </w:r>
      <w:r>
        <w:rPr>
          <w:rStyle w:val="NotedebasdepageCar"/>
          <w:rFonts w:ascii="Garamond" w:hAnsi="Garamond"/>
        </w:rPr>
        <w:t xml:space="preserve">, </w:t>
      </w:r>
      <w:r>
        <w:rPr>
          <w:rStyle w:val="NotedebasdepageCar"/>
          <w:rFonts w:ascii="Garamond" w:hAnsi="Garamond"/>
          <w:i/>
        </w:rPr>
        <w:t xml:space="preserve">Epistula</w:t>
      </w:r>
      <w:r>
        <w:rPr>
          <w:rStyle w:val="NotedebasdepageCar"/>
          <w:rFonts w:ascii="Garamond" w:hAnsi="Garamond"/>
        </w:rPr>
        <w:t xml:space="preserve"> V, « </w:t>
      </w:r>
      <w:r>
        <w:rPr>
          <w:rStyle w:val="NotedebasdepageCar"/>
          <w:rFonts w:ascii="Garamond" w:hAnsi="Garamond"/>
          <w:i/>
        </w:rPr>
        <w:t xml:space="preserve">Œnone Paridi</w:t>
      </w:r>
      <w:r>
        <w:rPr>
          <w:rStyle w:val="NotedebasdepageCar"/>
          <w:rFonts w:ascii="Garamond" w:hAnsi="Garamond"/>
        </w:rPr>
        <w:t xml:space="preserve"> ».</w:t>
      </w:r>
    </w:p>
  </w:footnote>
  <w:footnote w:type="normal" w:id="52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Ovide n’évoque par la mort de l’épistolière, mais Parthénios de Nicée relate le suicide d’ Œnone dans ses </w:t>
      </w:r>
      <w:r>
        <w:rPr>
          <w:rStyle w:val="NotedebasdepageCar"/>
          <w:rFonts w:ascii="Garamond" w:hAnsi="Garamond"/>
          <w:i/>
        </w:rPr>
        <w:t xml:space="preserve">Passions amoureuses</w:t>
      </w:r>
      <w:r>
        <w:rPr>
          <w:rStyle w:val="NotedebasdepageCar"/>
          <w:rFonts w:ascii="Garamond" w:hAnsi="Garamond"/>
        </w:rPr>
        <w:t xml:space="preserve"> (Περὶ Ἐρωτικῶν Παθημάτων, § 4). </w:t>
      </w:r>
    </w:p>
  </w:footnote>
  <w:footnote w:type="normal" w:id="52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Phèdre</w:t>
      </w:r>
      <w:r>
        <w:rPr>
          <w:rStyle w:val="NotedebasdepageCar"/>
          <w:rFonts w:ascii="Garamond" w:hAnsi="Garamond"/>
        </w:rPr>
        <w:t xml:space="preserve">, </w:t>
      </w:r>
      <w:r>
        <w:rPr>
          <w:rStyle w:val="NotedebasdepageCar"/>
          <w:rFonts w:ascii="Garamond" w:hAnsi="Garamond"/>
        </w:rPr>
        <w:t xml:space="preserve">I, 3, v. 233-236, p. 829.</w:t>
      </w:r>
    </w:p>
  </w:footnote>
  <w:footnote w:type="normal" w:id="52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 3, v. 230-232, p. 828-829.</w:t>
      </w:r>
    </w:p>
  </w:footnote>
  <w:footnote w:type="normal" w:id="52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III, 3, v. 897-900, p. 851.</w:t>
      </w:r>
    </w:p>
  </w:footnote>
  <w:footnote w:type="normal" w:id="53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IV, 6, p. 865.</w:t>
      </w:r>
    </w:p>
  </w:footnote>
  <w:footnote w:type="normal" w:id="53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5, v. 1465-1468, p. 871.</w:t>
      </w:r>
    </w:p>
  </w:footnote>
  <w:footnote w:type="normal" w:id="53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une fois plus Ovide, </w:t>
      </w:r>
      <w:r>
        <w:rPr>
          <w:rStyle w:val="NotedebasdepageCar"/>
          <w:rFonts w:ascii="Garamond" w:hAnsi="Garamond"/>
          <w:i/>
        </w:rPr>
        <w:t xml:space="preserve">Héroïdes, </w:t>
      </w:r>
      <w:r>
        <w:rPr>
          <w:rStyle w:val="NotedebasdepageCar"/>
          <w:rFonts w:ascii="Garamond" w:hAnsi="Garamond"/>
        </w:rPr>
        <w:t xml:space="preserve">Epistula XV, « </w:t>
      </w:r>
      <w:r>
        <w:rPr>
          <w:rStyle w:val="NotedebasdepageCar"/>
          <w:rFonts w:ascii="Garamond" w:hAnsi="Garamond"/>
          <w:i/>
        </w:rPr>
        <w:t xml:space="preserve">Sappho Phaoni</w:t>
      </w:r>
      <w:r>
        <w:rPr>
          <w:rStyle w:val="NotedebasdepageCar"/>
          <w:rFonts w:ascii="Garamond" w:hAnsi="Garamond"/>
        </w:rPr>
        <w:t xml:space="preserve"> ». « […]</w:t>
      </w:r>
      <w:r>
        <w:rPr>
          <w:rStyle w:val="NotedebasdepageCar"/>
          <w:rFonts w:ascii="Garamond" w:hAnsi="Garamond"/>
          <w:i/>
        </w:rPr>
        <w:t xml:space="preserve"> Pete protinus altam / Leucada nec saxo desiluisse time !</w:t>
      </w:r>
      <w:r>
        <w:rPr>
          <w:rStyle w:val="NotedebasdepageCar"/>
          <w:rFonts w:ascii="Garamond" w:hAnsi="Garamond"/>
        </w:rPr>
        <w:t xml:space="preserve"> », « Gagne sans attendre les hauteurs de Leucade, et ne crains pas de t’élancer de son rocher ! »</w:t>
      </w:r>
    </w:p>
  </w:footnote>
  <w:footnote w:type="normal" w:id="53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 5, v. 636, p. 843. </w:t>
      </w:r>
    </w:p>
  </w:footnote>
  <w:footnote w:type="normal" w:id="53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IV, 4, v. 1281-1286, p. 746.</w:t>
      </w:r>
    </w:p>
  </w:footnote>
  <w:footnote w:type="normal" w:id="53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Phèdre</w:t>
      </w:r>
      <w:r>
        <w:rPr>
          <w:rStyle w:val="NotedebasdepageCar"/>
          <w:rFonts w:ascii="Garamond" w:hAnsi="Garamond"/>
        </w:rPr>
        <w:t xml:space="preserve">, I, 1, v. 85, p. 823.</w:t>
      </w:r>
    </w:p>
  </w:footnote>
  <w:footnote w:type="normal" w:id="53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Plutarque, </w:t>
      </w:r>
      <w:r>
        <w:rPr>
          <w:rStyle w:val="NotedebasdepageCar"/>
          <w:rFonts w:ascii="Garamond" w:hAnsi="Garamond"/>
          <w:i/>
        </w:rPr>
        <w:t xml:space="preserve">Vie de Thésée</w:t>
      </w:r>
      <w:r>
        <w:rPr>
          <w:rStyle w:val="NotedebasdepageCar"/>
          <w:rFonts w:ascii="Garamond" w:hAnsi="Garamond"/>
        </w:rPr>
        <w:t xml:space="preserve">, XXXI, 2. « Τῶν δὲ πεμφθέντων ἐπὶ τὴν δίωξιν οὐ πορρωτέρω Τεγέας ἐπακολουθησάντων, ἐν ἀδείᾳ γενόμενοι καὶ διελθόντες τὴν Πελοπόννησον ἐποιήσαντο συνθήκας, τὸν μὲν λαχόντα κλήρῳ τὴν Ἑλένην ἔχειν γυναῖκα, συμπράττειν δὲ θατέρῳ γάμον ἄλλον », « Comme ceux qu'on avait envoyés à leur poursuite ne les suivirent pas plus loin que Tégée, ils se virent en sûreté ; et, après avoir traversé le Péloponnèse, ils firent une convention : celui que le destin désignerait par tirage au sort aurait Hélène pour épouse, à la condition qu'ils s'aideraient l'un l'autre à obtenir un autre mariage ». La convention (ἡ συνθήκη, le pacte), est la mise en œuvre d’une réciprocité mimétique. En décidant que le sort choisira pour eux et qu'ils s'aideront mutuellement à obtenir une seconde femme, Thésée et Pirithoüs cessent d'être des sujets autonomes pour devenir des </w:t>
      </w:r>
      <w:r>
        <w:rPr>
          <w:rStyle w:val="NotedebasdepageCar"/>
          <w:rFonts w:ascii="Garamond" w:hAnsi="Garamond"/>
          <w:i/>
        </w:rPr>
        <w:t xml:space="preserve">doubles</w:t>
      </w:r>
      <w:r>
        <w:rPr>
          <w:rStyle w:val="NotedebasdepageCar"/>
          <w:rFonts w:ascii="Garamond" w:hAnsi="Garamond"/>
        </w:rPr>
        <w:t xml:space="preserve"> agissant dans une identité de désir absolue. En s'alignant sur le désir de Pirithoüs, Thésée quitte la ligne du héros civilisateur pour s'abîmer dans une quête qui les mènera jusqu'aux Enfers, une fois dissous les lois de l'hospitalité et du mariage légitime.</w:t>
      </w:r>
    </w:p>
  </w:footnote>
  <w:footnote w:type="normal" w:id="53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Serge Lavoine, « D’Ériphile à Œdipe », </w:t>
      </w:r>
      <w:r>
        <w:rPr>
          <w:rStyle w:val="NotedebasdepageCar"/>
          <w:rFonts w:ascii="Garamond" w:hAnsi="Garamond"/>
          <w:i/>
        </w:rPr>
        <w:t xml:space="preserve">art. cit.</w:t>
      </w:r>
      <w:r>
        <w:rPr>
          <w:rStyle w:val="NotedebasdepageCar"/>
          <w:rFonts w:ascii="Garamond" w:hAnsi="Garamond"/>
        </w:rPr>
        <w:t xml:space="preserve">, p. 118 (« Thésée et Pirithoüs forment un couple homosexuel, ils ont respectivement l’intention de pédiquer Hélène et Proserpine »).</w:t>
      </w:r>
    </w:p>
  </w:footnote>
  <w:footnote w:type="normal" w:id="53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Παρὰ δὲ Σπαρτιάταις, ὡς ῞Αγνων φησὶ ὁ ᾿Ακαδημαικός, πρὸ τῶν γάμων ταῖς παρθένοις ὡς παιδικοῖς νόμος ἐστὶν ὁμιλεῖν », Athénée, </w:t>
      </w:r>
      <w:r>
        <w:rPr>
          <w:rStyle w:val="NotedebasdepageCar"/>
          <w:rFonts w:ascii="Garamond" w:hAnsi="Garamond"/>
          <w:i/>
        </w:rPr>
        <w:t xml:space="preserve">Deipnosophistes</w:t>
      </w:r>
      <w:r>
        <w:rPr>
          <w:rStyle w:val="NotedebasdepageCar"/>
          <w:rFonts w:ascii="Garamond" w:hAnsi="Garamond"/>
        </w:rPr>
        <w:t xml:space="preserve">, XIII, 79 (« Chez les Spartiates, au dire de l’Académicien Hagnon, la coutume est de se servir des jeunes filles avant leurs noces exactement comme de mignons [favoris garçons] »).</w:t>
      </w:r>
    </w:p>
  </w:footnote>
  <w:footnote w:type="normal" w:id="53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ὁ Κλεινίας ὁ τῷ κυσῷ λακωνίζων· τὸ δὲ τοῖς παιδικοῖς χρῆσθαι λακωνίζειν λέγουσιν· Μελαίνῃ γὰρ Θησεὺς οὕτως ἓχρήοατο, ὡς Ἀριστοτέλης », « Clinias, celui qui laconise par le cul ; car on dit que ‘laconiser’ signifie traiter [ses partenaires] comme des mignons [</w:t>
      </w:r>
      <w:r>
        <w:rPr>
          <w:rStyle w:val="NotedebasdepageCar"/>
          <w:rFonts w:ascii="Garamond" w:hAnsi="Garamond"/>
          <w:i/>
        </w:rPr>
        <w:t xml:space="preserve">paidikois</w:t>
      </w:r>
      <w:r>
        <w:rPr>
          <w:rStyle w:val="NotedebasdepageCar"/>
          <w:rFonts w:ascii="Garamond" w:hAnsi="Garamond"/>
        </w:rPr>
        <w:t xml:space="preserve">] ; car Thésée s’est servi de Melaina [Hélène] de cette manière, d’après Aristote ». Aristote, fr. 511, </w:t>
      </w:r>
      <w:r>
        <w:rPr>
          <w:rStyle w:val="NotedebasdepageCar"/>
          <w:rFonts w:ascii="Garamond" w:hAnsi="Garamond"/>
          <w:i/>
        </w:rPr>
        <w:t xml:space="preserve">in Photii Patriarchae Lexicon</w:t>
      </w:r>
      <w:r>
        <w:rPr>
          <w:rStyle w:val="NotedebasdepageCar"/>
          <w:rFonts w:ascii="Garamond" w:hAnsi="Garamond"/>
        </w:rPr>
        <w:t xml:space="preserve">, voluminis prioris fasciculus prior, éd. S. A. Naber, Leidae, Brill, 1864, p. 361. Le jeune âge d’Hélène au moment de l’enlèvement corrobore l’hypothèse d’une relation sodomite et pédophile conforme aux mœurs spartiates (« Ἤδη δὲ πεντήκοντα ἔτη γεγονώς, ὥς φησιν Ἑλλάνικος, ἔπραξε τὰ περὶ τὴν Ἑλένην, οὐ καθ´ ὥραν », « Étant déjà âgé de cinquante ans, comme le rapporte Hellanicos, il [Thésée] commit son rapt contre Hélène, qui n’était pas encore nubile », Plutarque, </w:t>
      </w:r>
      <w:r>
        <w:rPr>
          <w:rStyle w:val="NotedebasdepageCar"/>
          <w:rFonts w:ascii="Garamond" w:hAnsi="Garamond"/>
          <w:i/>
        </w:rPr>
        <w:t xml:space="preserve">Vie de Thésée</w:t>
      </w:r>
      <w:r>
        <w:rPr>
          <w:rStyle w:val="NotedebasdepageCar"/>
          <w:rFonts w:ascii="Garamond" w:hAnsi="Garamond"/>
        </w:rPr>
        <w:t xml:space="preserve">, XXXI, 1). Kenneth Dover considère même qu’Hélène et Thésée auraient inventé le rapport sexuel anal (</w:t>
      </w:r>
      <w:r>
        <w:rPr>
          <w:rStyle w:val="NotedebasdepageCar"/>
          <w:rFonts w:ascii="Garamond" w:hAnsi="Garamond"/>
          <w:i/>
        </w:rPr>
        <w:t xml:space="preserve">Greek Homosexuality</w:t>
      </w:r>
      <w:r>
        <w:rPr>
          <w:rStyle w:val="NotedebasdepageCar"/>
          <w:rFonts w:ascii="Garamond" w:hAnsi="Garamond"/>
        </w:rPr>
        <w:t xml:space="preserve">, Harvard, 1978, p. 189 : « </w:t>
      </w:r>
      <w:r>
        <w:rPr>
          <w:rStyle w:val="NotedebasdepageCar"/>
          <w:rFonts w:ascii="Garamond" w:hAnsi="Garamond"/>
          <w:i/>
        </w:rPr>
        <w:t xml:space="preserve">it seems that Aristotle mentioned the idea that Theseus and Helen ‘invented’ anal intercourse.</w:t>
      </w:r>
      <w:r>
        <w:rPr>
          <w:rStyle w:val="NotedebasdepageCar"/>
          <w:rFonts w:ascii="Garamond" w:hAnsi="Garamond"/>
        </w:rPr>
        <w:t xml:space="preserve"> »)</w:t>
      </w:r>
    </w:p>
  </w:footnote>
  <w:footnote w:type="normal" w:id="54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IV, 4, v. 1284, p. 746.</w:t>
      </w:r>
    </w:p>
  </w:footnote>
  <w:footnote w:type="normal" w:id="54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la double lecture de l’</w:t>
      </w:r>
      <w:r>
        <w:rPr>
          <w:rStyle w:val="NotedebasdepageCar"/>
          <w:rFonts w:ascii="Garamond" w:hAnsi="Garamond"/>
        </w:rPr>
        <w:t xml:space="preserve"> </w:t>
      </w:r>
      <w:r>
        <w:rPr>
          <w:rStyle w:val="NotedebasdepageCar"/>
          <w:rFonts w:ascii="Garamond" w:hAnsi="Garamond"/>
        </w:rPr>
        <w:t xml:space="preserve">« hymen », comme synonyme de mariage et au sens anatomique, voir Serge Lavoine, </w:t>
      </w:r>
      <w:r>
        <w:rPr>
          <w:rStyle w:val="NotedebasdepageCar"/>
          <w:rFonts w:ascii="Garamond" w:hAnsi="Garamond"/>
          <w:i/>
        </w:rPr>
        <w:t xml:space="preserve">art. cit.</w:t>
      </w:r>
      <w:r>
        <w:rPr>
          <w:rStyle w:val="NotedebasdepageCar"/>
          <w:rFonts w:ascii="Garamond" w:hAnsi="Garamond"/>
        </w:rPr>
        <w:t xml:space="preserve">, p. 115-117. Voir aussi Jennifer Eun-Jung, </w:t>
      </w:r>
      <w:r>
        <w:rPr>
          <w:rStyle w:val="NotedebasdepageCar"/>
          <w:rFonts w:ascii="Garamond" w:hAnsi="Garamond"/>
          <w:i/>
        </w:rPr>
        <w:t xml:space="preserve">Queer Velocities. Time, Sex, and Biopower on the Early Modern Stage</w:t>
      </w:r>
      <w:r>
        <w:rPr>
          <w:rStyle w:val="NotedebasdepageCar"/>
          <w:rFonts w:ascii="Garamond" w:hAnsi="Garamond"/>
        </w:rPr>
        <w:t xml:space="preserve">, Evanston, Northwestern University Press, 2022. L’autrice évoque longuement l’ambiguïté du mot à propos de </w:t>
      </w:r>
      <w:r>
        <w:rPr>
          <w:rStyle w:val="NotedebasdepageCar"/>
          <w:rFonts w:ascii="Garamond" w:hAnsi="Garamond"/>
          <w:i/>
        </w:rPr>
        <w:t xml:space="preserve">Bérénice</w:t>
      </w:r>
      <w:r>
        <w:rPr>
          <w:rStyle w:val="NotedebasdepageCar"/>
          <w:rFonts w:ascii="Garamond" w:hAnsi="Garamond"/>
        </w:rPr>
        <w:t xml:space="preserve">, p. 140 </w:t>
      </w:r>
      <w:r>
        <w:rPr>
          <w:rStyle w:val="NotedebasdepageCar"/>
          <w:rFonts w:ascii="Garamond" w:hAnsi="Garamond"/>
          <w:i/>
        </w:rPr>
        <w:t xml:space="preserve">sqq</w:t>
      </w:r>
      <w:r>
        <w:rPr>
          <w:rStyle w:val="NotedebasdepageCar"/>
          <w:rFonts w:ascii="Garamond" w:hAnsi="Garamond"/>
        </w:rPr>
        <w:t xml:space="preserve">. </w:t>
      </w:r>
    </w:p>
  </w:footnote>
  <w:footnote w:type="normal" w:id="54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Phèdre</w:t>
      </w:r>
      <w:r>
        <w:rPr>
          <w:rStyle w:val="NotedebasdepageCar"/>
          <w:rFonts w:ascii="Garamond" w:hAnsi="Garamond"/>
        </w:rPr>
        <w:t xml:space="preserve">, III, 5, v. 957, p. 854</w:t>
      </w:r>
      <w:r>
        <w:rPr>
          <w:rStyle w:val="NotedebasdepageCar"/>
          <w:rFonts w:ascii="Garamond" w:hAnsi="Garamond"/>
          <w:b/>
        </w:rPr>
        <w:t xml:space="preserve">. </w:t>
      </w:r>
      <w:r>
        <w:rPr>
          <w:rStyle w:val="NotedebasdepageCar"/>
          <w:rFonts w:ascii="Garamond" w:hAnsi="Garamond"/>
        </w:rPr>
        <w:t xml:space="preserve">Ovide est plus explicite sur l’affection du roi d’Athènes pour le fils d’Ixion, lors de la chasse au sanglier de Calydon : « </w:t>
      </w:r>
      <w:r>
        <w:rPr>
          <w:rStyle w:val="NotedebasdepageCar"/>
          <w:rFonts w:ascii="Garamond" w:hAnsi="Garamond"/>
          <w:i/>
        </w:rPr>
        <w:t xml:space="preserve">Pirithous valida quatiens venabula dextra ; / Cui ‘procul’ Aegides ‘o me mihi carior’ inquit / ‘pars animae consiste meae !’</w:t>
      </w:r>
      <w:r>
        <w:rPr>
          <w:rStyle w:val="NotedebasdepageCar"/>
          <w:rFonts w:ascii="Garamond" w:hAnsi="Garamond"/>
        </w:rPr>
        <w:t xml:space="preserve"> », « Pirithoüs brandissait d’une main vigoureuse ses épieux ; le fils d’Égée lui crie de loin : ‘</w:t>
      </w:r>
      <w:r>
        <w:rPr>
          <w:rStyle w:val="NotedebasdepageCar"/>
          <w:rFonts w:ascii="Garamond" w:hAnsi="Garamond"/>
          <w:i/>
        </w:rPr>
        <w:t xml:space="preserve">Ô toi qui m’es plus cher que moi-même, moitié de mon âme</w:t>
      </w:r>
      <w:r>
        <w:rPr>
          <w:rStyle w:val="NotedebasdepageCar"/>
          <w:rFonts w:ascii="Garamond" w:hAnsi="Garamond"/>
        </w:rPr>
        <w:t xml:space="preserve">, arrête-toi !’ », </w:t>
      </w:r>
      <w:r>
        <w:rPr>
          <w:rStyle w:val="NotedebasdepageCar"/>
          <w:rFonts w:ascii="Garamond" w:hAnsi="Garamond"/>
          <w:i/>
        </w:rPr>
        <w:t xml:space="preserve">Métamorphoses</w:t>
      </w:r>
      <w:r>
        <w:rPr>
          <w:rStyle w:val="NotedebasdepageCar"/>
          <w:rFonts w:ascii="Garamond" w:hAnsi="Garamond"/>
        </w:rPr>
        <w:t xml:space="preserve">, VIII, v. 405-407. Nous soulignons.</w:t>
      </w:r>
    </w:p>
  </w:footnote>
  <w:footnote w:type="normal" w:id="54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Tu sais combien mon âme attentitve à ta voix / S’échauffait au récit de ses nobles exploits », </w:t>
      </w:r>
      <w:r>
        <w:rPr>
          <w:rStyle w:val="NotedebasdepageCar"/>
          <w:rFonts w:ascii="Garamond" w:hAnsi="Garamond"/>
          <w:i/>
        </w:rPr>
        <w:t xml:space="preserve">Phèdre</w:t>
      </w:r>
      <w:r>
        <w:rPr>
          <w:rStyle w:val="NotedebasdepageCar"/>
          <w:rFonts w:ascii="Garamond" w:hAnsi="Garamond"/>
        </w:rPr>
        <w:t xml:space="preserve">, I, 1, v. 75-76, p. 823.</w:t>
      </w:r>
    </w:p>
  </w:footnote>
  <w:footnote w:type="normal" w:id="54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Le roi d’Épire « a ses monstres lui-même a servi de pâture », </w:t>
      </w:r>
      <w:r>
        <w:rPr>
          <w:rStyle w:val="NotedebasdepageCar"/>
          <w:rFonts w:ascii="Garamond" w:hAnsi="Garamond"/>
          <w:i/>
        </w:rPr>
        <w:t xml:space="preserve">ibid.</w:t>
      </w:r>
      <w:r>
        <w:rPr>
          <w:rStyle w:val="NotedebasdepageCar"/>
          <w:rFonts w:ascii="Garamond" w:hAnsi="Garamond"/>
        </w:rPr>
        <w:t xml:space="preserve">, III, 5, v. 970, p. 854.</w:t>
      </w:r>
    </w:p>
  </w:footnote>
  <w:footnote w:type="normal" w:id="54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IV, 2, v. 1065-1076, p. 857.</w:t>
      </w:r>
    </w:p>
  </w:footnote>
  <w:footnote w:type="normal" w:id="54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Jean Racine, </w:t>
      </w:r>
      <w:r>
        <w:rPr>
          <w:rStyle w:val="NotedebasdepageCar"/>
          <w:rFonts w:ascii="Garamond" w:hAnsi="Garamond"/>
          <w:i/>
        </w:rPr>
        <w:t xml:space="preserve">Œuvres</w:t>
      </w:r>
      <w:r>
        <w:rPr>
          <w:rStyle w:val="NotedebasdepageCar"/>
          <w:rFonts w:ascii="Garamond" w:hAnsi="Garamond"/>
        </w:rPr>
        <w:t xml:space="preserve">, éd. Paul Mesnard, </w:t>
      </w:r>
      <w:r>
        <w:rPr>
          <w:rStyle w:val="NotedebasdepageCar"/>
          <w:rFonts w:ascii="Garamond" w:hAnsi="Garamond"/>
          <w:i/>
        </w:rPr>
        <w:t xml:space="preserve">op. cit.</w:t>
      </w:r>
      <w:r>
        <w:rPr>
          <w:rStyle w:val="NotedebasdepageCar"/>
          <w:rFonts w:ascii="Garamond" w:hAnsi="Garamond"/>
        </w:rPr>
        <w:t xml:space="preserve">, p. 269.</w:t>
      </w:r>
    </w:p>
  </w:footnote>
  <w:footnote w:type="normal" w:id="54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Vie des dames galantes</w:t>
      </w:r>
      <w:r>
        <w:rPr>
          <w:rStyle w:val="NotedebasdepageCar"/>
          <w:rFonts w:ascii="Garamond" w:hAnsi="Garamond"/>
        </w:rPr>
        <w:t xml:space="preserve">, </w:t>
      </w:r>
      <w:r>
        <w:rPr>
          <w:rStyle w:val="NotedebasdepageCar"/>
          <w:rFonts w:ascii="Garamond" w:hAnsi="Garamond"/>
          <w:i/>
        </w:rPr>
        <w:t xml:space="preserve">op. cit.</w:t>
      </w:r>
      <w:r>
        <w:rPr>
          <w:rStyle w:val="NotedebasdepageCar"/>
          <w:rFonts w:ascii="Garamond" w:hAnsi="Garamond"/>
        </w:rPr>
        <w:t xml:space="preserve">, p. 251.</w:t>
      </w:r>
    </w:p>
  </w:footnote>
  <w:footnote w:type="normal" w:id="54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p. 250. Voir Daniel Maira, « Des tribades et des godemichés : mollesses viriles dans le </w:t>
      </w:r>
      <w:r>
        <w:rPr>
          <w:rStyle w:val="NotedebasdepageCar"/>
          <w:rFonts w:ascii="Garamond" w:hAnsi="Garamond"/>
          <w:i/>
        </w:rPr>
        <w:t xml:space="preserve">Recueil des dames</w:t>
      </w:r>
      <w:r>
        <w:rPr>
          <w:rStyle w:val="NotedebasdepageCar"/>
          <w:rFonts w:ascii="Garamond" w:hAnsi="Garamond"/>
        </w:rPr>
        <w:t xml:space="preserve"> de Brantôme », </w:t>
      </w:r>
      <w:r>
        <w:rPr>
          <w:rStyle w:val="NotedebasdepageCar"/>
          <w:rFonts w:ascii="Garamond" w:hAnsi="Garamond"/>
          <w:i/>
        </w:rPr>
        <w:t xml:space="preserve">French Studies,</w:t>
      </w:r>
      <w:r>
        <w:rPr>
          <w:rStyle w:val="NotedebasdepageCar"/>
          <w:rFonts w:ascii="Garamond" w:hAnsi="Garamond"/>
        </w:rPr>
        <w:t xml:space="preserve"> 70, 2016, p. 503-518. Chez Brantôme, les « tribades » sont « perçues comme des femmes viriles qui usurpent la vigueur sexuelle des mâles », explique l’auteur de l’article.</w:t>
      </w:r>
    </w:p>
  </w:footnote>
  <w:footnote w:type="normal" w:id="54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II, 1, v. 507, p. 717. Voir Serge Lavoine, « D’Ériphile à Œdipe. Les fruits amers de la pédication », </w:t>
      </w:r>
      <w:r>
        <w:rPr>
          <w:rStyle w:val="NotedebasdepageCar"/>
          <w:rFonts w:ascii="Garamond" w:hAnsi="Garamond"/>
          <w:i/>
        </w:rPr>
        <w:t xml:space="preserve">art. cit.</w:t>
      </w:r>
      <w:r>
        <w:rPr>
          <w:rStyle w:val="NotedebasdepageCar"/>
          <w:rFonts w:ascii="Garamond" w:hAnsi="Garamond"/>
        </w:rPr>
        <w:t xml:space="preserve">, p. 119.</w:t>
      </w:r>
    </w:p>
  </w:footnote>
  <w:footnote w:type="normal" w:id="55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 1, v. 492, p. 718.</w:t>
      </w:r>
    </w:p>
  </w:footnote>
  <w:footnote w:type="normal" w:id="55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IV, 11, v. 1492, p. 753.</w:t>
      </w:r>
    </w:p>
  </w:footnote>
  <w:footnote w:type="normal" w:id="55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scène dernière, v. 1776, p. 762.</w:t>
      </w:r>
    </w:p>
  </w:footnote>
  <w:footnote w:type="normal" w:id="55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1774, p. 762.</w:t>
      </w:r>
    </w:p>
  </w:footnote>
  <w:footnote w:type="normal" w:id="55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Phèdre</w:t>
      </w:r>
      <w:r>
        <w:rPr>
          <w:rStyle w:val="NotedebasdepageCar"/>
          <w:rFonts w:ascii="Garamond" w:hAnsi="Garamond"/>
        </w:rPr>
        <w:t xml:space="preserve">, I, 5, v. 337-362, p. 833.</w:t>
      </w:r>
    </w:p>
  </w:footnote>
  <w:footnote w:type="normal" w:id="55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Hé bien ! À tes conseils je me laisse entraîner. », </w:t>
      </w:r>
      <w:r>
        <w:rPr>
          <w:rStyle w:val="NotedebasdepageCar"/>
          <w:rFonts w:ascii="Garamond" w:hAnsi="Garamond"/>
          <w:i/>
        </w:rPr>
        <w:t xml:space="preserve">ibid.</w:t>
      </w:r>
      <w:r>
        <w:rPr>
          <w:rStyle w:val="NotedebasdepageCar"/>
          <w:rFonts w:ascii="Garamond" w:hAnsi="Garamond"/>
        </w:rPr>
        <w:t xml:space="preserve">, v. 363, p. 833.</w:t>
      </w:r>
    </w:p>
  </w:footnote>
  <w:footnote w:type="normal" w:id="55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IV, 1, p. 855-856.</w:t>
      </w:r>
    </w:p>
  </w:footnote>
  <w:footnote w:type="normal" w:id="55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Au défaut de ton bras prête-moi ton épée. / Donne. », </w:t>
      </w:r>
      <w:r>
        <w:rPr>
          <w:rStyle w:val="NotedebasdepageCar"/>
          <w:rFonts w:ascii="Garamond" w:hAnsi="Garamond"/>
          <w:i/>
        </w:rPr>
        <w:t xml:space="preserve">ibid.</w:t>
      </w:r>
      <w:r>
        <w:rPr>
          <w:rStyle w:val="NotedebasdepageCar"/>
          <w:rFonts w:ascii="Garamond" w:hAnsi="Garamond"/>
        </w:rPr>
        <w:t xml:space="preserve">, II, 5, v. 710-711, p. 845.</w:t>
      </w:r>
    </w:p>
  </w:footnote>
  <w:footnote w:type="normal" w:id="55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Son épée en vos mains heureusement laissée », </w:t>
      </w:r>
      <w:r>
        <w:rPr>
          <w:rStyle w:val="NotedebasdepageCar"/>
          <w:rFonts w:ascii="Garamond" w:hAnsi="Garamond"/>
          <w:i/>
        </w:rPr>
        <w:t xml:space="preserve">ibid.</w:t>
      </w:r>
      <w:r>
        <w:rPr>
          <w:rStyle w:val="NotedebasdepageCar"/>
          <w:rFonts w:ascii="Garamond" w:hAnsi="Garamond"/>
        </w:rPr>
        <w:t xml:space="preserve">, III, 3, v. 889, p. 851.</w:t>
      </w:r>
    </w:p>
  </w:footnote>
  <w:footnote w:type="normal" w:id="55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Roland Barthes, </w:t>
      </w:r>
      <w:r>
        <w:rPr>
          <w:rStyle w:val="NotedebasdepageCar"/>
          <w:rFonts w:ascii="Garamond" w:hAnsi="Garamond"/>
          <w:i/>
        </w:rPr>
        <w:t xml:space="preserve">Sur Racine</w:t>
      </w:r>
      <w:r>
        <w:rPr>
          <w:rStyle w:val="NotedebasdepageCar"/>
          <w:rFonts w:ascii="Garamond" w:hAnsi="Garamond"/>
        </w:rPr>
        <w:t xml:space="preserve"> [1960], Paris, Le Seuil, « Points », 1979, p. 42.</w:t>
      </w:r>
    </w:p>
  </w:footnote>
  <w:footnote w:type="normal" w:id="56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Sur son trône avec lui j’allais prendre ma place », </w:t>
      </w:r>
      <w:r>
        <w:rPr>
          <w:rStyle w:val="NotedebasdepageCar"/>
          <w:rFonts w:ascii="Garamond" w:hAnsi="Garamond"/>
          <w:i/>
        </w:rPr>
        <w:t xml:space="preserve">Britannicus</w:t>
      </w:r>
      <w:r>
        <w:rPr>
          <w:rStyle w:val="NotedebasdepageCar"/>
          <w:rFonts w:ascii="Garamond" w:hAnsi="Garamond"/>
        </w:rPr>
        <w:t xml:space="preserve">, I, 1, v. 103, p. 380.</w:t>
      </w:r>
    </w:p>
  </w:footnote>
  <w:footnote w:type="normal" w:id="56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 1, v. 93-96.</w:t>
      </w:r>
    </w:p>
  </w:footnote>
  <w:footnote w:type="normal" w:id="56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3, p. 431-432.</w:t>
      </w:r>
    </w:p>
  </w:footnote>
  <w:footnote w:type="normal" w:id="56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Alain Viala, </w:t>
      </w:r>
      <w:r>
        <w:rPr>
          <w:rStyle w:val="NotedebasdepageCar"/>
          <w:rFonts w:ascii="Garamond" w:hAnsi="Garamond"/>
          <w:i/>
        </w:rPr>
        <w:t xml:space="preserve">La France galante. Essai historique sur une catégorie culturelle, de ses origines jusqu’à la Révolution</w:t>
      </w:r>
      <w:r>
        <w:rPr>
          <w:rStyle w:val="NotedebasdepageCar"/>
          <w:rFonts w:ascii="Garamond" w:hAnsi="Garamond"/>
        </w:rPr>
        <w:t xml:space="preserve">, Paris, PUF, « Les Littéraires », 2008.</w:t>
      </w:r>
    </w:p>
  </w:footnote>
  <w:footnote w:type="normal" w:id="56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R</w:t>
      </w:r>
      <w:r>
        <w:rPr>
          <w:rStyle w:val="NotedebasdepageCar"/>
          <w:rFonts w:ascii="Garamond" w:hAnsi="Garamond"/>
          <w:smallCaps w:val="true"/>
        </w:rPr>
        <w:t xml:space="preserve">oxane</w:t>
      </w:r>
      <w:r>
        <w:rPr>
          <w:rStyle w:val="NotedebasdepageCar"/>
          <w:rFonts w:ascii="Garamond" w:hAnsi="Garamond"/>
        </w:rPr>
        <w:t xml:space="preserve"> […] S’il m’échappait un mot, c’est fait de votre vie. – </w:t>
      </w:r>
      <w:r>
        <w:rPr>
          <w:rStyle w:val="NotedebasdepageCar"/>
          <w:rFonts w:ascii="Garamond" w:hAnsi="Garamond"/>
          <w:smallCaps w:val="true"/>
        </w:rPr>
        <w:t xml:space="preserve">Bajazet</w:t>
      </w:r>
      <w:r>
        <w:rPr>
          <w:rStyle w:val="NotedebasdepageCar"/>
          <w:rFonts w:ascii="Garamond" w:hAnsi="Garamond"/>
        </w:rPr>
        <w:t xml:space="preserve"> Vous pouvez me l’ôter, elle est entre vos mains. », </w:t>
      </w:r>
      <w:r>
        <w:rPr>
          <w:rStyle w:val="NotedebasdepageCar"/>
          <w:rFonts w:ascii="Garamond" w:hAnsi="Garamond"/>
          <w:i/>
        </w:rPr>
        <w:t xml:space="preserve">Bajazet</w:t>
      </w:r>
      <w:r>
        <w:rPr>
          <w:rStyle w:val="NotedebasdepageCar"/>
          <w:rFonts w:ascii="Garamond" w:hAnsi="Garamond"/>
        </w:rPr>
        <w:t xml:space="preserve">, II, 1, v. 542-543, p. 577.</w:t>
      </w:r>
    </w:p>
  </w:footnote>
  <w:footnote w:type="normal" w:id="56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5, v. 1572, p. 614.</w:t>
      </w:r>
    </w:p>
  </w:footnote>
  <w:footnote w:type="normal" w:id="56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Athalie</w:t>
      </w:r>
      <w:r>
        <w:rPr>
          <w:rStyle w:val="NotedebasdepageCar"/>
          <w:rFonts w:ascii="Garamond" w:hAnsi="Garamond"/>
        </w:rPr>
        <w:t xml:space="preserve">, I, 1, v. 141, p. 1021.</w:t>
      </w:r>
    </w:p>
  </w:footnote>
  <w:footnote w:type="normal" w:id="56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 5, v. 471-472, p. 1033.</w:t>
      </w:r>
    </w:p>
  </w:footnote>
  <w:footnote w:type="normal" w:id="56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491.</w:t>
      </w:r>
    </w:p>
  </w:footnote>
  <w:footnote w:type="normal" w:id="56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512, p. 1034.</w:t>
      </w:r>
    </w:p>
  </w:footnote>
  <w:footnote w:type="normal" w:id="57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v. 513-514.</w:t>
      </w:r>
    </w:p>
  </w:footnote>
  <w:footnote w:type="normal" w:id="57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Ibid.</w:t>
      </w:r>
      <w:r>
        <w:rPr>
          <w:rStyle w:val="NotedebasdepageCar"/>
          <w:rFonts w:ascii="Garamond" w:hAnsi="Garamond"/>
        </w:rPr>
        <w:t xml:space="preserve">, III, 3, v. 876, p. 1049.</w:t>
      </w:r>
    </w:p>
  </w:footnote>
  <w:footnote w:type="normal" w:id="57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Son histoire est racontée en particulier par Ovide, au livre III des </w:t>
      </w:r>
      <w:r>
        <w:rPr>
          <w:rStyle w:val="NotedebasdepageCar"/>
          <w:rFonts w:ascii="Garamond" w:hAnsi="Garamond"/>
          <w:i/>
        </w:rPr>
        <w:t xml:space="preserve">Métamorphoses</w:t>
      </w:r>
      <w:r>
        <w:rPr>
          <w:rStyle w:val="NotedebasdepageCar"/>
          <w:rFonts w:ascii="Garamond" w:hAnsi="Garamond"/>
        </w:rPr>
        <w:t xml:space="preserve">, v. 316-338.</w:t>
      </w:r>
    </w:p>
  </w:footnote>
  <w:footnote w:type="normal" w:id="57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Hé bien apprendrons-nous ce qu’ont dit les Oracles ? », </w:t>
      </w:r>
      <w:r>
        <w:rPr>
          <w:rStyle w:val="NotedebasdepageCar"/>
          <w:rFonts w:ascii="Garamond" w:hAnsi="Garamond"/>
          <w:i/>
        </w:rPr>
        <w:t xml:space="preserve">La Thébaïde ou les Frères ennemis</w:t>
      </w:r>
      <w:r>
        <w:rPr>
          <w:rStyle w:val="NotedebasdepageCar"/>
          <w:rFonts w:ascii="Garamond" w:hAnsi="Garamond"/>
        </w:rPr>
        <w:t xml:space="preserve">, II, 2, v. 440, p. 76.</w:t>
      </w:r>
    </w:p>
  </w:footnote>
  <w:footnote w:type="normal" w:id="57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Serge Lavoine, « D’Ériphile à Œdipe », </w:t>
      </w:r>
      <w:r>
        <w:rPr>
          <w:rStyle w:val="NotedebasdepageCar"/>
          <w:rFonts w:ascii="Garamond" w:hAnsi="Garamond"/>
          <w:i/>
        </w:rPr>
        <w:t xml:space="preserve">art. cit.</w:t>
      </w:r>
      <w:r>
        <w:rPr>
          <w:rStyle w:val="NotedebasdepageCar"/>
          <w:rFonts w:ascii="Garamond" w:hAnsi="Garamond"/>
        </w:rPr>
        <w:t xml:space="preserve">, p. 113.</w:t>
      </w:r>
    </w:p>
  </w:footnote>
  <w:footnote w:type="normal" w:id="57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 </w:t>
      </w:r>
      <w:r>
        <w:rPr>
          <w:rStyle w:val="NotedebasdepageCar"/>
          <w:rFonts w:ascii="Garamond" w:hAnsi="Garamond"/>
          <w:i/>
        </w:rPr>
        <w:t xml:space="preserve">de quo consultus, an esset / Tempora maturae visurus longa senectae, / fatidicus vates 'si se non noverit' inqui</w:t>
      </w:r>
      <w:r>
        <w:rPr>
          <w:rStyle w:val="NotedebasdepageCar"/>
          <w:rFonts w:ascii="Garamond" w:hAnsi="Garamond"/>
        </w:rPr>
        <w:t xml:space="preserve">t », Ovide, </w:t>
      </w:r>
      <w:r>
        <w:rPr>
          <w:rStyle w:val="NotedebasdepageCar"/>
          <w:rFonts w:ascii="Garamond" w:hAnsi="Garamond"/>
          <w:i/>
        </w:rPr>
        <w:t xml:space="preserve">Métamorphoses</w:t>
      </w:r>
      <w:r>
        <w:rPr>
          <w:rStyle w:val="NotedebasdepageCar"/>
          <w:rFonts w:ascii="Garamond" w:hAnsi="Garamond"/>
        </w:rPr>
        <w:t xml:space="preserve">, III, v. 346-348 (« Interrogé à son sujet [au sujet de Narcisse], pour savoir s'il verrait les longs jours d'une vieillesse avancée, le devin prophétique [Tirésias] répondit : ‘S'il ne se connaît pas lui-même’ »).</w:t>
      </w:r>
    </w:p>
  </w:footnote>
  <w:footnote w:type="normal" w:id="57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Britannicus</w:t>
      </w:r>
      <w:r>
        <w:rPr>
          <w:rStyle w:val="NotedebasdepageCar"/>
          <w:rFonts w:ascii="Garamond" w:hAnsi="Garamond"/>
        </w:rPr>
        <w:t xml:space="preserve">, II, 2, v. 428-431, p. 390.</w:t>
      </w:r>
    </w:p>
  </w:footnote>
  <w:footnote w:type="normal" w:id="57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Voir Megan R. Kruer, « Personification, Dissemination, Violence: Jean Racine’s </w:t>
      </w:r>
      <w:r>
        <w:rPr>
          <w:rStyle w:val="NotedebasdepageCar"/>
          <w:rFonts w:ascii="Garamond" w:hAnsi="Garamond"/>
          <w:i/>
        </w:rPr>
        <w:t xml:space="preserve">Britannicus</w:t>
      </w:r>
      <w:r>
        <w:rPr>
          <w:rStyle w:val="NotedebasdepageCar"/>
          <w:rFonts w:ascii="Garamond" w:hAnsi="Garamond"/>
        </w:rPr>
        <w:t xml:space="preserve"> », </w:t>
      </w:r>
      <w:r>
        <w:rPr>
          <w:rStyle w:val="NotedebasdepageCar"/>
          <w:rFonts w:ascii="Garamond" w:hAnsi="Garamond"/>
          <w:i/>
        </w:rPr>
        <w:t xml:space="preserve">in Cahiers Du Dix-septième: An Interdisciplinary Journal</w:t>
      </w:r>
      <w:r>
        <w:rPr>
          <w:rStyle w:val="NotedebasdepageCar"/>
          <w:rFonts w:ascii="Garamond" w:hAnsi="Garamond"/>
        </w:rPr>
        <w:t xml:space="preserve">, vol. 15, no. 2, Aug. 2014, p. 170-88. « </w:t>
      </w:r>
      <w:r>
        <w:rPr>
          <w:rStyle w:val="NotedebasdepageCar"/>
          <w:rFonts w:ascii="Garamond" w:hAnsi="Garamond"/>
          <w:i/>
        </w:rPr>
        <w:t xml:space="preserve">What is more, Tiresias’s prophecy to Narcissus’s mother that if he ever knows himself, he will surely die is echoed in Néron’s unexpected prophesy about the dangers of (self-)love</w:t>
      </w:r>
      <w:r>
        <w:rPr>
          <w:rStyle w:val="NotedebasdepageCar"/>
          <w:rFonts w:ascii="Garamond" w:hAnsi="Garamond"/>
        </w:rPr>
        <w:t xml:space="preserve"> », p. 174 (« Qui plus est, la prophétie de Tirésias à la mère de Narcisse, selon laquelle celui-ci mourrait s'il venait à se connaître, trouve un écho dans la prophétie inattendue de Néron sur les dangers de l'amour (de soi) »).</w:t>
      </w:r>
    </w:p>
  </w:footnote>
  <w:footnote w:type="normal" w:id="57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Iphigénie</w:t>
      </w:r>
      <w:r>
        <w:rPr>
          <w:rStyle w:val="NotedebasdepageCar"/>
          <w:rFonts w:ascii="Garamond" w:hAnsi="Garamond"/>
        </w:rPr>
        <w:t xml:space="preserve">, II, 1, v. 428 et 430, p. 716.</w:t>
      </w:r>
    </w:p>
  </w:footnote>
  <w:footnote w:type="normal" w:id="57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Abaisser son héroïne Sapphique est peut-être un moyen, pour Racine, de dénier sa proximité avec Sappho, de réaliser cette fusion avec l’origine féminine à laquelle il aspire, tout en s’efforçant de conjurer cette étrange aptitude à parler avec une voix ‘authentiquement’ féminine », écrit Joan DeJean, </w:t>
      </w:r>
      <w:r>
        <w:rPr>
          <w:rStyle w:val="NotedebasdepageCar"/>
          <w:rFonts w:ascii="Garamond" w:hAnsi="Garamond"/>
          <w:i/>
        </w:rPr>
        <w:t xml:space="preserve">op. cit.</w:t>
      </w:r>
      <w:r>
        <w:rPr>
          <w:rStyle w:val="NotedebasdepageCar"/>
          <w:rFonts w:ascii="Garamond" w:hAnsi="Garamond"/>
        </w:rPr>
        <w:t xml:space="preserve">, p. 84.</w:t>
      </w:r>
    </w:p>
  </w:footnote>
  <w:footnote w:type="normal" w:id="58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i/>
        </w:rPr>
        <w:t xml:space="preserve">Phèdre</w:t>
      </w:r>
      <w:r>
        <w:rPr>
          <w:rStyle w:val="NotedebasdepageCar"/>
          <w:rFonts w:ascii="Garamond" w:hAnsi="Garamond"/>
        </w:rPr>
        <w:t xml:space="preserve">, I, 1, v. 34, p. 822.</w:t>
      </w:r>
    </w:p>
  </w:footnote>
  <w:footnote w:type="normal" w:id="581">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Dans quels égarements l’amour jeta ma Mère ! », </w:t>
      </w:r>
      <w:r>
        <w:rPr>
          <w:rStyle w:val="NotedebasdepageCar"/>
          <w:rFonts w:ascii="Garamond" w:hAnsi="Garamond"/>
          <w:i/>
        </w:rPr>
        <w:t xml:space="preserve">ibid</w:t>
      </w:r>
      <w:r>
        <w:rPr>
          <w:rStyle w:val="NotedebasdepageCar"/>
          <w:rFonts w:ascii="Garamond" w:hAnsi="Garamond"/>
        </w:rPr>
        <w:t xml:space="preserve">., I, 3, v. 250, p. 829.</w:t>
      </w:r>
    </w:p>
  </w:footnote>
  <w:footnote w:type="normal" w:id="582">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le queer comme désorientation et déviation de la ligne, voir en particulier Sara Ahmed, </w:t>
      </w:r>
      <w:r>
        <w:rPr>
          <w:rStyle w:val="NotedebasdepageCar"/>
          <w:rFonts w:ascii="Garamond" w:hAnsi="Garamond"/>
          <w:i/>
        </w:rPr>
        <w:t xml:space="preserve">Phénoménologie queer</w:t>
      </w:r>
      <w:r>
        <w:rPr>
          <w:rStyle w:val="NotedebasdepageCar"/>
          <w:rFonts w:ascii="Garamond" w:hAnsi="Garamond"/>
          <w:i/>
        </w:rPr>
        <w:t xml:space="preserve"> </w:t>
      </w:r>
      <w:r>
        <w:rPr>
          <w:rStyle w:val="NotedebasdepageCar"/>
          <w:rFonts w:ascii="Garamond" w:hAnsi="Garamond"/>
          <w:i/>
        </w:rPr>
        <w:t xml:space="preserve">: orientations, objets et autres</w:t>
      </w:r>
      <w:r>
        <w:rPr>
          <w:rStyle w:val="NotedebasdepageCar"/>
          <w:rFonts w:ascii="Garamond" w:hAnsi="Garamond"/>
        </w:rPr>
        <w:t xml:space="preserve"> [2006], trad. Laurence Brottier, Éditions de la rue Dorion, 2022.</w:t>
      </w:r>
    </w:p>
  </w:footnote>
  <w:footnote w:type="normal" w:id="583">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Sur la place de l’indifférenciation dans la genèse tragique, voir René Girard, </w:t>
      </w:r>
      <w:r>
        <w:rPr>
          <w:rStyle w:val="NotedebasdepageCar"/>
          <w:rFonts w:ascii="Garamond" w:hAnsi="Garamond"/>
          <w:i/>
        </w:rPr>
        <w:t xml:space="preserve">La Violence et le sacré</w:t>
      </w:r>
      <w:r>
        <w:rPr>
          <w:rStyle w:val="NotedebasdepageCar"/>
          <w:rFonts w:ascii="Garamond" w:hAnsi="Garamond"/>
        </w:rPr>
        <w:t xml:space="preserve">, Paris, Grasset, 1972. Mais il convient d’apporter une nuance importante. René Girard, certes, affirmait déjà le lien consubstantiel entre tragique et indifférenciation. Notre position est un peu différente. Chez Girard, l’indifférenciation est le résultat d’un mimétisme entre des rivaux qui, à force de désirer le même objet, finissent par se ressembler et devenir identiques</w:t>
      </w:r>
      <w:r>
        <w:rPr>
          <w:rStyle w:val="NotedebasdepageCar"/>
          <w:rFonts w:ascii="Garamond" w:hAnsi="Garamond"/>
        </w:rPr>
        <w:t xml:space="preserve"> </w:t>
      </w:r>
      <w:r>
        <w:rPr>
          <w:rStyle w:val="NotedebasdepageCar"/>
          <w:rFonts w:ascii="Garamond" w:hAnsi="Garamond"/>
        </w:rPr>
        <w:t xml:space="preserve">; l’indifférenciation est, pour Girard, le résultat d’une prolifération des doubles, dans une spirale qui ne peut trouver d’issue qu’à travers la désignation d’une victime émissaire. L’hypothèse développée ici est que l’indifférenciation tragique ne résulte pas d’une trop grande proximité avec autrui, mais d’un effondrement de l’ordre vertical. L’</w:t>
      </w:r>
      <w:r>
        <w:rPr>
          <w:rStyle w:val="NotedebasdepageCar"/>
          <w:rFonts w:ascii="Garamond" w:hAnsi="Garamond"/>
          <w:i/>
        </w:rPr>
        <w:t xml:space="preserve">aversio a Deo</w:t>
      </w:r>
      <w:r>
        <w:rPr>
          <w:rStyle w:val="NotedebasdepageCar"/>
          <w:rFonts w:ascii="Garamond" w:hAnsi="Garamond"/>
        </w:rPr>
        <w:t xml:space="preserve">, cause de la Chute, postule que l’être humain, en perdant son orientation vers son </w:t>
      </w:r>
      <w:r>
        <w:rPr>
          <w:rStyle w:val="NotedebasdepageCar"/>
          <w:rFonts w:ascii="Garamond" w:hAnsi="Garamond"/>
        </w:rPr>
        <w:t xml:space="preserve">C</w:t>
      </w:r>
      <w:r>
        <w:rPr>
          <w:rStyle w:val="NotedebasdepageCar"/>
          <w:rFonts w:ascii="Garamond" w:hAnsi="Garamond"/>
        </w:rPr>
        <w:t xml:space="preserve">réateur, perd la boussole même de son identité. Ce péché originel n’est pas seulement une faute morale, c’est une catastrophe phénoménologique</w:t>
      </w:r>
      <w:r>
        <w:rPr>
          <w:rStyle w:val="NotedebasdepageCar"/>
          <w:rFonts w:ascii="Garamond" w:hAnsi="Garamond"/>
        </w:rPr>
        <w:t xml:space="preserve"> </w:t>
      </w:r>
      <w:r>
        <w:rPr>
          <w:rStyle w:val="NotedebasdepageCar"/>
          <w:rFonts w:ascii="Garamond" w:hAnsi="Garamond"/>
        </w:rPr>
        <w:t xml:space="preserve">: le désir, privé de son vrai lieu, erre sans fin sur des objets mondains qui ne peuvent le rassasier. (Voir Victoire Malenfer, « ‘Cet amour est ardent, il le faut confesser’. </w:t>
      </w:r>
      <w:r>
        <w:rPr>
          <w:rStyle w:val="NotedebasdepageCar"/>
          <w:rFonts w:ascii="Garamond" w:hAnsi="Garamond"/>
        </w:rPr>
        <w:t xml:space="preserve">La</w:t>
      </w:r>
      <w:r>
        <w:rPr>
          <w:rStyle w:val="NotedebasdepageCar"/>
          <w:rFonts w:ascii="Garamond" w:hAnsi="Garamond"/>
        </w:rPr>
        <w:t xml:space="preserve"> </w:t>
      </w:r>
      <w:r>
        <w:rPr>
          <w:rStyle w:val="NotedebasdepageCar"/>
          <w:rFonts w:ascii="Garamond" w:hAnsi="Garamond"/>
        </w:rPr>
        <w:t xml:space="preserve">tra</w:t>
      </w:r>
      <w:r>
        <w:rPr>
          <w:rStyle w:val="NotedebasdepageCar"/>
          <w:rFonts w:ascii="Garamond" w:hAnsi="Garamond"/>
        </w:rPr>
        <w:t xml:space="preserve">gédie</w:t>
      </w:r>
      <w:r>
        <w:rPr>
          <w:rStyle w:val="NotedebasdepageCar"/>
          <w:rFonts w:ascii="Garamond" w:hAnsi="Garamond"/>
        </w:rPr>
        <w:t xml:space="preserve"> de l</w:t>
      </w:r>
      <w:r>
        <w:rPr>
          <w:rStyle w:val="NotedebasdepageCar"/>
          <w:rFonts w:ascii="Garamond" w:hAnsi="Garamond"/>
        </w:rPr>
        <w:t xml:space="preserve">’amour excessif et de l’attachement dans </w:t>
      </w:r>
      <w:r>
        <w:rPr>
          <w:rStyle w:val="NotedebasdepageCar"/>
          <w:rFonts w:ascii="Garamond" w:hAnsi="Garamond"/>
          <w:i/>
        </w:rPr>
        <w:t xml:space="preserve">Bérénice</w:t>
      </w:r>
      <w:r>
        <w:rPr>
          <w:rStyle w:val="NotedebasdepageCar"/>
          <w:rFonts w:ascii="Garamond" w:hAnsi="Garamond"/>
        </w:rPr>
        <w:t xml:space="preserve"> », </w:t>
      </w:r>
      <w:r>
        <w:rPr>
          <w:rStyle w:val="NotedebasdepageCar"/>
          <w:rFonts w:ascii="Garamond" w:hAnsi="Garamond"/>
          <w:i/>
        </w:rPr>
        <w:t xml:space="preserve">Études Épistémè</w:t>
      </w:r>
      <w:r>
        <w:rPr>
          <w:rStyle w:val="NotedebasdepageCar"/>
          <w:rFonts w:ascii="Garamond" w:hAnsi="Garamond"/>
        </w:rPr>
        <w:t xml:space="preserve">, 40, 2021, </w:t>
      </w:r>
      <w:r>
        <w:rPr>
          <w:rStyle w:val="NotedebasdepageCar"/>
          <w:rFonts w:ascii="Garamond" w:hAnsi="Garamond"/>
        </w:rPr>
        <w:t xml:space="preserve">http://journals.openedition.org/episteme/13455</w:t>
      </w:r>
      <w:r>
        <w:rPr>
          <w:rStyle w:val="NotedebasdepageCar"/>
          <w:rFonts w:ascii="Garamond" w:hAnsi="Garamond"/>
        </w:rPr>
        <w:t xml:space="preserve">). La phénoménologie </w:t>
      </w:r>
      <w:r>
        <w:rPr>
          <w:rStyle w:val="NotedebasdepageCar"/>
          <w:rFonts w:ascii="Garamond" w:hAnsi="Garamond"/>
          <w:i/>
        </w:rPr>
        <w:t xml:space="preserve">queer</w:t>
      </w:r>
      <w:r>
        <w:rPr>
          <w:rStyle w:val="NotedebasdepageCar"/>
          <w:rFonts w:ascii="Garamond" w:hAnsi="Garamond"/>
        </w:rPr>
        <w:t xml:space="preserve"> de Sara Ahmed devient ici opérante pour penser la </w:t>
      </w:r>
      <w:r>
        <w:rPr>
          <w:rStyle w:val="NotedebasdepageCar"/>
          <w:rFonts w:ascii="Garamond" w:hAnsi="Garamond"/>
          <w:i/>
        </w:rPr>
        <w:t xml:space="preserve">désorientation</w:t>
      </w:r>
      <w:r>
        <w:rPr>
          <w:rStyle w:val="NotedebasdepageCar"/>
          <w:rFonts w:ascii="Garamond" w:hAnsi="Garamond"/>
        </w:rPr>
        <w:t xml:space="preserve"> et </w:t>
      </w:r>
      <w:r>
        <w:rPr>
          <w:rStyle w:val="NotedebasdepageCar"/>
          <w:rFonts w:ascii="Garamond" w:hAnsi="Garamond"/>
          <w:i/>
        </w:rPr>
        <w:t xml:space="preserve">l’errance</w:t>
      </w:r>
      <w:r>
        <w:rPr>
          <w:rStyle w:val="NotedebasdepageCar"/>
          <w:rFonts w:ascii="Garamond" w:hAnsi="Garamond"/>
        </w:rPr>
        <w:t xml:space="preserve"> du sujet tragique, la liquéfaction des normes et des catégories, la brisure des lignes. Pour Girard, le désir tragique serait pensé sur le modèle de la contagion, fusionnant les individus dans une mêlée violente que seul le sacrifice d’un bouc émissaire pourra trancher, afin de restaurer artificiellement des différences et un ordre social stable en apparence. Notre paradigme serait plutôt celui d’un acide qui ronge les cadres de la société. Œnone n’est pas un double de Phèdre, mais un sujet « queerisé » par sa propre désorientation, qui la pousse à faire de sa maitresse l’objet absolu et unique de son désir.</w:t>
      </w:r>
    </w:p>
  </w:footnote>
  <w:footnote w:type="normal" w:id="584">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 Indomptable Taureau, Dragon impétueux », </w:t>
      </w:r>
      <w:r>
        <w:rPr>
          <w:rStyle w:val="NotedebasdepageCar"/>
          <w:rFonts w:ascii="Garamond" w:hAnsi="Garamond"/>
          <w:i/>
        </w:rPr>
        <w:t xml:space="preserve">Phèdre</w:t>
      </w:r>
      <w:r>
        <w:rPr>
          <w:rStyle w:val="NotedebasdepageCar"/>
          <w:rFonts w:ascii="Garamond" w:hAnsi="Garamond"/>
        </w:rPr>
        <w:t xml:space="preserve">, V, 6, v. 1519, p. 873.</w:t>
      </w:r>
    </w:p>
  </w:footnote>
  <w:footnote w:type="normal" w:id="585">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Acte III scène 5.</w:t>
      </w:r>
    </w:p>
  </w:footnote>
  <w:footnote w:type="normal" w:id="586">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Acte IV scène 4.</w:t>
      </w:r>
    </w:p>
  </w:footnote>
  <w:footnote w:type="normal" w:id="587">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Lors de ses monologues.</w:t>
      </w:r>
    </w:p>
  </w:footnote>
  <w:footnote w:type="normal" w:id="588">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Acte III, fin de la scène 5.</w:t>
      </w:r>
    </w:p>
  </w:footnote>
  <w:footnote w:type="normal" w:id="589">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Il s’agit de la transition entre la scène 5 et la scène 6 de l’acte III.</w:t>
      </w:r>
    </w:p>
  </w:footnote>
  <w:footnote w:type="normal" w:id="590">
    <w:p>
      <w:pPr>
        <w:pStyle w:val="Notedebasdepage"/>
      </w:pPr>
      <w:r>
        <w:rPr>
          <w:rStyle w:val="NotedebasdepageCar"/>
          <w:rFonts w:ascii="Garamond" w:hAnsi="Garamond"/>
          <w:vertAlign w:val="superscript"/>
        </w:rPr>
        <w:footnoteRef/>
      </w:r>
      <w:r>
        <w:rPr>
          <w:rStyle w:val="NotedebasdepageCar"/>
          <w:rFonts w:ascii="Garamond" w:hAnsi="Garamond"/>
        </w:rPr>
        <w:t xml:space="preserve"> </w:t>
      </w:r>
      <w:r>
        <w:rPr>
          <w:rStyle w:val="NotedebasdepageCar"/>
          <w:rFonts w:ascii="Garamond" w:hAnsi="Garamond"/>
        </w:rPr>
        <w:t xml:space="preserve">	</w:t>
      </w:r>
      <w:r>
        <w:rPr>
          <w:rStyle w:val="NotedebasdepageCar"/>
          <w:rFonts w:ascii="Garamond" w:hAnsi="Garamond"/>
        </w:rPr>
        <w:t xml:space="preserve">Scène dernière, Ulysse, vers 1789-1790 : « Tout s’empresse, tout part. La seule Iphigénie / Dans ce commun bonheur pleure son ennemie.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9"/>
  </w:num>
  <w:num w:numId="3">
    <w:abstractNumId w:val="9"/>
  </w:num>
  <w:num w:numId="4">
    <w:abstractNumId w:val="9"/>
  </w:num>
  <w:num w:numId="5">
    <w:abstractNumId w:val="3"/>
  </w:num>
  <w:num w:numId="6">
    <w:abstractNumId w:val="3"/>
  </w:num>
  <w:num w:numId="7">
    <w:abstractNumId w:val="3"/>
  </w:num>
  <w:num w:numId="8">
    <w:abstractNumId w:val="3"/>
  </w:num>
  <w:num w:numId="9">
    <w:abstractNumId w:val="7"/>
  </w:num>
  <w:num w:numId="10">
    <w:abstractNumId w:val="2"/>
  </w:num>
  <w:num w:numId="11">
    <w:abstractNumId w:val="0"/>
  </w:num>
  <w:num w:numId="12">
    <w:abstractNumId w:val="6"/>
  </w:num>
  <w:num w:numId="13">
    <w:abstractNumId w:val="5"/>
  </w:num>
  <w:num w:numId="14">
    <w:abstractNumId w:val="8"/>
  </w:num>
  <w:num w:numId="15">
    <w:abstractNumId w:val="1"/>
  </w:num>
  <w:num w:numId="16">
    <w:abstractNumId w:val="4"/>
  </w:num>
  <w:num w:numId="17">
    <w:abstractNumId w:val="9"/>
  </w:num>
  <w:num w:numId="18">
    <w:abstractNumId w:val="9"/>
  </w:num>
  <w:num w:numId="19">
    <w:abstractNumId w:val="9"/>
  </w:num>
  <w:num w:numId="20">
    <w:abstractNumId w:val="9"/>
  </w:num>
  <w:num w:numId="21">
    <w:abstractNumId w:val="3"/>
  </w:num>
  <w:num w:numId="22">
    <w:abstractNumId w:val="3"/>
  </w:num>
  <w:num w:numId="23">
    <w:abstractNumId w:val="3"/>
  </w:num>
  <w:num w:numId="24">
    <w:abstractNumId w:val="3"/>
  </w:num>
  <w:num w:numId="25">
    <w:abstractNumId w:val="9"/>
  </w:num>
  <w:num w:numId="26">
    <w:abstractNumId w:val="9"/>
  </w:num>
  <w:num w:numId="27">
    <w:abstractNumId w:val="9"/>
  </w:num>
  <w:num w:numId="28">
    <w:abstractNumId w:val="9"/>
  </w:num>
  <w:num w:numId="29">
    <w:abstractNumId w:val="3"/>
  </w:num>
  <w:num w:numId="30">
    <w:abstractNumId w:val="3"/>
  </w:num>
  <w:num w:numId="31">
    <w:abstractNumId w:val="3"/>
  </w:num>
  <w:num w:numId="32">
    <w:abstractNumId w:val="3"/>
  </w:num>
  <w:num w:numId="33">
    <w:abstractNumId w:val="0"/>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F14"/>
    <w:rsid w:val="00007E97"/>
    <w:rsid w:val="000109D5"/>
    <w:rsid w:val="00031AC0"/>
    <w:rsid w:val="00037C82"/>
    <w:rsid w:val="00042F45"/>
    <w:rsid w:val="00056621"/>
    <w:rsid w:val="0006192C"/>
    <w:rsid w:val="000702B4"/>
    <w:rsid w:val="00080E13"/>
    <w:rsid w:val="00091EDD"/>
    <w:rsid w:val="000956B8"/>
    <w:rsid w:val="000B476D"/>
    <w:rsid w:val="000B6F06"/>
    <w:rsid w:val="000C7CE6"/>
    <w:rsid w:val="000D2803"/>
    <w:rsid w:val="000E6F07"/>
    <w:rsid w:val="000F6554"/>
    <w:rsid w:val="001038DC"/>
    <w:rsid w:val="00105B3F"/>
    <w:rsid w:val="00116313"/>
    <w:rsid w:val="00122A56"/>
    <w:rsid w:val="001240A5"/>
    <w:rsid w:val="00144236"/>
    <w:rsid w:val="00155847"/>
    <w:rsid w:val="00155AE3"/>
    <w:rsid w:val="00157E2D"/>
    <w:rsid w:val="00160171"/>
    <w:rsid w:val="001608BE"/>
    <w:rsid w:val="00180D26"/>
    <w:rsid w:val="001826D4"/>
    <w:rsid w:val="00182CFF"/>
    <w:rsid w:val="00190E51"/>
    <w:rsid w:val="00193E47"/>
    <w:rsid w:val="00194490"/>
    <w:rsid w:val="00197568"/>
    <w:rsid w:val="001B50F8"/>
    <w:rsid w:val="001B6BDB"/>
    <w:rsid w:val="001C0C59"/>
    <w:rsid w:val="001E5B4F"/>
    <w:rsid w:val="00214BD8"/>
    <w:rsid w:val="00215511"/>
    <w:rsid w:val="002322AB"/>
    <w:rsid w:val="00244D7E"/>
    <w:rsid w:val="002554BA"/>
    <w:rsid w:val="00257F36"/>
    <w:rsid w:val="00287C36"/>
    <w:rsid w:val="00292CD6"/>
    <w:rsid w:val="002A0765"/>
    <w:rsid w:val="002A49F6"/>
    <w:rsid w:val="002A4E4C"/>
    <w:rsid w:val="002A5F8A"/>
    <w:rsid w:val="002B691F"/>
    <w:rsid w:val="002D6CEC"/>
    <w:rsid w:val="002E42B8"/>
    <w:rsid w:val="002F7167"/>
    <w:rsid w:val="00304CD6"/>
    <w:rsid w:val="00323FD1"/>
    <w:rsid w:val="003307D9"/>
    <w:rsid w:val="00331874"/>
    <w:rsid w:val="0033309D"/>
    <w:rsid w:val="003335C6"/>
    <w:rsid w:val="00345639"/>
    <w:rsid w:val="0035278A"/>
    <w:rsid w:val="00367CEA"/>
    <w:rsid w:val="00371307"/>
    <w:rsid w:val="00380EBF"/>
    <w:rsid w:val="003B4435"/>
    <w:rsid w:val="003C531B"/>
    <w:rsid w:val="003D31DD"/>
    <w:rsid w:val="003E78D0"/>
    <w:rsid w:val="003F4124"/>
    <w:rsid w:val="00411297"/>
    <w:rsid w:val="004113AC"/>
    <w:rsid w:val="00414789"/>
    <w:rsid w:val="00436D37"/>
    <w:rsid w:val="00440398"/>
    <w:rsid w:val="00442591"/>
    <w:rsid w:val="00453B4E"/>
    <w:rsid w:val="00460EEE"/>
    <w:rsid w:val="00463B34"/>
    <w:rsid w:val="00464DED"/>
    <w:rsid w:val="00465352"/>
    <w:rsid w:val="00467D1D"/>
    <w:rsid w:val="004704B9"/>
    <w:rsid w:val="00473F37"/>
    <w:rsid w:val="00485594"/>
    <w:rsid w:val="004905DF"/>
    <w:rsid w:val="00494EAC"/>
    <w:rsid w:val="004959FC"/>
    <w:rsid w:val="004B1332"/>
    <w:rsid w:val="004B562D"/>
    <w:rsid w:val="004D0EA3"/>
    <w:rsid w:val="004D0EDE"/>
    <w:rsid w:val="004D2513"/>
    <w:rsid w:val="00504AE1"/>
    <w:rsid w:val="005058EE"/>
    <w:rsid w:val="00512F97"/>
    <w:rsid w:val="00532B8C"/>
    <w:rsid w:val="00557B9C"/>
    <w:rsid w:val="00565D97"/>
    <w:rsid w:val="005754F2"/>
    <w:rsid w:val="00576A37"/>
    <w:rsid w:val="00591909"/>
    <w:rsid w:val="00594CE3"/>
    <w:rsid w:val="00597ED2"/>
    <w:rsid w:val="005A0B99"/>
    <w:rsid w:val="005B008B"/>
    <w:rsid w:val="005B59D2"/>
    <w:rsid w:val="005B64EC"/>
    <w:rsid w:val="005C6595"/>
    <w:rsid w:val="005C7A5F"/>
    <w:rsid w:val="005E08B1"/>
    <w:rsid w:val="005E4A59"/>
    <w:rsid w:val="005F7A13"/>
    <w:rsid w:val="00600438"/>
    <w:rsid w:val="00627910"/>
    <w:rsid w:val="00627A5F"/>
    <w:rsid w:val="00640561"/>
    <w:rsid w:val="00641F20"/>
    <w:rsid w:val="0065324B"/>
    <w:rsid w:val="006858F7"/>
    <w:rsid w:val="00693217"/>
    <w:rsid w:val="006A0285"/>
    <w:rsid w:val="006A2C70"/>
    <w:rsid w:val="006A6B81"/>
    <w:rsid w:val="006B2C99"/>
    <w:rsid w:val="006B70F8"/>
    <w:rsid w:val="006D0F4D"/>
    <w:rsid w:val="006E10AB"/>
    <w:rsid w:val="006E4369"/>
    <w:rsid w:val="00725001"/>
    <w:rsid w:val="007276FC"/>
    <w:rsid w:val="00732874"/>
    <w:rsid w:val="00735E5C"/>
    <w:rsid w:val="00763F14"/>
    <w:rsid w:val="00763F7B"/>
    <w:rsid w:val="00770B20"/>
    <w:rsid w:val="00775386"/>
    <w:rsid w:val="00782007"/>
    <w:rsid w:val="007B0933"/>
    <w:rsid w:val="007C05BB"/>
    <w:rsid w:val="007C66EF"/>
    <w:rsid w:val="007E61F3"/>
    <w:rsid w:val="007F28BD"/>
    <w:rsid w:val="00841411"/>
    <w:rsid w:val="00841856"/>
    <w:rsid w:val="00841B19"/>
    <w:rsid w:val="00855265"/>
    <w:rsid w:val="00862DB5"/>
    <w:rsid w:val="00863B1E"/>
    <w:rsid w:val="008736F9"/>
    <w:rsid w:val="00877630"/>
    <w:rsid w:val="00880557"/>
    <w:rsid w:val="008865E2"/>
    <w:rsid w:val="008877BC"/>
    <w:rsid w:val="008B0382"/>
    <w:rsid w:val="008C1AF1"/>
    <w:rsid w:val="008C556F"/>
    <w:rsid w:val="008C66E1"/>
    <w:rsid w:val="008D390D"/>
    <w:rsid w:val="008D6E95"/>
    <w:rsid w:val="008E1B29"/>
    <w:rsid w:val="008E6C2D"/>
    <w:rsid w:val="00904BBD"/>
    <w:rsid w:val="009076EA"/>
    <w:rsid w:val="00912393"/>
    <w:rsid w:val="00913836"/>
    <w:rsid w:val="00931A2A"/>
    <w:rsid w:val="00932F76"/>
    <w:rsid w:val="00934392"/>
    <w:rsid w:val="00940B57"/>
    <w:rsid w:val="00945DD5"/>
    <w:rsid w:val="00946374"/>
    <w:rsid w:val="00951F90"/>
    <w:rsid w:val="00952E0A"/>
    <w:rsid w:val="009534D4"/>
    <w:rsid w:val="0095497D"/>
    <w:rsid w:val="0097085A"/>
    <w:rsid w:val="00971AC0"/>
    <w:rsid w:val="00973DE0"/>
    <w:rsid w:val="00976BDA"/>
    <w:rsid w:val="00977920"/>
    <w:rsid w:val="009845A9"/>
    <w:rsid w:val="009B6B4E"/>
    <w:rsid w:val="009C583C"/>
    <w:rsid w:val="009C68FB"/>
    <w:rsid w:val="009D4E9A"/>
    <w:rsid w:val="009D4F13"/>
    <w:rsid w:val="009E2F47"/>
    <w:rsid w:val="009E3127"/>
    <w:rsid w:val="009F5D1D"/>
    <w:rsid w:val="009F742B"/>
    <w:rsid w:val="009F7847"/>
    <w:rsid w:val="00A00188"/>
    <w:rsid w:val="00A015AB"/>
    <w:rsid w:val="00A01B42"/>
    <w:rsid w:val="00A042F5"/>
    <w:rsid w:val="00A13B55"/>
    <w:rsid w:val="00A20AF2"/>
    <w:rsid w:val="00A265E1"/>
    <w:rsid w:val="00A33302"/>
    <w:rsid w:val="00A367D0"/>
    <w:rsid w:val="00A60C0F"/>
    <w:rsid w:val="00A64A49"/>
    <w:rsid w:val="00A6768A"/>
    <w:rsid w:val="00A7423A"/>
    <w:rsid w:val="00A81AE7"/>
    <w:rsid w:val="00A84B0A"/>
    <w:rsid w:val="00A94099"/>
    <w:rsid w:val="00A9480E"/>
    <w:rsid w:val="00A953A8"/>
    <w:rsid w:val="00AA0B78"/>
    <w:rsid w:val="00AA148E"/>
    <w:rsid w:val="00AA2785"/>
    <w:rsid w:val="00AB1620"/>
    <w:rsid w:val="00AC0C4D"/>
    <w:rsid w:val="00AC31D8"/>
    <w:rsid w:val="00AC6B22"/>
    <w:rsid w:val="00AD3F85"/>
    <w:rsid w:val="00AD4188"/>
    <w:rsid w:val="00AF4DBA"/>
    <w:rsid w:val="00AF74AE"/>
    <w:rsid w:val="00B02E18"/>
    <w:rsid w:val="00B07182"/>
    <w:rsid w:val="00B13158"/>
    <w:rsid w:val="00B21A95"/>
    <w:rsid w:val="00B22DA3"/>
    <w:rsid w:val="00B26206"/>
    <w:rsid w:val="00B34135"/>
    <w:rsid w:val="00B3435E"/>
    <w:rsid w:val="00B34B35"/>
    <w:rsid w:val="00B363AD"/>
    <w:rsid w:val="00B42193"/>
    <w:rsid w:val="00B46042"/>
    <w:rsid w:val="00B46B9F"/>
    <w:rsid w:val="00B6130F"/>
    <w:rsid w:val="00B63268"/>
    <w:rsid w:val="00B6352B"/>
    <w:rsid w:val="00B63F4B"/>
    <w:rsid w:val="00B67F5B"/>
    <w:rsid w:val="00B71F5B"/>
    <w:rsid w:val="00B823A9"/>
    <w:rsid w:val="00B848D4"/>
    <w:rsid w:val="00BA07E1"/>
    <w:rsid w:val="00BB2441"/>
    <w:rsid w:val="00BB5F9D"/>
    <w:rsid w:val="00BD15F0"/>
    <w:rsid w:val="00BD6101"/>
    <w:rsid w:val="00BD6D8F"/>
    <w:rsid w:val="00BF3BCE"/>
    <w:rsid w:val="00BF52FE"/>
    <w:rsid w:val="00C02FC0"/>
    <w:rsid w:val="00C2335B"/>
    <w:rsid w:val="00C31EBC"/>
    <w:rsid w:val="00C356D2"/>
    <w:rsid w:val="00C35E76"/>
    <w:rsid w:val="00C36FA9"/>
    <w:rsid w:val="00C377FC"/>
    <w:rsid w:val="00C40299"/>
    <w:rsid w:val="00C42292"/>
    <w:rsid w:val="00C4282F"/>
    <w:rsid w:val="00C52271"/>
    <w:rsid w:val="00C6347D"/>
    <w:rsid w:val="00C779D4"/>
    <w:rsid w:val="00C80527"/>
    <w:rsid w:val="00C846B0"/>
    <w:rsid w:val="00CB2466"/>
    <w:rsid w:val="00CB26FD"/>
    <w:rsid w:val="00CC1055"/>
    <w:rsid w:val="00CD5CA4"/>
    <w:rsid w:val="00CE1018"/>
    <w:rsid w:val="00CF2DBD"/>
    <w:rsid w:val="00D344B3"/>
    <w:rsid w:val="00D37C87"/>
    <w:rsid w:val="00D403CB"/>
    <w:rsid w:val="00D43CD0"/>
    <w:rsid w:val="00D458BE"/>
    <w:rsid w:val="00D47962"/>
    <w:rsid w:val="00D55729"/>
    <w:rsid w:val="00D70690"/>
    <w:rsid w:val="00D805F4"/>
    <w:rsid w:val="00D82B4A"/>
    <w:rsid w:val="00D914D2"/>
    <w:rsid w:val="00DA27CA"/>
    <w:rsid w:val="00DC5F42"/>
    <w:rsid w:val="00DD078E"/>
    <w:rsid w:val="00DD5073"/>
    <w:rsid w:val="00DD6231"/>
    <w:rsid w:val="00DE1E02"/>
    <w:rsid w:val="00DE6A53"/>
    <w:rsid w:val="00DF6103"/>
    <w:rsid w:val="00DF759A"/>
    <w:rsid w:val="00E05D55"/>
    <w:rsid w:val="00E1353E"/>
    <w:rsid w:val="00E30F65"/>
    <w:rsid w:val="00E3550C"/>
    <w:rsid w:val="00E42BBB"/>
    <w:rsid w:val="00E51DAE"/>
    <w:rsid w:val="00E5719C"/>
    <w:rsid w:val="00E574BD"/>
    <w:rsid w:val="00E6447B"/>
    <w:rsid w:val="00E70769"/>
    <w:rsid w:val="00E75290"/>
    <w:rsid w:val="00E760AC"/>
    <w:rsid w:val="00E77195"/>
    <w:rsid w:val="00E7747A"/>
    <w:rsid w:val="00E80FE2"/>
    <w:rsid w:val="00E85344"/>
    <w:rsid w:val="00E85B64"/>
    <w:rsid w:val="00EA4A68"/>
    <w:rsid w:val="00EB50EA"/>
    <w:rsid w:val="00EB5414"/>
    <w:rsid w:val="00EC46C8"/>
    <w:rsid w:val="00EC7D2C"/>
    <w:rsid w:val="00ED38E1"/>
    <w:rsid w:val="00ED4EB1"/>
    <w:rsid w:val="00EE7D5C"/>
    <w:rsid w:val="00EF42F7"/>
    <w:rsid w:val="00F035E6"/>
    <w:rsid w:val="00F07557"/>
    <w:rsid w:val="00F26D95"/>
    <w:rsid w:val="00F34011"/>
    <w:rsid w:val="00F37DF3"/>
    <w:rsid w:val="00F4361F"/>
    <w:rsid w:val="00F43A1B"/>
    <w:rsid w:val="00F5262B"/>
    <w:rsid w:val="00F554DD"/>
    <w:rsid w:val="00F57A99"/>
    <w:rsid w:val="00F65972"/>
    <w:rsid w:val="00F73DFF"/>
    <w:rsid w:val="00F84809"/>
    <w:rsid w:val="00F84944"/>
    <w:rsid w:val="00F92E0C"/>
    <w:rsid w:val="00FA7059"/>
    <w:rsid w:val="00FB732D"/>
    <w:rsid w:val="00FD6654"/>
    <w:rsid w:val="00FE7E56"/>
    <w:rsid w:val="00FF0DDD"/>
    <w:rsid w:val="00FF14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A9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F06"/>
    <w:pPr>
      <w:suppressAutoHyphens/>
      <w:spacing w:before="60" w:line="360" w:lineRule="auto"/>
      <w:jc w:val="both"/>
    </w:pPr>
    <w:rPr>
      <w:rFonts w:ascii="Garamond" w:eastAsia="MS Mincho" w:hAnsi="Garamond" w:cs="Calibri Light"/>
      <w:sz w:val="22"/>
      <w:szCs w:val="22"/>
      <w:lang w:eastAsia="ar-SA"/>
    </w:rPr>
  </w:style>
  <w:style w:type="paragraph" w:styleId="Titre1">
    <w:name w:val="heading 1"/>
    <w:next w:val="Normal"/>
    <w:link w:val="Titre1Car"/>
    <w:qFormat/>
    <w:rsid w:val="00453B4E"/>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453B4E"/>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453B4E"/>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453B4E"/>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453B4E"/>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453B4E"/>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453B4E"/>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453B4E"/>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453B4E"/>
    <w:pPr>
      <w:spacing w:line="240" w:lineRule="auto"/>
      <w:outlineLvl w:val="8"/>
    </w:pPr>
    <w:rPr>
      <w:rFonts w:eastAsia="MS Gothic" w:cs="Times New Roman"/>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453B4E"/>
    <w:rPr>
      <w:rFonts w:ascii="Calibri" w:eastAsia="SimSun" w:hAnsi="Calibri" w:cs="Arial"/>
      <w:sz w:val="36"/>
      <w:szCs w:val="28"/>
      <w:lang w:eastAsia="ar-LB" w:bidi="ar-LB"/>
    </w:rPr>
  </w:style>
  <w:style w:type="character" w:customStyle="1" w:styleId="Titre5Car">
    <w:name w:val="Titre 5 Car"/>
    <w:link w:val="Titre5"/>
    <w:rsid w:val="00453B4E"/>
    <w:rPr>
      <w:rFonts w:ascii="Calibri" w:eastAsia="MS Mincho" w:hAnsi="Calibri" w:cs="Calibri Light"/>
      <w:sz w:val="24"/>
      <w:szCs w:val="26"/>
      <w:lang w:eastAsia="ar-SA"/>
    </w:rPr>
  </w:style>
  <w:style w:type="paragraph" w:styleId="Notedebasdepage">
    <w:name w:val="footnote text"/>
    <w:basedOn w:val="Normal"/>
    <w:link w:val="NotedebasdepageCar"/>
    <w:rsid w:val="00453B4E"/>
    <w:pPr>
      <w:spacing w:line="240" w:lineRule="auto"/>
    </w:pPr>
    <w:rPr>
      <w:rFonts w:ascii="Garamond" w:hAnsi="Garamond"/>
      <w:sz w:val="20"/>
    </w:rPr>
  </w:style>
  <w:style w:type="character" w:customStyle="1" w:styleId="NotedebasdepageCar">
    <w:name w:val="Note de bas de page Car"/>
    <w:link w:val="Notedebasdepage"/>
    <w:rsid w:val="00453B4E"/>
    <w:rPr>
      <w:rFonts w:ascii="Calibri Light" w:eastAsia="MS Mincho" w:hAnsi="Calibri Light" w:cs="Calibri Light"/>
      <w:szCs w:val="22"/>
      <w:lang w:eastAsia="ar-SA"/>
    </w:rPr>
  </w:style>
  <w:style w:type="paragraph" w:styleId="Notedefin">
    <w:name w:val="endnote text"/>
    <w:basedOn w:val="Normal"/>
    <w:link w:val="NotedefinCar"/>
    <w:rsid w:val="00453B4E"/>
    <w:rPr>
      <w:rFonts w:ascii="Garamond" w:hAnsi="Garamond"/>
    </w:rPr>
  </w:style>
  <w:style w:type="character" w:customStyle="1" w:styleId="NotedefinCar">
    <w:name w:val="Note de fin Car"/>
    <w:link w:val="Notedefin"/>
    <w:rsid w:val="00453B4E"/>
    <w:rPr>
      <w:rFonts w:ascii="Calibri Light" w:eastAsia="MS Mincho" w:hAnsi="Calibri Light" w:cs="Calibri Light"/>
      <w:sz w:val="22"/>
      <w:szCs w:val="22"/>
      <w:lang w:eastAsia="ar-SA"/>
    </w:rPr>
  </w:style>
  <w:style w:type="character" w:customStyle="1" w:styleId="Titre1Car">
    <w:name w:val="Titre 1 Car"/>
    <w:link w:val="Titre1"/>
    <w:rsid w:val="00453B4E"/>
    <w:rPr>
      <w:rFonts w:ascii="Calibri" w:eastAsia="SimSun" w:hAnsi="Calibri" w:cs="Arial"/>
      <w:kern w:val="1"/>
      <w:sz w:val="40"/>
      <w:szCs w:val="32"/>
      <w:lang w:eastAsia="ar-LB" w:bidi="ar-LB"/>
    </w:rPr>
  </w:style>
  <w:style w:type="paragraph" w:customStyle="1" w:styleId="Titre2-sous-rubrique">
    <w:name w:val="Titre 2-sous-rubrique"/>
    <w:rsid w:val="00453B4E"/>
    <w:pPr>
      <w:spacing w:before="360" w:after="240" w:line="240" w:lineRule="auto"/>
    </w:pPr>
    <w:rPr>
      <w:rFonts w:ascii="Calibri" w:eastAsia="SimSun" w:hAnsi="Calibri" w:cs="Cambria"/>
      <w:bCs/>
      <w:sz w:val="36"/>
      <w:szCs w:val="28"/>
      <w:lang w:eastAsia="ar-SA"/>
    </w:rPr>
  </w:style>
  <w:style w:type="character" w:customStyle="1" w:styleId="Titre3Car">
    <w:name w:val="Titre 3 Car"/>
    <w:link w:val="Titre3"/>
    <w:rsid w:val="00453B4E"/>
    <w:rPr>
      <w:rFonts w:ascii="Calibri" w:eastAsia="SimSun" w:hAnsi="Calibri" w:cs="Calibri"/>
      <w:sz w:val="32"/>
      <w:szCs w:val="32"/>
      <w:lang w:eastAsia="ar-LB" w:bidi="ar-LB"/>
    </w:rPr>
  </w:style>
  <w:style w:type="character" w:customStyle="1" w:styleId="Titre4Car">
    <w:name w:val="Titre 4 Car"/>
    <w:link w:val="Titre4"/>
    <w:rsid w:val="00453B4E"/>
    <w:rPr>
      <w:rFonts w:ascii="Calibri" w:eastAsia="SimSun" w:hAnsi="Calibri" w:cs="Baghdad"/>
      <w:sz w:val="28"/>
      <w:szCs w:val="28"/>
      <w:lang w:eastAsia="ar-LB" w:bidi="ar-LB"/>
    </w:rPr>
  </w:style>
  <w:style w:type="character" w:customStyle="1" w:styleId="Titre6Car">
    <w:name w:val="Titre 6 Car"/>
    <w:link w:val="Titre6"/>
    <w:uiPriority w:val="9"/>
    <w:rsid w:val="00453B4E"/>
    <w:rPr>
      <w:rFonts w:ascii="Calibri" w:eastAsia="MS Mincho" w:hAnsi="Calibri" w:cs="Times New Roman"/>
      <w:bCs/>
      <w:sz w:val="22"/>
      <w:szCs w:val="22"/>
      <w:lang w:eastAsia="ar-SA"/>
    </w:rPr>
  </w:style>
  <w:style w:type="character" w:customStyle="1" w:styleId="Titre7Car">
    <w:name w:val="Titre 7 Car"/>
    <w:link w:val="Titre7"/>
    <w:uiPriority w:val="9"/>
    <w:rsid w:val="00453B4E"/>
    <w:rPr>
      <w:rFonts w:ascii="Calibri" w:eastAsia="MS Mincho" w:hAnsi="Calibri" w:cs="Times New Roman"/>
      <w:sz w:val="22"/>
      <w:szCs w:val="22"/>
      <w:lang w:eastAsia="ar-SA"/>
    </w:rPr>
  </w:style>
  <w:style w:type="character" w:customStyle="1" w:styleId="Titre8Car">
    <w:name w:val="Titre 8 Car"/>
    <w:link w:val="Titre8"/>
    <w:uiPriority w:val="9"/>
    <w:rsid w:val="00453B4E"/>
    <w:rPr>
      <w:rFonts w:ascii="Calibri" w:eastAsia="MS Mincho" w:hAnsi="Calibri" w:cs="Times New Roman"/>
      <w:i/>
      <w:iCs/>
      <w:sz w:val="22"/>
      <w:szCs w:val="22"/>
      <w:lang w:eastAsia="ar-SA"/>
    </w:rPr>
  </w:style>
  <w:style w:type="character" w:customStyle="1" w:styleId="Titre9Car">
    <w:name w:val="Titre 9 Car"/>
    <w:link w:val="Titre9"/>
    <w:uiPriority w:val="9"/>
    <w:rsid w:val="00453B4E"/>
    <w:rPr>
      <w:rFonts w:ascii="Calibri Light" w:eastAsia="MS Gothic" w:hAnsi="Calibri Light" w:cs="Times New Roman"/>
      <w:i/>
      <w:sz w:val="22"/>
      <w:szCs w:val="22"/>
      <w:lang w:eastAsia="ar-SA"/>
    </w:rPr>
  </w:style>
  <w:style w:type="character" w:customStyle="1" w:styleId="TEIquote-inline">
    <w:name w:val="TEI_quote-inline"/>
    <w:uiPriority w:val="1"/>
    <w:qFormat/>
    <w:rsid w:val="00105B3F"/>
    <w:rPr>
      <w:i w:val="0"/>
      <w:color w:val="A8D08D" w:themeColor="accent6" w:themeTint="99"/>
    </w:rPr>
  </w:style>
  <w:style w:type="paragraph" w:styleId="Titre">
    <w:name w:val="Title"/>
    <w:basedOn w:val="Normal"/>
    <w:next w:val="Normal"/>
    <w:link w:val="TitreCar"/>
    <w:autoRedefine/>
    <w:uiPriority w:val="10"/>
    <w:qFormat/>
    <w:rsid w:val="00453B4E"/>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453B4E"/>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453B4E"/>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53B4E"/>
    <w:rPr>
      <w:rFonts w:asciiTheme="majorHAnsi" w:eastAsiaTheme="majorEastAsia" w:hAnsiTheme="majorHAnsi" w:cstheme="majorBidi"/>
      <w:sz w:val="22"/>
      <w:szCs w:val="22"/>
      <w:lang w:eastAsia="ar-SA"/>
    </w:rPr>
  </w:style>
  <w:style w:type="paragraph" w:styleId="Citation">
    <w:name w:val="Quote"/>
    <w:basedOn w:val="Normal"/>
    <w:next w:val="Normal"/>
    <w:link w:val="CitationCar"/>
    <w:uiPriority w:val="29"/>
    <w:qFormat/>
    <w:rsid w:val="00453B4E"/>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53B4E"/>
    <w:rPr>
      <w:rFonts w:ascii="Calibri Light" w:eastAsia="MS Mincho" w:hAnsi="Calibri Light" w:cs="Calibri Light"/>
      <w:i/>
      <w:iCs/>
      <w:color w:val="404040" w:themeColor="text1" w:themeTint="BF"/>
      <w:sz w:val="22"/>
      <w:szCs w:val="22"/>
      <w:lang w:eastAsia="ar-SA"/>
    </w:rPr>
  </w:style>
  <w:style w:type="paragraph" w:styleId="Citationintense">
    <w:name w:val="Intense Quote"/>
    <w:basedOn w:val="Normal"/>
    <w:next w:val="Normal"/>
    <w:link w:val="CitationintenseCar"/>
    <w:uiPriority w:val="30"/>
    <w:qFormat/>
    <w:rsid w:val="00453B4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tionintenseCar">
    <w:name w:val="Citation intense Car"/>
    <w:basedOn w:val="Policepardfaut"/>
    <w:link w:val="Citationintense"/>
    <w:uiPriority w:val="30"/>
    <w:rsid w:val="00453B4E"/>
    <w:rPr>
      <w:rFonts w:asciiTheme="majorHAnsi" w:eastAsiaTheme="majorEastAsia" w:hAnsiTheme="majorHAnsi" w:cstheme="majorBidi"/>
      <w:color w:val="5B9BD5" w:themeColor="accent1"/>
      <w:sz w:val="28"/>
      <w:szCs w:val="28"/>
      <w:lang w:eastAsia="ar-SA"/>
    </w:rPr>
  </w:style>
  <w:style w:type="character" w:styleId="Appelnotedebasdep">
    <w:name w:val="footnote reference"/>
    <w:basedOn w:val="Policepardfaut"/>
    <w:uiPriority w:val="99"/>
    <w:semiHidden/>
    <w:unhideWhenUsed/>
    <w:rsid w:val="00453B4E"/>
    <w:rPr>
      <w:vertAlign w:val="superscript"/>
    </w:rPr>
  </w:style>
  <w:style w:type="character" w:styleId="Appeldenotedefin">
    <w:name w:val="endnote reference"/>
    <w:basedOn w:val="Policepardfaut"/>
    <w:uiPriority w:val="99"/>
    <w:semiHidden/>
    <w:unhideWhenUsed/>
    <w:rsid w:val="00453B4E"/>
    <w:rPr>
      <w:vertAlign w:val="superscript"/>
    </w:rPr>
  </w:style>
  <w:style w:type="paragraph" w:styleId="Paragraphedeliste">
    <w:name w:val="List Paragraph"/>
    <w:basedOn w:val="Normal"/>
    <w:uiPriority w:val="34"/>
    <w:qFormat/>
    <w:rsid w:val="00453B4E"/>
    <w:pPr>
      <w:ind w:left="720"/>
    </w:pPr>
  </w:style>
  <w:style w:type="paragraph" w:styleId="Listepuces">
    <w:name w:val="List Bullet"/>
    <w:basedOn w:val="Normal"/>
    <w:uiPriority w:val="99"/>
    <w:unhideWhenUsed/>
    <w:rsid w:val="00453B4E"/>
    <w:pPr>
      <w:numPr>
        <w:numId w:val="34"/>
      </w:numPr>
    </w:pPr>
  </w:style>
  <w:style w:type="paragraph" w:customStyle="1" w:styleId="Titre2-rubrique">
    <w:name w:val="Titre 2-rubrique"/>
    <w:basedOn w:val="Titre2"/>
    <w:autoRedefine/>
    <w:qFormat/>
    <w:rsid w:val="00453B4E"/>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453B4E"/>
    <w:pPr>
      <w:spacing w:before="200" w:after="0" w:line="276" w:lineRule="auto"/>
      <w:ind w:firstLine="284"/>
    </w:pPr>
    <w:rPr>
      <w:rFonts w:ascii="Minion Pro" w:hAnsi="Minion Pro"/>
      <w:sz w:val="28"/>
      <w:szCs w:val="20"/>
    </w:rPr>
  </w:style>
  <w:style w:type="paragraph" w:customStyle="1" w:styleId="TEItitlesup">
    <w:name w:val="TEI_title:sup"/>
    <w:qFormat/>
    <w:rsid w:val="00105B3F"/>
    <w:pPr>
      <w:spacing w:after="0" w:line="240" w:lineRule="auto"/>
    </w:pPr>
    <w:rPr>
      <w:rFonts w:eastAsia="SimSun" w:cs="Arial"/>
      <w:kern w:val="1"/>
      <w:sz w:val="32"/>
      <w:szCs w:val="32"/>
      <w:lang w:eastAsia="ar-LB" w:bidi="ar-LB"/>
    </w:rPr>
  </w:style>
  <w:style w:type="paragraph" w:customStyle="1" w:styleId="TEItitlesub">
    <w:name w:val="TEI_title:sub"/>
    <w:rsid w:val="00105B3F"/>
    <w:pPr>
      <w:suppressAutoHyphens/>
      <w:spacing w:before="120" w:line="240" w:lineRule="auto"/>
    </w:pPr>
    <w:rPr>
      <w:rFonts w:eastAsia="Times New Roman" w:cs="Arial"/>
      <w:kern w:val="1"/>
      <w:sz w:val="32"/>
      <w:szCs w:val="32"/>
      <w:lang w:eastAsia="ar-SA"/>
    </w:rPr>
  </w:style>
  <w:style w:type="paragraph" w:customStyle="1" w:styleId="TEIacknowledgment">
    <w:name w:val="TEI_acknowledgment"/>
    <w:rsid w:val="00105B3F"/>
    <w:pPr>
      <w:suppressAutoHyphens/>
      <w:spacing w:before="120" w:line="240" w:lineRule="auto"/>
      <w:ind w:left="1134"/>
      <w:jc w:val="right"/>
    </w:pPr>
    <w:rPr>
      <w:rFonts w:ascii="Garamond" w:eastAsia="Times New Roman" w:hAnsi="Garamond" w:cs="Times"/>
      <w:kern w:val="1"/>
      <w:sz w:val="22"/>
      <w:szCs w:val="32"/>
      <w:lang w:eastAsia="ar-SA"/>
    </w:rPr>
  </w:style>
  <w:style w:type="paragraph" w:customStyle="1" w:styleId="TEIparagraphbreak">
    <w:name w:val="TEI_paragraph_break"/>
    <w:rsid w:val="00105B3F"/>
    <w:pPr>
      <w:suppressAutoHyphens/>
      <w:spacing w:before="360" w:after="360" w:line="240" w:lineRule="auto"/>
      <w:jc w:val="center"/>
    </w:pPr>
    <w:rPr>
      <w:rFonts w:ascii="Calibri Light" w:eastAsia="Times New Roman" w:hAnsi="Calibri Light" w:cs="Arial"/>
      <w:kern w:val="1"/>
      <w:sz w:val="22"/>
      <w:szCs w:val="32"/>
      <w:lang w:eastAsia="ar-SA"/>
    </w:rPr>
  </w:style>
  <w:style w:type="paragraph" w:customStyle="1" w:styleId="TEIdedication">
    <w:name w:val="TEI_dedication"/>
    <w:rsid w:val="00105B3F"/>
    <w:pPr>
      <w:suppressAutoHyphens/>
      <w:spacing w:before="240" w:after="240" w:line="240" w:lineRule="auto"/>
      <w:ind w:left="1134"/>
      <w:jc w:val="right"/>
    </w:pPr>
    <w:rPr>
      <w:rFonts w:ascii="Garamond" w:eastAsia="MS Mincho" w:hAnsi="Garamond" w:cs="Minion Pro"/>
      <w:sz w:val="22"/>
      <w:szCs w:val="24"/>
      <w:lang w:eastAsia="ar-SA"/>
    </w:rPr>
  </w:style>
  <w:style w:type="paragraph" w:customStyle="1" w:styleId="TEIepigraph">
    <w:name w:val="TEI_epigraph"/>
    <w:rsid w:val="00105B3F"/>
    <w:pPr>
      <w:suppressAutoHyphens/>
      <w:spacing w:before="240" w:after="360" w:line="240" w:lineRule="auto"/>
      <w:ind w:right="2268"/>
      <w:jc w:val="both"/>
    </w:pPr>
    <w:rPr>
      <w:rFonts w:ascii="Garamond" w:eastAsia="Times New Roman" w:hAnsi="Garamond" w:cs="Times New Roman"/>
      <w:sz w:val="22"/>
      <w:szCs w:val="22"/>
      <w:lang w:eastAsia="ar-SA"/>
    </w:rPr>
  </w:style>
  <w:style w:type="paragraph" w:customStyle="1" w:styleId="TEIfiguretitle">
    <w:name w:val="TEI_figure_title"/>
    <w:rsid w:val="00105B3F"/>
    <w:pPr>
      <w:suppressAutoHyphens/>
      <w:spacing w:before="120" w:line="240" w:lineRule="auto"/>
      <w:jc w:val="center"/>
    </w:pPr>
    <w:rPr>
      <w:rFonts w:asciiTheme="majorHAnsi" w:eastAsia="Times New Roman" w:hAnsiTheme="majorHAnsi" w:cs="Junicode"/>
      <w:color w:val="000000" w:themeColor="text1"/>
      <w:sz w:val="22"/>
      <w:lang w:eastAsia="ar-SA"/>
    </w:rPr>
  </w:style>
  <w:style w:type="paragraph" w:customStyle="1" w:styleId="TEIfigurecaption">
    <w:name w:val="TEI_figure_caption"/>
    <w:rsid w:val="00105B3F"/>
    <w:pPr>
      <w:suppressAutoHyphens/>
      <w:spacing w:before="120" w:line="240" w:lineRule="auto"/>
      <w:jc w:val="center"/>
    </w:pPr>
    <w:rPr>
      <w:rFonts w:ascii="Garamond" w:eastAsia="Times New Roman" w:hAnsi="Garamond" w:cs="Junicode"/>
      <w:sz w:val="22"/>
      <w:lang w:eastAsia="ar-SA"/>
    </w:rPr>
  </w:style>
  <w:style w:type="paragraph" w:customStyle="1" w:styleId="TEIfigurecredits">
    <w:name w:val="TEI_figure_credits"/>
    <w:qFormat/>
    <w:rsid w:val="00105B3F"/>
    <w:pPr>
      <w:spacing w:before="120" w:line="240" w:lineRule="auto"/>
      <w:jc w:val="center"/>
    </w:pPr>
    <w:rPr>
      <w:rFonts w:ascii="Garamond" w:eastAsia="SimSun" w:hAnsi="Garamond" w:cs="Arial"/>
      <w:kern w:val="1"/>
      <w:sz w:val="22"/>
      <w:szCs w:val="32"/>
      <w:lang w:eastAsia="ar-LB" w:bidi="ar-LB"/>
    </w:rPr>
  </w:style>
  <w:style w:type="paragraph" w:customStyle="1" w:styleId="TEIcell">
    <w:name w:val="TEI_cell"/>
    <w:rsid w:val="00105B3F"/>
    <w:pPr>
      <w:suppressAutoHyphens/>
      <w:spacing w:after="0" w:line="240" w:lineRule="auto"/>
    </w:pPr>
    <w:rPr>
      <w:rFonts w:ascii="Myriad Pro" w:eastAsia="Times New Roman" w:hAnsi="Myriad Pro" w:cs="Times New Roman"/>
      <w:lang w:eastAsia="ar-SA"/>
    </w:rPr>
  </w:style>
  <w:style w:type="paragraph" w:customStyle="1" w:styleId="TEIauthorityaffiliation">
    <w:name w:val="TEI_authority_affiliation"/>
    <w:qFormat/>
    <w:rsid w:val="00105B3F"/>
    <w:pPr>
      <w:pBdr>
        <w:right w:val="single" w:sz="4" w:space="4" w:color="auto"/>
      </w:pBdr>
      <w:spacing w:before="60" w:after="60" w:line="240" w:lineRule="auto"/>
      <w:jc w:val="right"/>
    </w:pPr>
    <w:rPr>
      <w:rFonts w:asciiTheme="majorHAnsi" w:eastAsia="MS Mincho" w:hAnsiTheme="majorHAnsi" w:cs="Cambria"/>
      <w:sz w:val="22"/>
      <w:szCs w:val="26"/>
      <w:lang w:eastAsia="ar-SA"/>
    </w:rPr>
  </w:style>
  <w:style w:type="paragraph" w:customStyle="1" w:styleId="TEIauthoritymail">
    <w:name w:val="TEI_authority_mail"/>
    <w:rsid w:val="00105B3F"/>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05B3F"/>
    <w:pPr>
      <w:suppressAutoHyphens/>
      <w:spacing w:before="240" w:line="240" w:lineRule="auto"/>
      <w:ind w:left="284"/>
    </w:pPr>
    <w:rPr>
      <w:rFonts w:asciiTheme="majorHAnsi" w:eastAsia="Times New Roman" w:hAnsiTheme="majorHAnsi" w:cs="Minion Pro" w:ascii="Garamond" w:hAnsi="Garamond"/>
      <w:sz w:val="22"/>
      <w:lang w:eastAsia="ar-SA"/>
    </w:rPr>
  </w:style>
  <w:style w:type="paragraph" w:customStyle="1" w:styleId="TEIabstract">
    <w:name w:val="TEI_abstract"/>
    <w:rsid w:val="00105B3F"/>
    <w:pPr>
      <w:suppressAutoHyphens/>
      <w:spacing w:before="240" w:after="240" w:line="240" w:lineRule="auto"/>
      <w:ind w:left="284"/>
    </w:pPr>
    <w:rPr>
      <w:rFonts w:asciiTheme="majorHAnsi" w:eastAsia="Times New Roman" w:hAnsiTheme="majorHAnsi" w:cs="Minion Pro" w:ascii="Garamond" w:hAnsi="Garamond"/>
      <w:sz w:val="22"/>
      <w:lang w:eastAsia="ar-SA"/>
    </w:rPr>
  </w:style>
  <w:style w:type="paragraph" w:customStyle="1" w:styleId="TEIparagraphlead">
    <w:name w:val="TEI_paragraph_lead"/>
    <w:link w:val="TEIparagraphleadCar"/>
    <w:qFormat/>
    <w:rsid w:val="00105B3F"/>
    <w:pPr>
      <w:spacing w:before="360" w:after="360" w:line="360" w:lineRule="auto"/>
      <w:jc w:val="both"/>
    </w:pPr>
    <w:rPr>
      <w:rFonts w:ascii="Garamond" w:eastAsia="SimSun" w:hAnsi="Garamond" w:cs="Arial"/>
      <w:color w:val="000000" w:themeColor="text1"/>
      <w:kern w:val="1"/>
      <w:sz w:val="22"/>
      <w:szCs w:val="32"/>
      <w:lang w:eastAsia="ar-LB" w:bidi="ar-LB"/>
    </w:rPr>
  </w:style>
  <w:style w:type="paragraph" w:customStyle="1" w:styleId="TEIcode">
    <w:name w:val="TEI_code"/>
    <w:rsid w:val="00105B3F"/>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05B3F"/>
    <w:pPr>
      <w:suppressAutoHyphens/>
      <w:adjustRightInd w:val="0"/>
      <w:spacing w:before="120" w:after="60" w:line="360" w:lineRule="auto"/>
      <w:ind w:left="567"/>
    </w:pPr>
    <w:rPr>
      <w:rFonts w:ascii="Calibri Light" w:eastAsia="Times New Roman" w:hAnsi="Calibri Light" w:cs="Junicode"/>
      <w:sz w:val="22"/>
      <w:lang w:eastAsia="ar-SA"/>
    </w:rPr>
  </w:style>
  <w:style w:type="paragraph" w:customStyle="1" w:styleId="TEIparagraphconsecutive">
    <w:name w:val="TEI_paragraph_consecutive"/>
    <w:basedOn w:val="Normal"/>
    <w:qFormat/>
    <w:rsid w:val="00105B3F"/>
    <w:rPr>
      <w:rFonts w:ascii="Garamond" w:hAnsi="Garamond"/>
    </w:rPr>
  </w:style>
  <w:style w:type="paragraph" w:customStyle="1" w:styleId="TEIaut">
    <w:name w:val="TEI_aut:"/>
    <w:autoRedefine/>
    <w:rsid w:val="00105B3F"/>
    <w:pPr>
      <w:pBdr>
        <w:right w:val="single" w:sz="4" w:space="4" w:color="auto"/>
      </w:pBdr>
      <w:suppressAutoHyphens/>
      <w:spacing w:before="240" w:after="0" w:line="240" w:lineRule="auto"/>
      <w:jc w:val="right"/>
    </w:pPr>
    <w:rPr>
      <w:rFonts w:asciiTheme="majorHAnsi" w:eastAsia="Times New Roman" w:hAnsiTheme="majorHAnsi" w:cs="Arial MT" w:ascii="Garamond" w:hAnsi="Garamond"/>
      <w:sz w:val="22"/>
      <w:lang w:eastAsia="ar-SA"/>
    </w:rPr>
  </w:style>
  <w:style w:type="character" w:customStyle="1" w:styleId="TEIaut-inline">
    <w:name w:val="TEI_aut-inline:"/>
    <w:basedOn w:val="Policepardfaut"/>
    <w:uiPriority w:val="1"/>
    <w:qFormat/>
    <w:rsid w:val="00105B3F"/>
    <w:rPr>
      <w:color w:val="C00000"/>
    </w:rPr>
  </w:style>
  <w:style w:type="character" w:customStyle="1" w:styleId="TEIedt-inline">
    <w:name w:val="TEI_edt-inline:"/>
    <w:basedOn w:val="Policepardfaut"/>
    <w:rsid w:val="00105B3F"/>
    <w:rPr>
      <w:color w:val="8EAADB" w:themeColor="accent5" w:themeTint="99"/>
    </w:rPr>
  </w:style>
  <w:style w:type="paragraph" w:customStyle="1" w:styleId="TEIauts">
    <w:name w:val="TEI_auts"/>
    <w:qFormat/>
    <w:rsid w:val="00453B4E"/>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paragraph" w:customStyle="1" w:styleId="TEIauthorities">
    <w:name w:val="TEI_authorities"/>
    <w:qFormat/>
    <w:rsid w:val="00105B3F"/>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character" w:customStyle="1" w:styleId="TEIneutral-inline">
    <w:name w:val="TEI_neutral-inline"/>
    <w:uiPriority w:val="1"/>
    <w:qFormat/>
    <w:rsid w:val="00105B3F"/>
    <w:rPr>
      <w:color w:val="808080"/>
    </w:rPr>
  </w:style>
  <w:style w:type="character" w:customStyle="1" w:styleId="TEIaffiliation-inline">
    <w:name w:val="TEI_affiliation-inline"/>
    <w:basedOn w:val="Policepardfaut"/>
    <w:uiPriority w:val="1"/>
    <w:qFormat/>
    <w:rsid w:val="00105B3F"/>
    <w:rPr>
      <w:color w:val="4AACC6"/>
      <w:bdr w:val="none" w:sz="0" w:space="0" w:color="auto"/>
      <w:shd w:val="clear" w:color="auto" w:fill="auto"/>
    </w:rPr>
  </w:style>
  <w:style w:type="paragraph" w:customStyle="1" w:styleId="TEIauthoritybiography">
    <w:name w:val="TEI_authority_biography"/>
    <w:link w:val="TEIauthoritybiographyCar"/>
    <w:qFormat/>
    <w:rsid w:val="00105B3F"/>
    <w:pPr>
      <w:pBdr>
        <w:right w:val="single" w:sz="4" w:space="4" w:color="auto"/>
      </w:pBdr>
      <w:spacing w:before="120"/>
      <w:jc w:val="right"/>
    </w:pPr>
    <w:rPr>
      <w:rFonts w:asciiTheme="majorHAnsi" w:eastAsia="MS Mincho" w:hAnsiTheme="majorHAnsi" w:cs="Calibri Light"/>
      <w:sz w:val="21"/>
      <w:szCs w:val="26"/>
      <w:lang w:eastAsia="ar-SA"/>
    </w:rPr>
  </w:style>
  <w:style w:type="paragraph" w:customStyle="1" w:styleId="TEIfunder">
    <w:name w:val="TEI_funder"/>
    <w:qFormat/>
    <w:rsid w:val="00105B3F"/>
    <w:pPr>
      <w:spacing w:line="240" w:lineRule="auto"/>
    </w:pPr>
    <w:rPr>
      <w:rFonts w:asciiTheme="majorHAnsi" w:eastAsia="Times New Roman" w:hAnsiTheme="majorHAnsi" w:cs="Minion Pro"/>
      <w:sz w:val="22"/>
      <w:szCs w:val="26"/>
      <w:lang w:eastAsia="ar-SA"/>
    </w:rPr>
  </w:style>
  <w:style w:type="paragraph" w:customStyle="1" w:styleId="TEIdatereception">
    <w:name w:val="TEI_date_reception"/>
    <w:qFormat/>
    <w:rsid w:val="00105B3F"/>
    <w:rPr>
      <w:rFonts w:asciiTheme="majorHAnsi" w:eastAsia="Times New Roman" w:hAnsiTheme="majorHAnsi" w:cs="Minion Pro"/>
      <w:sz w:val="22"/>
      <w:szCs w:val="26"/>
      <w:lang w:eastAsia="ar-SA"/>
    </w:rPr>
  </w:style>
  <w:style w:type="paragraph" w:customStyle="1" w:styleId="TEIdateacceptance">
    <w:name w:val="TEI_date_acceptance"/>
    <w:qFormat/>
    <w:rsid w:val="00105B3F"/>
    <w:rPr>
      <w:rFonts w:asciiTheme="majorHAnsi" w:eastAsia="Times New Roman" w:hAnsiTheme="majorHAnsi" w:cs="Minion Pro"/>
      <w:sz w:val="22"/>
      <w:szCs w:val="26"/>
      <w:lang w:eastAsia="ar-SA"/>
    </w:rPr>
  </w:style>
  <w:style w:type="paragraph" w:customStyle="1" w:styleId="TEInote">
    <w:name w:val="TEI_note:"/>
    <w:qFormat/>
    <w:rsid w:val="00105B3F"/>
    <w:rPr>
      <w:rFonts w:ascii="Garamond" w:eastAsia="MS Mincho" w:hAnsi="Garamond" w:cs="Calibri Light"/>
      <w:sz w:val="22"/>
      <w:szCs w:val="26"/>
      <w:lang w:eastAsia="ar-SA"/>
    </w:rPr>
  </w:style>
  <w:style w:type="character" w:customStyle="1" w:styleId="TEIcode-inline">
    <w:name w:val="TEI_code-inline"/>
    <w:uiPriority w:val="1"/>
    <w:qFormat/>
    <w:rsid w:val="00105B3F"/>
    <w:rPr>
      <w:rFonts w:ascii="Consolas" w:hAnsi="Consolas"/>
      <w:color w:val="7B7B7B" w:themeColor="accent3" w:themeShade="BF"/>
    </w:rPr>
  </w:style>
  <w:style w:type="paragraph" w:customStyle="1" w:styleId="TEIlinguisticgloss">
    <w:name w:val="TEI_linguistic_gloss"/>
    <w:autoRedefine/>
    <w:qFormat/>
    <w:rsid w:val="00ED38E1"/>
    <w:pPr>
      <w:ind w:left="1701" w:hanging="1701"/>
    </w:pPr>
    <w:rPr>
      <w:rFonts w:asciiTheme="majorHAnsi" w:eastAsia="MS Mincho" w:hAnsiTheme="majorHAnsi" w:cs="Calibri Light"/>
      <w:noProof/>
      <w:szCs w:val="22"/>
      <w:lang w:eastAsia="ar-SA"/>
    </w:rPr>
  </w:style>
  <w:style w:type="paragraph" w:customStyle="1" w:styleId="TEIlinguisticexample">
    <w:name w:val="TEI_linguistic_example"/>
    <w:autoRedefine/>
    <w:qFormat/>
    <w:rsid w:val="009D4F13"/>
    <w:rPr>
      <w:rFonts w:asciiTheme="majorHAnsi" w:eastAsia="MS Mincho" w:hAnsiTheme="majorHAnsi" w:cs="Calibri Light"/>
      <w:szCs w:val="22"/>
      <w:lang w:eastAsia="ar-SA"/>
    </w:rPr>
  </w:style>
  <w:style w:type="paragraph" w:customStyle="1" w:styleId="TEIlinguistictranslation">
    <w:name w:val="TEI_linguistic_translation"/>
    <w:autoRedefine/>
    <w:qFormat/>
    <w:rsid w:val="003D31DD"/>
    <w:pPr>
      <w:ind w:left="1276" w:hanging="1276"/>
    </w:pPr>
    <w:rPr>
      <w:rFonts w:asciiTheme="majorHAnsi" w:eastAsia="MS Mincho" w:hAnsiTheme="majorHAnsi" w:cs="Calibri Light"/>
      <w:noProof/>
      <w:szCs w:val="22"/>
      <w:lang w:eastAsia="ar-SA"/>
    </w:rPr>
  </w:style>
  <w:style w:type="paragraph" w:customStyle="1" w:styleId="TEIquote">
    <w:name w:val="TEI_quote"/>
    <w:rsid w:val="00105B3F"/>
    <w:pPr>
      <w:suppressAutoHyphens/>
      <w:spacing w:before="240" w:after="240" w:line="360" w:lineRule="auto"/>
      <w:ind w:left="567"/>
      <w:jc w:val="both"/>
    </w:pPr>
    <w:rPr>
      <w:rFonts w:ascii="Garamond" w:eastAsia="Times New Roman" w:hAnsi="Garamond" w:cs="Arial MT"/>
      <w:sz w:val="21"/>
      <w:lang w:eastAsia="ar-SA"/>
    </w:rPr>
  </w:style>
  <w:style w:type="paragraph" w:customStyle="1" w:styleId="TEIquote2">
    <w:name w:val="TEI_quote2"/>
    <w:rsid w:val="00105B3F"/>
    <w:pPr>
      <w:suppressAutoHyphens/>
      <w:spacing w:before="240" w:after="240" w:line="360" w:lineRule="auto"/>
      <w:ind w:left="567"/>
      <w:jc w:val="both"/>
    </w:pPr>
    <w:rPr>
      <w:rFonts w:ascii="Garamond" w:eastAsia="Times New Roman" w:hAnsi="Garamond" w:cs="Arial MT"/>
      <w:color w:val="000000" w:themeColor="text1"/>
      <w:sz w:val="21"/>
      <w:lang w:val="en-GB" w:eastAsia="ar-SA"/>
    </w:rPr>
  </w:style>
  <w:style w:type="paragraph" w:customStyle="1" w:styleId="TEIquotecontinuation">
    <w:name w:val="TEI_quote_continuation"/>
    <w:qFormat/>
    <w:rsid w:val="00105B3F"/>
    <w:pPr>
      <w:ind w:left="567"/>
    </w:pPr>
    <w:rPr>
      <w:rFonts w:ascii="Garamond" w:eastAsia="Times New Roman" w:hAnsi="Garamond" w:cs="Arial MT"/>
      <w:color w:val="000000" w:themeColor="text1"/>
      <w:sz w:val="21"/>
      <w:lang w:val="en-GB" w:eastAsia="ar-SA"/>
    </w:rPr>
  </w:style>
  <w:style w:type="paragraph" w:customStyle="1" w:styleId="TEIquotenested">
    <w:name w:val="TEI_quote_nested"/>
    <w:autoRedefine/>
    <w:qFormat/>
    <w:rsid w:val="00105B3F"/>
    <w:pPr>
      <w:ind w:left="1134"/>
    </w:pPr>
    <w:rPr>
      <w:rFonts w:ascii="Garamond" w:eastAsia="Times New Roman" w:hAnsi="Garamond" w:cs="Arial MT"/>
      <w:color w:val="000000" w:themeColor="text1"/>
      <w:sz w:val="21"/>
      <w:lang w:val="en-GB" w:eastAsia="ar-SA"/>
    </w:rPr>
  </w:style>
  <w:style w:type="paragraph" w:customStyle="1" w:styleId="TEIverse">
    <w:name w:val="TEI_verse"/>
    <w:qFormat/>
    <w:rsid w:val="00105B3F"/>
    <w:pPr>
      <w:spacing w:before="120" w:after="0" w:line="360" w:lineRule="auto"/>
      <w:ind w:left="1134"/>
      <w:contextualSpacing/>
    </w:pPr>
    <w:rPr>
      <w:rFonts w:ascii="Garamond" w:eastAsia="MS Mincho" w:hAnsi="Garamond" w:cs="Cambria"/>
      <w:sz w:val="22"/>
      <w:szCs w:val="24"/>
      <w:lang w:eastAsia="ar-SA"/>
    </w:rPr>
  </w:style>
  <w:style w:type="paragraph" w:customStyle="1" w:styleId="TEIreplica">
    <w:name w:val="TEI_replica"/>
    <w:rsid w:val="00105B3F"/>
    <w:pPr>
      <w:suppressAutoHyphens/>
      <w:spacing w:after="0" w:line="240" w:lineRule="auto"/>
      <w:ind w:left="851" w:hanging="284"/>
      <w:jc w:val="both"/>
    </w:pPr>
    <w:rPr>
      <w:rFonts w:ascii="Calibri Light" w:eastAsia="Times New Roman" w:hAnsi="Calibri Light" w:cs="Junicode"/>
      <w:sz w:val="22"/>
      <w:lang w:eastAsia="ar-SA"/>
    </w:rPr>
  </w:style>
  <w:style w:type="paragraph" w:customStyle="1" w:styleId="TEIspeaker">
    <w:name w:val="TEI_speaker"/>
    <w:qFormat/>
    <w:rsid w:val="00105B3F"/>
    <w:rPr>
      <w:rFonts w:ascii="Calibri Light" w:eastAsia="Times New Roman" w:hAnsi="Calibri Light" w:cs="Junicode"/>
      <w:sz w:val="22"/>
      <w:lang w:eastAsia="ar-SA"/>
    </w:rPr>
  </w:style>
  <w:style w:type="character" w:customStyle="1" w:styleId="TEIspeaker-inline">
    <w:name w:val="TEI_speaker-inline"/>
    <w:rsid w:val="00105B3F"/>
    <w:rPr>
      <w:rFonts w:ascii="Junicode" w:hAnsi="Junicode" w:cs="Junicode"/>
      <w:color w:val="auto"/>
      <w:sz w:val="24"/>
      <w:u w:val="single"/>
    </w:rPr>
  </w:style>
  <w:style w:type="character" w:customStyle="1" w:styleId="TEIdidascaly-inline">
    <w:name w:val="TEI_didascaly-inline"/>
    <w:rsid w:val="00105B3F"/>
    <w:rPr>
      <w:rFonts w:ascii="Junicode" w:hAnsi="Junicode" w:cs="Junicode"/>
      <w:sz w:val="22"/>
    </w:rPr>
  </w:style>
  <w:style w:type="character" w:customStyle="1" w:styleId="TEIversenumber-inline">
    <w:name w:val="TEI_versenumber-inline"/>
    <w:uiPriority w:val="1"/>
    <w:qFormat/>
    <w:rsid w:val="00105B3F"/>
    <w:rPr>
      <w:color w:val="7F7F7F"/>
    </w:rPr>
  </w:style>
  <w:style w:type="paragraph" w:customStyle="1" w:styleId="TEIversifiedreplica">
    <w:name w:val="TEI_versifiedreplica"/>
    <w:basedOn w:val="Normal"/>
    <w:qFormat/>
    <w:rsid w:val="00105B3F"/>
  </w:style>
  <w:style w:type="paragraph" w:customStyle="1" w:styleId="TEIxiinclude">
    <w:name w:val="TEI_xi_include"/>
    <w:rsid w:val="00105B3F"/>
    <w:pPr>
      <w:pBdr>
        <w:top w:val="single" w:sz="4" w:space="1" w:color="auto"/>
        <w:bottom w:val="single" w:sz="4" w:space="1" w:color="auto"/>
      </w:pBdr>
      <w:suppressAutoHyphens/>
      <w:spacing w:before="240" w:after="240" w:line="240" w:lineRule="auto"/>
    </w:pPr>
    <w:rPr>
      <w:rFonts w:ascii="Calibri" w:eastAsia="MS Mincho" w:hAnsi="Calibri" w:cs="Cambria"/>
      <w:b/>
      <w:szCs w:val="24"/>
      <w:lang w:eastAsia="ar-SA"/>
    </w:rPr>
  </w:style>
  <w:style w:type="paragraph" w:customStyle="1" w:styleId="TEIfloatingTextend">
    <w:name w:val="TEI_floatingText_end"/>
    <w:next w:val="Normal"/>
    <w:autoRedefine/>
    <w:qFormat/>
    <w:rsid w:val="00304CD6"/>
    <w:rPr>
      <w:rFonts w:ascii="Courier New" w:eastAsia="MS Mincho" w:hAnsi="Courier New" w:cs="Calibri Light"/>
      <w:color w:val="718EAC"/>
      <w:sz w:val="16"/>
      <w:szCs w:val="22"/>
      <w:lang w:eastAsia="ar-SA"/>
    </w:rPr>
  </w:style>
  <w:style w:type="paragraph" w:customStyle="1" w:styleId="TEIfloatingTextstart">
    <w:name w:val="TEI_floatingText_start"/>
    <w:qFormat/>
    <w:rsid w:val="00304CD6"/>
    <w:rPr>
      <w:rFonts w:ascii="Courier New" w:eastAsia="MS Mincho" w:hAnsi="Courier New" w:cs="Calibri Light"/>
      <w:color w:val="718EAC"/>
      <w:sz w:val="16"/>
      <w:szCs w:val="22"/>
      <w:lang w:eastAsia="ar-SA"/>
    </w:rPr>
  </w:style>
  <w:style w:type="paragraph" w:customStyle="1" w:styleId="TEIfigurealternative">
    <w:name w:val="TEI_figure_alternative"/>
    <w:qFormat/>
    <w:rsid w:val="00105B3F"/>
    <w:rPr>
      <w:rFonts w:ascii="Garamond" w:eastAsia="SimSun" w:hAnsi="Garamond" w:cs="Arial"/>
      <w:kern w:val="1"/>
      <w:sz w:val="21"/>
      <w:szCs w:val="32"/>
      <w:lang w:eastAsia="ar-LB" w:bidi="ar-LB"/>
    </w:rPr>
  </w:style>
  <w:style w:type="paragraph" w:customStyle="1" w:styleId="TEIformula">
    <w:name w:val="TEI_formula"/>
    <w:qFormat/>
    <w:rsid w:val="00105B3F"/>
    <w:rPr>
      <w:rFonts w:ascii="Courier New" w:eastAsia="MS Mincho" w:hAnsi="Courier New" w:cs="Cambria"/>
      <w:sz w:val="22"/>
      <w:szCs w:val="26"/>
      <w:lang w:eastAsia="ar-SA"/>
    </w:rPr>
  </w:style>
  <w:style w:type="character" w:customStyle="1" w:styleId="TEIformula-inline">
    <w:name w:val="TEI_formula-inline"/>
    <w:basedOn w:val="Policepardfaut"/>
    <w:uiPriority w:val="1"/>
    <w:qFormat/>
    <w:rsid w:val="00105B3F"/>
    <w:rPr>
      <w:rFonts w:ascii="Courier New" w:hAnsi="Courier New"/>
      <w:sz w:val="22"/>
    </w:rPr>
  </w:style>
  <w:style w:type="paragraph" w:customStyle="1" w:styleId="TEIbiblreference">
    <w:name w:val="TEI_bibl_reference"/>
    <w:autoRedefine/>
    <w:qFormat/>
    <w:rsid w:val="00105B3F"/>
    <w:pPr>
      <w:spacing w:line="240" w:lineRule="auto"/>
    </w:pPr>
    <w:rPr>
      <w:rFonts w:asciiTheme="majorHAnsi" w:eastAsia="MS Mincho" w:hAnsiTheme="majorHAnsi" w:cs="Calibri Light" w:ascii="Garamond" w:hAnsi="Garamond"/>
      <w:sz w:val="22"/>
      <w:szCs w:val="22"/>
      <w:lang w:eastAsia="ar-SA"/>
    </w:rPr>
  </w:style>
  <w:style w:type="paragraph" w:customStyle="1" w:styleId="TEIbiblstart">
    <w:name w:val="TEI_bibl_start"/>
    <w:autoRedefine/>
    <w:qFormat/>
    <w:rsid w:val="00EC7D2C"/>
    <w:pPr>
      <w:spacing w:line="240" w:lineRule="auto"/>
      <w:outlineLvl w:val="0"/>
    </w:pPr>
    <w:rPr>
      <w:rFonts w:eastAsia="MS Mincho" w:cs="Calibri Light" w:ascii="Calibri" w:hAnsi="Calibri"/>
      <w:sz w:val="40"/>
      <w:szCs w:val="22"/>
      <w:lang w:eastAsia="ar-SA"/>
    </w:rPr>
  </w:style>
  <w:style w:type="paragraph" w:customStyle="1" w:styleId="TEIappendixstart">
    <w:name w:val="TEI_appendix_start"/>
    <w:next w:val="Normal"/>
    <w:autoRedefine/>
    <w:qFormat/>
    <w:rsid w:val="008E6C2D"/>
    <w:pPr>
      <w:spacing w:after="320" w:line="240" w:lineRule="auto"/>
      <w:outlineLvl w:val="0"/>
    </w:pPr>
    <w:rPr>
      <w:rFonts w:eastAsia="MS Mincho" w:cs="Calibri Light" w:ascii="Calibri" w:hAnsi="Calibri"/>
      <w:sz w:val="40"/>
      <w:szCs w:val="22"/>
      <w:lang w:eastAsia="ar-SA"/>
    </w:rPr>
  </w:style>
  <w:style w:type="paragraph" w:customStyle="1" w:styleId="TEIpagination">
    <w:name w:val="TEI_pagination"/>
    <w:next w:val="Normal"/>
    <w:autoRedefine/>
    <w:qFormat/>
    <w:rsid w:val="00105B3F"/>
    <w:rPr>
      <w:rFonts w:asciiTheme="majorHAnsi" w:eastAsia="MS Mincho" w:hAnsiTheme="majorHAnsi" w:cs="Calibri Light"/>
      <w:sz w:val="22"/>
      <w:szCs w:val="22"/>
      <w:lang w:eastAsia="ar-SA"/>
    </w:rPr>
  </w:style>
  <w:style w:type="paragraph" w:customStyle="1" w:styleId="TEIdocumentnumber">
    <w:name w:val="TEI_document_number"/>
    <w:next w:val="Normal"/>
    <w:autoRedefine/>
    <w:qFormat/>
    <w:rsid w:val="00105B3F"/>
    <w:rPr>
      <w:rFonts w:asciiTheme="majorHAnsi" w:eastAsia="MS Mincho" w:hAnsiTheme="majorHAnsi" w:cs="Calibri Light"/>
      <w:sz w:val="22"/>
      <w:szCs w:val="22"/>
      <w:lang w:eastAsia="ar-SA"/>
    </w:rPr>
  </w:style>
  <w:style w:type="paragraph" w:customStyle="1" w:styleId="TEIpartner">
    <w:name w:val="TEI_partner"/>
    <w:qFormat/>
    <w:rsid w:val="00105B3F"/>
    <w:pPr>
      <w:spacing w:line="360" w:lineRule="auto"/>
      <w:ind w:left="284"/>
      <w:contextualSpacing/>
    </w:pPr>
    <w:rPr>
      <w:rFonts w:ascii="Calibri" w:eastAsia="MS Mincho" w:hAnsi="Calibri" w:cs="Times New Roman"/>
      <w:sz w:val="22"/>
      <w:szCs w:val="24"/>
      <w:lang w:val="fr-BE" w:eastAsia="ar-SA"/>
    </w:rPr>
  </w:style>
  <w:style w:type="paragraph" w:customStyle="1" w:styleId="TEIlinkeddata">
    <w:name w:val="TEI_linked_data"/>
    <w:basedOn w:val="Normal"/>
    <w:qFormat/>
    <w:rsid w:val="00105B3F"/>
    <w:pPr>
      <w:shd w:val="clear" w:color="auto" w:fill="F0F8FF"/>
      <w:spacing w:before="240"/>
      <w:ind w:left="284"/>
      <w:jc w:val="left"/>
    </w:pPr>
    <w:rPr>
      <w:rFonts w:cs="Times New Roman"/>
      <w:bCs/>
      <w:lang w:eastAsia="fr-FR"/>
    </w:rPr>
  </w:style>
  <w:style w:type="paragraph" w:customStyle="1" w:styleId="TEIlinkedpubli">
    <w:name w:val="TEI_linked_publi"/>
    <w:qFormat/>
    <w:rsid w:val="00105B3F"/>
    <w:pPr>
      <w:shd w:val="clear" w:color="auto" w:fill="F0F8FF"/>
      <w:spacing w:before="120" w:after="240" w:line="360" w:lineRule="auto"/>
      <w:ind w:left="284"/>
    </w:pPr>
    <w:rPr>
      <w:rFonts w:ascii="Calibri Light" w:eastAsia="MS Mincho" w:hAnsi="Calibri Light" w:cs="Times New Roman"/>
      <w:bCs/>
      <w:sz w:val="22"/>
      <w:szCs w:val="24"/>
      <w:lang w:eastAsia="fr-FR"/>
    </w:rPr>
  </w:style>
  <w:style w:type="paragraph" w:customStyle="1" w:styleId="TEIlocalnote">
    <w:name w:val="TEI_localnote"/>
    <w:basedOn w:val="Notedebasdepage"/>
    <w:rsid w:val="00105B3F"/>
    <w:rPr>
      <w:rFonts w:eastAsia="Times New Roman" w:cs="Times New Roman"/>
      <w:color w:val="000080"/>
    </w:rPr>
  </w:style>
  <w:style w:type="paragraph" w:customStyle="1" w:styleId="TEIreviewstart">
    <w:name w:val="TEI_review_start"/>
    <w:autoRedefine/>
    <w:qFormat/>
    <w:rsid w:val="008B0382"/>
    <w:pPr>
      <w:jc w:val="center"/>
    </w:pPr>
    <w:rPr>
      <w:rFonts w:ascii="Courier New" w:eastAsia="MS Mincho" w:hAnsi="Courier New" w:cs="Calibri Light"/>
      <w:color w:val="718EAC"/>
      <w:sz w:val="16"/>
      <w:szCs w:val="22"/>
      <w:lang w:eastAsia="ar-SA"/>
    </w:rPr>
  </w:style>
  <w:style w:type="paragraph" w:customStyle="1" w:styleId="TEIreviewend">
    <w:name w:val="TEI_review_end"/>
    <w:autoRedefine/>
    <w:qFormat/>
    <w:rsid w:val="008B0382"/>
    <w:pPr>
      <w:jc w:val="center"/>
    </w:pPr>
    <w:rPr>
      <w:rFonts w:ascii="Courier New" w:eastAsia="MS Mincho" w:hAnsi="Courier New" w:cs="Calibri Light"/>
      <w:color w:val="718EAC"/>
      <w:sz w:val="16"/>
      <w:szCs w:val="22"/>
      <w:lang w:eastAsia="ar-SA"/>
    </w:rPr>
  </w:style>
  <w:style w:type="paragraph" w:customStyle="1" w:styleId="TEIkeywordssubjectschronology">
    <w:name w:val="TEI_keywords_subjects:chronology"/>
    <w:next w:val="Normal"/>
    <w:autoRedefine/>
    <w:qFormat/>
    <w:rsid w:val="00105B3F"/>
    <w:rPr>
      <w:rFonts w:ascii="Verdana" w:eastAsia="MS Mincho" w:hAnsi="Verdana" w:cs="Calibri Light"/>
      <w:color w:val="7030A0"/>
      <w:sz w:val="22"/>
      <w:szCs w:val="22"/>
      <w:lang w:eastAsia="ar-SA"/>
    </w:rPr>
  </w:style>
  <w:style w:type="paragraph" w:customStyle="1" w:styleId="TEIkeywordssubjectsexcavationyear">
    <w:name w:val="TEI_keywords_subjects:excavationyear"/>
    <w:next w:val="Normal"/>
    <w:autoRedefine/>
    <w:qFormat/>
    <w:rsid w:val="00105B3F"/>
    <w:rPr>
      <w:rFonts w:ascii="Verdana" w:eastAsia="MS Mincho" w:hAnsi="Verdana" w:cs="Calibri Light"/>
      <w:color w:val="7030A0"/>
      <w:sz w:val="22"/>
      <w:szCs w:val="22"/>
      <w:lang w:eastAsia="ar-SA"/>
    </w:rPr>
  </w:style>
  <w:style w:type="paragraph" w:customStyle="1" w:styleId="TEIkeywordssubjectsgeography">
    <w:name w:val="TEI_keywords_subjects:geography"/>
    <w:next w:val="Normal"/>
    <w:autoRedefine/>
    <w:qFormat/>
    <w:rsid w:val="00105B3F"/>
    <w:rPr>
      <w:rFonts w:ascii="Verdana" w:eastAsia="MS Mincho" w:hAnsi="Verdana" w:cs="Calibri Light"/>
      <w:color w:val="7030A0"/>
      <w:sz w:val="22"/>
      <w:szCs w:val="22"/>
      <w:lang w:eastAsia="ar-SA"/>
    </w:rPr>
  </w:style>
  <w:style w:type="paragraph" w:customStyle="1" w:styleId="TEIkeywordssubjectspersoncited">
    <w:name w:val="TEI_keywords_subjects:personcited"/>
    <w:next w:val="Normal"/>
    <w:autoRedefine/>
    <w:qFormat/>
    <w:rsid w:val="00105B3F"/>
    <w:rPr>
      <w:rFonts w:ascii="Verdana" w:eastAsia="MS Mincho" w:hAnsi="Verdana" w:cs="Calibri Light"/>
      <w:color w:val="7030A0"/>
      <w:sz w:val="22"/>
      <w:szCs w:val="22"/>
      <w:lang w:eastAsia="ar-SA"/>
    </w:rPr>
  </w:style>
  <w:style w:type="paragraph" w:customStyle="1" w:styleId="TEIkeywordssubjectspropernoun">
    <w:name w:val="TEI_keywords_subjects:propernoun"/>
    <w:next w:val="Normal"/>
    <w:autoRedefine/>
    <w:qFormat/>
    <w:rsid w:val="00105B3F"/>
    <w:rPr>
      <w:rFonts w:ascii="Verdana" w:eastAsia="MS Mincho" w:hAnsi="Verdana" w:cs="Calibri Light"/>
      <w:color w:val="7030A0"/>
      <w:sz w:val="22"/>
      <w:szCs w:val="22"/>
      <w:lang w:eastAsia="ar-SA"/>
    </w:rPr>
  </w:style>
  <w:style w:type="paragraph" w:customStyle="1" w:styleId="TEIkeywordssubjectssubject">
    <w:name w:val="TEI_keywords_subjects:subject"/>
    <w:next w:val="Normal"/>
    <w:autoRedefine/>
    <w:qFormat/>
    <w:rsid w:val="00105B3F"/>
    <w:rPr>
      <w:rFonts w:ascii="Verdana" w:eastAsia="MS Mincho" w:hAnsi="Verdana" w:cs="Calibri Light"/>
      <w:color w:val="7030A0"/>
      <w:sz w:val="22"/>
      <w:szCs w:val="22"/>
      <w:lang w:eastAsia="ar-SA"/>
    </w:rPr>
  </w:style>
  <w:style w:type="paragraph" w:customStyle="1" w:styleId="TEIkeywordssubjectswork">
    <w:name w:val="TEI_keywords_subjects:work"/>
    <w:next w:val="Normal"/>
    <w:autoRedefine/>
    <w:qFormat/>
    <w:rsid w:val="00105B3F"/>
    <w:rPr>
      <w:rFonts w:ascii="Verdana" w:eastAsia="MS Mincho" w:hAnsi="Verdana" w:cs="Calibri Light"/>
      <w:color w:val="7030A0"/>
      <w:sz w:val="22"/>
      <w:szCs w:val="22"/>
      <w:lang w:eastAsia="ar-SA"/>
    </w:rPr>
  </w:style>
  <w:style w:type="character" w:customStyle="1" w:styleId="TEIbiblreference-inline">
    <w:name w:val="TEI_bibl_reference-inline"/>
    <w:uiPriority w:val="1"/>
    <w:qFormat/>
    <w:rsid w:val="00105B3F"/>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05B3F"/>
    <w:rPr>
      <w:rFonts w:ascii="Times New Roman" w:eastAsia="MS Mincho" w:hAnsi="Times New Roman" w:cs="Calibri Light"/>
      <w:color w:val="767171" w:themeColor="background2" w:themeShade="80"/>
      <w:sz w:val="22"/>
      <w:szCs w:val="22"/>
      <w:lang w:eastAsia="ar-SA"/>
    </w:rPr>
  </w:style>
  <w:style w:type="paragraph" w:customStyle="1" w:styleId="TEIquestion">
    <w:name w:val="TEI_question"/>
    <w:next w:val="TEIanswer"/>
    <w:autoRedefine/>
    <w:qFormat/>
    <w:rsid w:val="00105B3F"/>
    <w:rPr>
      <w:rFonts w:ascii="Times New Roman" w:eastAsia="MS Mincho" w:hAnsi="Times New Roman" w:cs="Calibri Light"/>
      <w:b/>
      <w:color w:val="767171" w:themeColor="background2" w:themeShade="80"/>
      <w:sz w:val="22"/>
      <w:szCs w:val="22"/>
      <w:lang w:eastAsia="ar-SA"/>
    </w:rPr>
  </w:style>
  <w:style w:type="character" w:customStyle="1" w:styleId="TEIfigurenuminline">
    <w:name w:val="TEI_figure_num_inline"/>
    <w:basedOn w:val="Policepardfaut"/>
    <w:uiPriority w:val="1"/>
    <w:qFormat/>
    <w:rsid w:val="00105B3F"/>
    <w:rPr>
      <w:color w:val="2F5496" w:themeColor="accent5" w:themeShade="BF"/>
      <w:bdr w:val="none" w:sz="0" w:space="0" w:color="auto"/>
      <w:shd w:val="clear" w:color="auto" w:fill="auto"/>
    </w:rPr>
  </w:style>
  <w:style w:type="character" w:customStyle="1" w:styleId="TEIfigurecreditsinline">
    <w:name w:val="TEI_figure_credits_inline"/>
    <w:uiPriority w:val="1"/>
    <w:qFormat/>
    <w:rsid w:val="00105B3F"/>
    <w:rPr>
      <w:color w:val="44546A" w:themeColor="text2"/>
      <w:bdr w:val="none" w:sz="0" w:space="0" w:color="auto"/>
      <w:shd w:val="clear" w:color="auto" w:fill="auto"/>
    </w:rPr>
  </w:style>
  <w:style w:type="paragraph" w:customStyle="1" w:styleId="TEIfigureend">
    <w:name w:val="TEI_figure_end"/>
    <w:next w:val="Normal"/>
    <w:qFormat/>
    <w:rsid w:val="0033309D"/>
    <w:rPr>
      <w:rFonts w:ascii="Courier New" w:eastAsia="MS Mincho" w:hAnsi="Courier New" w:cs="Calibri Light"/>
      <w:color w:val="718EAC"/>
      <w:sz w:val="16"/>
      <w:szCs w:val="22"/>
      <w:lang w:eastAsia="ar-SA"/>
    </w:rPr>
  </w:style>
  <w:style w:type="paragraph" w:customStyle="1" w:styleId="TEIfigurestart">
    <w:name w:val="TEI_figure_start"/>
    <w:next w:val="Normal"/>
    <w:autoRedefine/>
    <w:qFormat/>
    <w:rsid w:val="0033309D"/>
    <w:rPr>
      <w:rFonts w:ascii="Courier New" w:eastAsia="MS Mincho" w:hAnsi="Courier New" w:cs="Calibri Light"/>
      <w:color w:val="718EAC"/>
      <w:sz w:val="16"/>
      <w:szCs w:val="22"/>
      <w:lang w:eastAsia="ar-SA"/>
    </w:rPr>
  </w:style>
  <w:style w:type="character" w:customStyle="1" w:styleId="TEIreviewedauthor-inline">
    <w:name w:val="TEI_reviewed_author-inline"/>
    <w:uiPriority w:val="1"/>
    <w:qFormat/>
    <w:rsid w:val="00105B3F"/>
    <w:rPr>
      <w:color w:val="2E74B5" w:themeColor="accent1" w:themeShade="BF"/>
    </w:rPr>
  </w:style>
  <w:style w:type="character" w:customStyle="1" w:styleId="TEIrevieweddate-inline">
    <w:name w:val="TEI_reviewed_date-inline"/>
    <w:uiPriority w:val="1"/>
    <w:qFormat/>
    <w:rsid w:val="00105B3F"/>
    <w:rPr>
      <w:color w:val="C45911" w:themeColor="accent2" w:themeShade="BF"/>
    </w:rPr>
  </w:style>
  <w:style w:type="paragraph" w:customStyle="1" w:styleId="TEIreviewedreference">
    <w:name w:val="TEI_reviewed_reference"/>
    <w:autoRedefine/>
    <w:qFormat/>
    <w:rsid w:val="00105B3F"/>
    <w:rPr>
      <w:rFonts w:ascii="Courier New" w:eastAsia="MS Mincho" w:hAnsi="Courier New" w:cs="Calibri Light"/>
      <w:color w:val="7030A0"/>
      <w:sz w:val="22"/>
      <w:szCs w:val="22"/>
      <w:lang w:eastAsia="ar-SA"/>
    </w:rPr>
  </w:style>
  <w:style w:type="character" w:customStyle="1" w:styleId="TEIreviewedtitle-inline">
    <w:name w:val="TEI_reviewed_title-inline"/>
    <w:uiPriority w:val="1"/>
    <w:qFormat/>
    <w:rsid w:val="00105B3F"/>
    <w:rPr>
      <w:i w:val="0"/>
      <w:color w:val="323E4F" w:themeColor="text2" w:themeShade="BF"/>
    </w:rPr>
  </w:style>
  <w:style w:type="paragraph" w:customStyle="1" w:styleId="TEIformula-mml">
    <w:name w:val="TEI_formula-mml"/>
    <w:qFormat/>
    <w:rsid w:val="00105B3F"/>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453B4E"/>
    <w:rPr>
      <w:lang w:val="en-US"/>
    </w:rPr>
  </w:style>
  <w:style w:type="character" w:customStyle="1" w:styleId="TEIabstractamCar">
    <w:name w:val="TEI_abstract|am Car"/>
    <w:basedOn w:val="Policepardfaut"/>
    <w:link w:val="TEIabstractam"/>
    <w:rsid w:val="00453B4E"/>
    <w:rPr>
      <w:rFonts w:ascii="Calibri" w:eastAsia="Times New Roman" w:hAnsi="Calibri" w:cs="Minion Pro"/>
      <w:sz w:val="22"/>
      <w:lang w:val="en-US" w:eastAsia="ar-SA"/>
    </w:rPr>
  </w:style>
  <w:style w:type="paragraph" w:customStyle="1" w:styleId="TEIabstracten">
    <w:name w:val="TEI_abstract|en"/>
    <w:basedOn w:val="TEIabstract"/>
    <w:link w:val="TEIabstractenCar"/>
    <w:rsid w:val="00453B4E"/>
    <w:rPr>
      <w:lang w:val="en-US"/>
    </w:rPr>
  </w:style>
  <w:style w:type="character" w:customStyle="1" w:styleId="TEIabstractenCar">
    <w:name w:val="TEI_abstract|en Car"/>
    <w:basedOn w:val="Policepardfaut"/>
    <w:link w:val="TEIabstracten"/>
    <w:rsid w:val="00453B4E"/>
    <w:rPr>
      <w:rFonts w:ascii="Calibri" w:eastAsia="Times New Roman" w:hAnsi="Calibri" w:cs="Minion Pro"/>
      <w:sz w:val="22"/>
      <w:lang w:val="en-US" w:eastAsia="ar-SA"/>
    </w:rPr>
  </w:style>
  <w:style w:type="character" w:customStyle="1" w:styleId="TEIauthor-inlineaut">
    <w:name w:val="TEI_author-inline:aut"/>
    <w:basedOn w:val="Policepardfaut"/>
    <w:rsid w:val="00105B3F"/>
  </w:style>
  <w:style w:type="paragraph" w:customStyle="1" w:styleId="TEIauthoraut">
    <w:name w:val="TEI_author:aut"/>
    <w:basedOn w:val="Normal"/>
    <w:link w:val="TEIauthorautCar"/>
    <w:rsid w:val="00105B3F"/>
    <w:pPr>
      <w:spacing w:before="120" w:after="60"/>
      <w:jc w:val="right"/>
    </w:pPr>
  </w:style>
  <w:style w:type="character" w:customStyle="1" w:styleId="TEIauthorautCar">
    <w:name w:val="TEI_author:aut Car"/>
    <w:basedOn w:val="Policepardfaut"/>
    <w:link w:val="TEIauthoraut"/>
    <w:rsid w:val="00105B3F"/>
    <w:rPr>
      <w:rFonts w:ascii="Calibri Light" w:eastAsia="MS Mincho" w:hAnsi="Calibri Light" w:cs="Calibri Light"/>
      <w:sz w:val="22"/>
      <w:szCs w:val="22"/>
      <w:lang w:eastAsia="ar-SA"/>
    </w:rPr>
  </w:style>
  <w:style w:type="paragraph" w:customStyle="1" w:styleId="TEIeditortrl">
    <w:name w:val="TEI_editor:trl"/>
    <w:basedOn w:val="Normal"/>
    <w:link w:val="TEIeditortrlCar"/>
    <w:rsid w:val="00105B3F"/>
    <w:pPr>
      <w:spacing w:before="240" w:after="0" w:line="240" w:lineRule="auto"/>
      <w:jc w:val="right"/>
    </w:pPr>
  </w:style>
  <w:style w:type="character" w:customStyle="1" w:styleId="TEIeditortrlCar">
    <w:name w:val="TEI_editor:trl Car"/>
    <w:basedOn w:val="Policepardfaut"/>
    <w:link w:val="TEIeditortrl"/>
    <w:rsid w:val="00105B3F"/>
    <w:rPr>
      <w:rFonts w:ascii="Calibri Light" w:eastAsia="MS Mincho" w:hAnsi="Calibri Light" w:cs="Calibri Light"/>
      <w:sz w:val="22"/>
      <w:szCs w:val="22"/>
      <w:lang w:eastAsia="ar-SA"/>
    </w:rPr>
  </w:style>
  <w:style w:type="paragraph" w:customStyle="1" w:styleId="TEIkeywordsen">
    <w:name w:val="TEI_keywords|en"/>
    <w:basedOn w:val="TEIkeywords"/>
    <w:link w:val="TEIkeywordsenCar"/>
    <w:rsid w:val="00105B3F"/>
  </w:style>
  <w:style w:type="character" w:customStyle="1" w:styleId="TEIkeywordsenCar">
    <w:name w:val="TEI_keywords|en Car"/>
    <w:basedOn w:val="Policepardfaut"/>
    <w:link w:val="TEIkeywordsen"/>
    <w:rsid w:val="00105B3F"/>
    <w:rPr>
      <w:rFonts w:asciiTheme="majorHAnsi" w:eastAsia="Times New Roman" w:hAnsiTheme="majorHAnsi" w:cs="Minion Pro"/>
      <w:sz w:val="22"/>
      <w:lang w:eastAsia="ar-SA"/>
    </w:rPr>
  </w:style>
  <w:style w:type="paragraph" w:customStyle="1" w:styleId="TEItitletrlde">
    <w:name w:val="TEI_title:trl|de"/>
    <w:basedOn w:val="Normal"/>
    <w:link w:val="TEItitletrldeCar"/>
    <w:rsid w:val="00105B3F"/>
  </w:style>
  <w:style w:type="character" w:customStyle="1" w:styleId="TEItitletrldeCar">
    <w:name w:val="TEI_title:trl|de Car"/>
    <w:basedOn w:val="Policepardfaut"/>
    <w:link w:val="TEItitletrlde"/>
    <w:rsid w:val="00105B3F"/>
    <w:rPr>
      <w:rFonts w:ascii="Calibri Light" w:eastAsia="MS Mincho" w:hAnsi="Calibri Light" w:cs="Calibri Light"/>
      <w:sz w:val="22"/>
      <w:szCs w:val="22"/>
      <w:lang w:eastAsia="ar-SA"/>
    </w:rPr>
  </w:style>
  <w:style w:type="character" w:customStyle="1" w:styleId="TEIfunderrefinline">
    <w:name w:val="TEI_funderref_inline"/>
    <w:basedOn w:val="Policepardfaut"/>
    <w:uiPriority w:val="1"/>
    <w:qFormat/>
    <w:rsid w:val="00105B3F"/>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05B3F"/>
    <w:rPr>
      <w:bdr w:val="none" w:sz="0" w:space="0" w:color="auto"/>
      <w:shd w:val="clear" w:color="auto" w:fill="BDD6EE" w:themeFill="accent1" w:themeFillTint="66"/>
    </w:rPr>
  </w:style>
  <w:style w:type="character" w:customStyle="1" w:styleId="TEIdatenormalised">
    <w:name w:val="TEI_date_normalised"/>
    <w:uiPriority w:val="1"/>
    <w:qFormat/>
    <w:rsid w:val="00105B3F"/>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05B3F"/>
    <w:rPr>
      <w:rFonts w:ascii="Calibri" w:eastAsia="MS Mincho" w:hAnsi="Calibri" w:cs="Calibri Light"/>
      <w:b/>
      <w:color w:val="767171" w:themeColor="background2" w:themeShade="80"/>
      <w:sz w:val="22"/>
      <w:szCs w:val="22"/>
      <w:lang w:eastAsia="ar-SA"/>
    </w:rPr>
  </w:style>
  <w:style w:type="paragraph" w:customStyle="1" w:styleId="TEIcodeend">
    <w:name w:val="TEI_code_end"/>
    <w:next w:val="Normal"/>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codestart">
    <w:name w:val="TEI_code_start"/>
    <w:next w:val="TEIcode"/>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quotestart">
    <w:name w:val="TEI_quote_start"/>
    <w:qFormat/>
    <w:rsid w:val="00976BDA"/>
    <w:rPr>
      <w:rFonts w:ascii="Courier New" w:eastAsia="MS Mincho" w:hAnsi="Courier New" w:cs="Calibri Light"/>
      <w:color w:val="718EAC"/>
      <w:sz w:val="16"/>
      <w:szCs w:val="22"/>
      <w:lang w:eastAsia="ar-SA"/>
    </w:rPr>
  </w:style>
  <w:style w:type="paragraph" w:customStyle="1" w:styleId="TEIquoteend">
    <w:name w:val="TEI_quote_end"/>
    <w:qFormat/>
    <w:rsid w:val="00244D7E"/>
    <w:rPr>
      <w:rFonts w:ascii="Courier New" w:eastAsia="MS Mincho" w:hAnsi="Courier New" w:cs="Calibri Light"/>
      <w:color w:val="718EAC"/>
      <w:sz w:val="16"/>
      <w:szCs w:val="22"/>
      <w:lang w:eastAsia="ar-SA"/>
    </w:rPr>
  </w:style>
  <w:style w:type="character" w:customStyle="1" w:styleId="TEIlinguisticnum">
    <w:name w:val="TEI_linguistic_num"/>
    <w:uiPriority w:val="1"/>
    <w:qFormat/>
    <w:rsid w:val="009D4F13"/>
    <w:rPr>
      <w:color w:val="ED7D31" w:themeColor="accent2"/>
    </w:rPr>
  </w:style>
  <w:style w:type="paragraph" w:customStyle="1" w:styleId="TEIsectionauthor">
    <w:name w:val="TEI_section_author"/>
    <w:qFormat/>
    <w:rsid w:val="00105B3F"/>
    <w:rPr>
      <w:rFonts w:ascii="Calibri" w:eastAsia="MS Mincho" w:hAnsi="Calibri" w:cs="Calibri Light"/>
      <w:sz w:val="24"/>
      <w:szCs w:val="26"/>
      <w:lang w:eastAsia="ar-SA"/>
    </w:rPr>
  </w:style>
  <w:style w:type="paragraph" w:customStyle="1" w:styleId="TEIlinguisticend">
    <w:name w:val="TEI_linguistic_end"/>
    <w:qFormat/>
    <w:rsid w:val="002B691F"/>
    <w:rPr>
      <w:rFonts w:ascii="Courier New" w:eastAsia="MS Mincho" w:hAnsi="Courier New" w:cs="Calibri Light"/>
      <w:noProof/>
      <w:color w:val="718EAC"/>
      <w:sz w:val="16"/>
      <w:szCs w:val="22"/>
      <w:lang w:eastAsia="ar-SA"/>
    </w:rPr>
  </w:style>
  <w:style w:type="character" w:customStyle="1" w:styleId="TEIlinguisticlang-inline">
    <w:name w:val="TEI_linguistic_lang-inline"/>
    <w:basedOn w:val="Policepardfaut"/>
    <w:uiPriority w:val="1"/>
    <w:qFormat/>
    <w:rsid w:val="009D4F13"/>
    <w:rPr>
      <w:noProof/>
      <w:bdr w:val="none" w:sz="0" w:space="0" w:color="auto"/>
      <w:shd w:val="clear" w:color="auto" w:fill="FFF2CC" w:themeFill="accent4" w:themeFillTint="33"/>
    </w:rPr>
  </w:style>
  <w:style w:type="paragraph" w:customStyle="1" w:styleId="TEIlinguisticstart">
    <w:name w:val="TEI_linguistic_start"/>
    <w:qFormat/>
    <w:rsid w:val="002B691F"/>
    <w:rPr>
      <w:rFonts w:ascii="Courier New" w:eastAsia="MS Mincho" w:hAnsi="Courier New" w:cs="Calibri Light"/>
      <w:color w:val="718EAC"/>
      <w:sz w:val="16"/>
      <w:szCs w:val="22"/>
      <w:lang w:eastAsia="ar-SA"/>
    </w:rPr>
  </w:style>
  <w:style w:type="paragraph" w:customStyle="1" w:styleId="TEIarcheoIDmissionEFA">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05B3F"/>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05B3F"/>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05B3F"/>
    <w:pPr>
      <w:spacing w:before="120" w:line="240" w:lineRule="auto"/>
      <w:ind w:firstLine="340"/>
    </w:pPr>
    <w:rPr>
      <w:rFonts w:ascii="Minion Pro" w:eastAsia="MS Mincho" w:hAnsi="Minion Pro" w:cs="Cambria"/>
      <w:color w:val="BF8F00" w:themeColor="accent4" w:themeShade="BF"/>
      <w:szCs w:val="24"/>
      <w:lang w:eastAsia="ar-SA"/>
    </w:rPr>
  </w:style>
  <w:style w:type="paragraph" w:customStyle="1" w:styleId="TEIarcheoauthorities">
    <w:name w:val="TEI_archeo_authorities"/>
    <w:qFormat/>
    <w:rsid w:val="00105B3F"/>
    <w:pPr>
      <w:spacing w:before="120" w:line="240" w:lineRule="auto"/>
    </w:pPr>
    <w:rPr>
      <w:rFonts w:ascii="Minion Pro" w:eastAsia="Times New Roman" w:hAnsi="Minion Pro" w:cs="Arial MT"/>
      <w:sz w:val="24"/>
      <w:lang w:eastAsia="ar-SA"/>
    </w:rPr>
  </w:style>
  <w:style w:type="paragraph" w:customStyle="1" w:styleId="TEIarcheokeywords">
    <w:name w:val="TEI_archeo_keywords"/>
    <w:basedOn w:val="Normal"/>
    <w:autoRedefine/>
    <w:qFormat/>
    <w:rsid w:val="00105B3F"/>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05B3F"/>
    <w:pPr>
      <w:spacing w:after="200" w:line="276" w:lineRule="auto"/>
      <w:ind w:firstLine="284"/>
    </w:pPr>
    <w:rPr>
      <w:color w:val="538135" w:themeColor="accent6" w:themeShade="BF"/>
      <w:sz w:val="20"/>
    </w:rPr>
  </w:style>
  <w:style w:type="paragraph" w:customStyle="1" w:styleId="TEIarcheoIDpatriarche">
    <w:name w:val="TEI_archeo_IDpatriarche"/>
    <w:qFormat/>
    <w:rsid w:val="00105B3F"/>
    <w:pPr>
      <w:spacing w:before="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05B3F"/>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05B3F"/>
    <w:pPr>
      <w:spacing w:before="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05B3F"/>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05B3F"/>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05B3F"/>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05B3F"/>
  </w:style>
  <w:style w:type="paragraph" w:customStyle="1" w:styleId="TEIarcheofieldworkyears">
    <w:name w:val="TEI_archeo_fieldwork_years"/>
    <w:qFormat/>
    <w:rsid w:val="00105B3F"/>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05B3F"/>
    <w:rPr>
      <w:color w:val="943634"/>
    </w:rPr>
  </w:style>
  <w:style w:type="paragraph" w:customStyle="1" w:styleId="TEIarcheoauthority">
    <w:name w:val="TEI_archeo_authority"/>
    <w:qFormat/>
    <w:rsid w:val="00105B3F"/>
    <w:pPr>
      <w:spacing w:before="120" w:line="240" w:lineRule="auto"/>
    </w:pPr>
    <w:rPr>
      <w:rFonts w:ascii="Minion Pro" w:eastAsia="Times New Roman" w:hAnsi="Minion Pro" w:cs="Arial MT"/>
      <w:sz w:val="24"/>
      <w:lang w:eastAsia="ar-SA"/>
    </w:rPr>
  </w:style>
  <w:style w:type="character" w:customStyle="1" w:styleId="TEIarcheocoordinline">
    <w:name w:val="TEI_archeo_coord_inline"/>
    <w:uiPriority w:val="1"/>
    <w:qFormat/>
    <w:rsid w:val="00105B3F"/>
    <w:rPr>
      <w:rFonts w:ascii="Minion Pro" w:hAnsi="Minion Pro"/>
      <w:b/>
      <w:color w:val="E36C0A"/>
      <w:sz w:val="22"/>
    </w:rPr>
  </w:style>
  <w:style w:type="character" w:customStyle="1" w:styleId="TEIarcheoauthorrespinline">
    <w:name w:val="TEI_archeo_authorresp_inline"/>
    <w:uiPriority w:val="1"/>
    <w:qFormat/>
    <w:rsid w:val="00105B3F"/>
    <w:rPr>
      <w:color w:val="538135" w:themeColor="accent6" w:themeShade="BF"/>
    </w:rPr>
  </w:style>
  <w:style w:type="character" w:customStyle="1" w:styleId="TEIarcheoredacinline">
    <w:name w:val="TEI_archeo_redac_inline"/>
    <w:uiPriority w:val="1"/>
    <w:qFormat/>
    <w:rsid w:val="00105B3F"/>
    <w:rPr>
      <w:color w:val="943634"/>
    </w:rPr>
  </w:style>
  <w:style w:type="paragraph" w:customStyle="1" w:styleId="TEIarcheoIDmissionEFA0">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05B3F"/>
    <w:rPr>
      <w:color w:val="538135" w:themeColor="accent6" w:themeShade="BF"/>
    </w:rPr>
  </w:style>
  <w:style w:type="character" w:customStyle="1" w:styleId="TEIarcheoaffiliationinline">
    <w:name w:val="TEI_archeo_affiliation_inline"/>
    <w:uiPriority w:val="1"/>
    <w:qFormat/>
    <w:rsid w:val="00105B3F"/>
    <w:rPr>
      <w:color w:val="943634"/>
    </w:rPr>
  </w:style>
  <w:style w:type="paragraph" w:customStyle="1" w:styleId="TEIfigure-alttext">
    <w:name w:val="TEI_figure-alttext"/>
    <w:qFormat/>
    <w:rsid w:val="00105B3F"/>
    <w:rPr>
      <w:rFonts w:asciiTheme="majorHAnsi" w:eastAsia="MS Mincho" w:hAnsiTheme="majorHAnsi" w:cs="Calibri Light"/>
      <w:i/>
      <w:color w:val="A6A6A6" w:themeColor="background1" w:themeShade="A6"/>
      <w:sz w:val="22"/>
      <w:szCs w:val="26"/>
      <w:lang w:eastAsia="ar-SA"/>
    </w:rPr>
  </w:style>
  <w:style w:type="paragraph" w:customStyle="1" w:styleId="TEIlocalpara">
    <w:name w:val="TEI_localpara"/>
    <w:qFormat/>
    <w:rsid w:val="00105B3F"/>
    <w:pPr>
      <w:shd w:val="clear" w:color="auto" w:fill="FFF2CC" w:themeFill="accent4" w:themeFillTint="33"/>
    </w:pPr>
    <w:rPr>
      <w:rFonts w:asciiTheme="majorHAnsi" w:eastAsia="MS Mincho" w:hAnsiTheme="majorHAnsi" w:cs="Calibri Light" w:ascii="Garamond" w:hAnsi="Garamond"/>
      <w:sz w:val="22"/>
      <w:szCs w:val="26"/>
      <w:lang w:eastAsia="ar-SA"/>
    </w:rPr>
  </w:style>
  <w:style w:type="character" w:customStyle="1" w:styleId="TEIlocalcar">
    <w:name w:val="TEI_localcar"/>
    <w:uiPriority w:val="1"/>
    <w:qFormat/>
    <w:rsid w:val="00105B3F"/>
    <w:rPr>
      <w:bdr w:val="none" w:sz="0" w:space="0" w:color="auto"/>
      <w:shd w:val="clear" w:color="auto" w:fill="FFF2CC" w:themeFill="accent4" w:themeFillTint="33"/>
    </w:rPr>
  </w:style>
  <w:style w:type="paragraph" w:customStyle="1" w:styleId="TEIfigurealttext">
    <w:name w:val="TEI_figure_alttext"/>
    <w:qFormat/>
    <w:rsid w:val="00105B3F"/>
    <w:rPr>
      <w:rFonts w:asciiTheme="majorHAnsi" w:eastAsia="MS Mincho" w:hAnsiTheme="majorHAnsi" w:cs="Calibri Light"/>
      <w:i/>
      <w:color w:val="A6A6A6" w:themeColor="background1" w:themeShade="A6"/>
      <w:sz w:val="22"/>
      <w:szCs w:val="26"/>
      <w:lang w:eastAsia="ar-SA"/>
    </w:rPr>
  </w:style>
  <w:style w:type="character" w:customStyle="1" w:styleId="TEIauthoritybiographyCar">
    <w:name w:val="TEI_authority_biography Car"/>
    <w:basedOn w:val="Policepardfaut"/>
    <w:link w:val="TEIauthoritybiography"/>
    <w:rsid w:val="00105B3F"/>
    <w:rPr>
      <w:rFonts w:asciiTheme="majorHAnsi" w:eastAsia="MS Mincho" w:hAnsiTheme="majorHAnsi" w:cs="Calibri Light"/>
      <w:sz w:val="21"/>
      <w:szCs w:val="26"/>
      <w:lang w:eastAsia="ar-SA"/>
    </w:rPr>
  </w:style>
  <w:style w:type="paragraph" w:customStyle="1" w:styleId="TEIeditoredt">
    <w:name w:val="TEI_editor:edt"/>
    <w:link w:val="TEIeditoredtCar"/>
    <w:rsid w:val="00105B3F"/>
    <w:pPr>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05B3F"/>
    <w:rPr>
      <w:rFonts w:asciiTheme="majorHAnsi" w:eastAsia="MS Mincho" w:hAnsiTheme="majorHAnsi" w:cs="Calibri Light"/>
      <w:sz w:val="24"/>
      <w:szCs w:val="26"/>
      <w:lang w:eastAsia="ar-SA"/>
    </w:rPr>
  </w:style>
  <w:style w:type="paragraph" w:customStyle="1" w:styleId="TEIerratum">
    <w:name w:val="TEI_erratum"/>
    <w:qFormat/>
    <w:rsid w:val="00105B3F"/>
    <w:pPr>
      <w:spacing w:before="120"/>
    </w:pPr>
    <w:rPr>
      <w:rFonts w:asciiTheme="majorHAnsi" w:eastAsia="Times New Roman" w:hAnsiTheme="majorHAnsi" w:cs="Minion Pro"/>
      <w:sz w:val="22"/>
      <w:lang w:val="en-US" w:eastAsia="ar-SA"/>
    </w:rPr>
  </w:style>
  <w:style w:type="paragraph" w:customStyle="1" w:styleId="TEIkeywordsfr">
    <w:name w:val="TEI_keywords|fr"/>
    <w:basedOn w:val="TEIkeywords"/>
    <w:link w:val="TEIkeywordsfrCar"/>
    <w:rsid w:val="00105B3F"/>
    <w:rPr>
      <w:color w:val="000000" w:themeColor="text1"/>
      <w:kern w:val="1"/>
      <w:szCs w:val="32"/>
      <w:lang w:bidi="ar-LB"/>
    </w:rPr>
  </w:style>
  <w:style w:type="character" w:customStyle="1" w:styleId="TEIkeywordsfrCar">
    <w:name w:val="TEI_keywords|fr Car"/>
    <w:basedOn w:val="Policepardfaut"/>
    <w:link w:val="TEIkeywordsfr"/>
    <w:rsid w:val="00105B3F"/>
    <w:rPr>
      <w:rFonts w:asciiTheme="majorHAnsi" w:eastAsia="Times New Roman" w:hAnsiTheme="majorHAnsi" w:cs="Minion Pro"/>
      <w:color w:val="000000" w:themeColor="text1"/>
      <w:kern w:val="1"/>
      <w:sz w:val="22"/>
      <w:szCs w:val="32"/>
      <w:lang w:eastAsia="ar-SA" w:bidi="ar-LB"/>
    </w:rPr>
  </w:style>
  <w:style w:type="character" w:customStyle="1" w:styleId="TEIparagraphleadCar">
    <w:name w:val="TEI_paragraph_lead Car"/>
    <w:basedOn w:val="Policepardfaut"/>
    <w:link w:val="TEIparagraphlead"/>
    <w:rsid w:val="00105B3F"/>
    <w:rPr>
      <w:rFonts w:ascii="Calibri Light" w:eastAsia="SimSun" w:hAnsi="Calibri Light" w:cs="Arial"/>
      <w:color w:val="000000" w:themeColor="text1"/>
      <w:kern w:val="1"/>
      <w:sz w:val="22"/>
      <w:szCs w:val="32"/>
      <w:lang w:eastAsia="ar-LB" w:bidi="ar-LB"/>
    </w:rPr>
  </w:style>
  <w:style w:type="paragraph" w:customStyle="1" w:styleId="TEIlinguisticlabel">
    <w:name w:val="TEI_linguistic_label"/>
    <w:autoRedefine/>
    <w:qFormat/>
    <w:rsid w:val="009D4F13"/>
    <w:rPr>
      <w:rFonts w:asciiTheme="majorHAnsi" w:eastAsia="MS Mincho" w:hAnsiTheme="majorHAnsi" w:cs="Calibri Light"/>
      <w:noProof/>
      <w:szCs w:val="22"/>
      <w:lang w:eastAsia="fr-FR"/>
    </w:rPr>
  </w:style>
  <w:style w:type="paragraph" w:customStyle="1" w:styleId="TEIUEtype">
    <w:name w:val="TEI_UEtype"/>
    <w:qFormat/>
    <w:rsid w:val="00A00188"/>
    <w:pPr>
      <w:shd w:val="clear" w:color="auto" w:fill="718EAC"/>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3307D9"/>
    <w:rPr>
      <w:bdr w:val="none" w:sz="0" w:space="0" w:color="auto"/>
      <w:shd w:val="pct10" w:color="auto" w:fill="auto"/>
    </w:rPr>
  </w:style>
  <w:style w:type="paragraph" w:customStyle="1" w:styleId="TEIauthoritiesmail">
    <w:name w:val="TEI_authorities_mail"/>
    <w:qFormat/>
    <w:rsid w:val="00F4361F"/>
    <w:pPr>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F4361F"/>
    <w:rPr>
      <w:color w:val="806000" w:themeColor="accent4" w:themeShade="80"/>
    </w:rPr>
  </w:style>
  <w:style w:type="character" w:customStyle="1" w:styleId="TEImail-inline">
    <w:name w:val="TEI_mail-inline"/>
    <w:uiPriority w:val="1"/>
    <w:qFormat/>
    <w:rsid w:val="00F4361F"/>
    <w:rPr>
      <w:color w:val="806000" w:themeColor="accent4" w:themeShade="80"/>
    </w:rPr>
  </w:style>
  <w:style w:type="paragraph" w:customStyle="1" w:styleId="TEIauthoritiesmails">
    <w:name w:val="TEI_authorities_mails"/>
    <w:qFormat/>
    <w:rsid w:val="009D4E9A"/>
    <w:pPr>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C0C59"/>
    <w:pPr>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C377FC"/>
    <w:rPr>
      <w:rFonts w:ascii="Courier New" w:eastAsia="MS Mincho" w:hAnsi="Courier New" w:cs="Calibri Light"/>
      <w:color w:val="718EAC"/>
      <w:sz w:val="16"/>
      <w:szCs w:val="22"/>
      <w:lang w:eastAsia="ar-SA"/>
    </w:rPr>
  </w:style>
  <w:style w:type="paragraph" w:customStyle="1" w:styleId="TEIfigure-grpend">
    <w:name w:val="TEI_figure-grp_end"/>
    <w:qFormat/>
    <w:rsid w:val="00B34B35"/>
    <w:rPr>
      <w:rFonts w:ascii="Courier New" w:eastAsia="MS Mincho" w:hAnsi="Courier New" w:cs="Calibri Light"/>
      <w:color w:val="718EAC"/>
      <w:sz w:val="16"/>
      <w:szCs w:val="22"/>
      <w:lang w:eastAsia="ar-SA"/>
    </w:rPr>
  </w:style>
  <w:style w:type="paragraph" w:customStyle="1" w:styleId="TEIarcheoCHRreportlink">
    <w:name w:val="TEI_archeoCHR_reportlink"/>
    <w:qFormat/>
    <w:rsid w:val="00BF52FE"/>
    <w:pPr>
      <w:spacing w:before="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BF52FE"/>
    <w:pPr>
      <w:spacing w:before="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BF52FE"/>
    <w:pPr>
      <w:spacing w:after="200" w:line="276" w:lineRule="auto"/>
      <w:ind w:firstLine="284"/>
    </w:pPr>
    <w:rPr>
      <w:color w:val="538135" w:themeColor="accent6" w:themeShade="BF"/>
      <w:sz w:val="20"/>
    </w:rPr>
  </w:style>
  <w:style w:type="paragraph" w:customStyle="1" w:styleId="TEIarcheoARTteam">
    <w:name w:val="TEI_archeoART_team"/>
    <w:qFormat/>
    <w:rsid w:val="004959F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4959FC"/>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240A5"/>
    <w:pPr>
      <w:shd w:val="clear" w:color="auto" w:fill="BDD6EE"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4959FC"/>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4959FC"/>
    <w:pPr>
      <w:shd w:val="clear" w:color="auto" w:fill="7D99CE"/>
    </w:pPr>
    <w:rPr>
      <w:rFonts w:asciiTheme="majorHAnsi" w:eastAsia="MS Mincho" w:hAnsiTheme="majorHAnsi" w:cs="Calibri Light"/>
      <w:color w:val="404040" w:themeColor="text1" w:themeTint="BF"/>
      <w:sz w:val="22"/>
      <w:szCs w:val="22"/>
      <w:lang w:eastAsia="ar-SA"/>
    </w:rPr>
  </w:style>
  <w:style w:type="paragraph" w:customStyle="1" w:styleId="TEIarcheoARTholder">
    <w:name w:val="TEI_archeoART_holder"/>
    <w:qFormat/>
    <w:rsid w:val="004959FC"/>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22A56"/>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3C531B"/>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3C531B"/>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3C531B"/>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3C531B"/>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3C531B"/>
    <w:rPr>
      <w:rFonts w:asciiTheme="majorHAnsi" w:eastAsia="MS Mincho" w:hAnsiTheme="majorHAnsi" w:cs="Cambria"/>
      <w:sz w:val="24"/>
      <w:szCs w:val="24"/>
      <w:lang w:eastAsia="ar-SA"/>
    </w:rPr>
  </w:style>
  <w:style w:type="paragraph" w:customStyle="1" w:styleId="TEIarcheofieldworkyear">
    <w:name w:val="TEI_archeo_fieldwork_year"/>
    <w:qFormat/>
    <w:rsid w:val="00B13158"/>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B13158"/>
    <w:rPr>
      <w:rFonts w:asciiTheme="majorHAnsi" w:eastAsia="MS Mincho" w:hAnsiTheme="majorHAnsi" w:cs="Cambria"/>
      <w:sz w:val="24"/>
      <w:szCs w:val="26"/>
      <w:lang w:eastAsia="ar-SA"/>
    </w:rPr>
  </w:style>
  <w:style w:type="paragraph" w:customStyle="1" w:styleId="TEIarcheofieldworkmethod">
    <w:name w:val="TEI_archeo_fieldwork_method"/>
    <w:qFormat/>
    <w:rsid w:val="00CF2DBD"/>
    <w:rPr>
      <w:rFonts w:asciiTheme="majorHAnsi" w:eastAsia="MS Mincho" w:hAnsiTheme="majorHAnsi" w:cs="Cambria"/>
      <w:sz w:val="24"/>
      <w:szCs w:val="26"/>
      <w:lang w:eastAsia="ar-SA"/>
    </w:rPr>
  </w:style>
  <w:style w:type="paragraph" w:customStyle="1" w:styleId="TEIarcheoCHRfieldworkmethod">
    <w:name w:val="TEI_archeoCHR_fieldwork_method"/>
    <w:qFormat/>
    <w:rsid w:val="003F4124"/>
    <w:rPr>
      <w:rFonts w:asciiTheme="majorHAnsi" w:eastAsia="MS Mincho" w:hAnsiTheme="majorHAnsi" w:cs="Cambria"/>
      <w:sz w:val="24"/>
      <w:szCs w:val="26"/>
      <w:lang w:eastAsia="ar-SA"/>
    </w:rPr>
  </w:style>
  <w:style w:type="character" w:customStyle="1" w:styleId="TEIarcheoCHRnameedt">
    <w:name w:val="TEI_archeoCHR_name:edt"/>
    <w:uiPriority w:val="1"/>
    <w:qFormat/>
    <w:rsid w:val="00B823A9"/>
    <w:rPr>
      <w:bdr w:val="none" w:sz="0" w:space="0" w:color="auto"/>
      <w:shd w:val="clear" w:color="auto" w:fill="D9E2F3" w:themeFill="accent5" w:themeFillTint="33"/>
    </w:rPr>
  </w:style>
  <w:style w:type="character" w:customStyle="1" w:styleId="TEIarcheoCHRnamefld">
    <w:name w:val="TEI_archeoCHR_name:fld"/>
    <w:uiPriority w:val="1"/>
    <w:qFormat/>
    <w:rsid w:val="00B823A9"/>
    <w:rPr>
      <w:bdr w:val="none" w:sz="0" w:space="0" w:color="auto"/>
      <w:shd w:val="clear" w:color="auto" w:fill="8EAADB" w:themeFill="accent5" w:themeFillTint="99"/>
    </w:rPr>
  </w:style>
  <w:style w:type="character" w:customStyle="1" w:styleId="TEIarcheoCHRnameaut">
    <w:name w:val="TEI_archeoCHR_name:aut"/>
    <w:uiPriority w:val="1"/>
    <w:qFormat/>
    <w:rsid w:val="00B823A9"/>
    <w:rPr>
      <w:bdr w:val="none" w:sz="0" w:space="0" w:color="auto"/>
      <w:shd w:val="clear" w:color="auto" w:fill="BFBFBF" w:themeFill="background1" w:themeFillShade="BF"/>
    </w:rPr>
  </w:style>
  <w:style w:type="character" w:customStyle="1" w:styleId="TEIarcheoCHRnameautfld">
    <w:name w:val="TEI_archeoCHR_name:aut fld"/>
    <w:uiPriority w:val="1"/>
    <w:qFormat/>
    <w:rsid w:val="00B823A9"/>
    <w:rPr>
      <w:bdr w:val="none" w:sz="0" w:space="0" w:color="auto"/>
      <w:shd w:val="clear" w:color="auto" w:fill="ACB9CA" w:themeFill="text2" w:themeFillTint="66"/>
    </w:rPr>
  </w:style>
  <w:style w:type="paragraph" w:customStyle="1" w:styleId="TEIarcheoCHRauthority">
    <w:name w:val="TEI_archeoCHR_authority"/>
    <w:qFormat/>
    <w:rsid w:val="00EB5414"/>
    <w:pPr>
      <w:spacing w:before="120" w:line="240" w:lineRule="auto"/>
    </w:pPr>
    <w:rPr>
      <w:rFonts w:asciiTheme="majorHAnsi" w:eastAsia="Times New Roman" w:hAnsiTheme="majorHAnsi" w:cs="Arial MT"/>
      <w:sz w:val="24"/>
      <w:lang w:eastAsia="ar-SA"/>
    </w:rPr>
  </w:style>
  <w:style w:type="character" w:customStyle="1" w:styleId="TEIarcheoCHRaffinline">
    <w:name w:val="TEI_archeoCHR_aff_inline"/>
    <w:uiPriority w:val="1"/>
    <w:qFormat/>
    <w:rsid w:val="00BB5F9D"/>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Commons-publishing-Metopes.dotm</Template>
  <TotalTime>10</TotalTime>
  <Pages>1</Pages>
  <Words>0</Words>
  <Characters>1</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testeur</dc:creator>
  <cp:keywords/>
  <dc:description/>
  <cp:lastModifiedBy>Utilisateur Windows</cp:lastModifiedBy>
  <cp:revision>2119</cp:revision>
  <dcterms:created xsi:type="dcterms:W3CDTF">2018-02-23T16:13:00Z</dcterms:created>
  <dcterms:modified xsi:type="dcterms:W3CDTF">2025-01-29T09:50:00Z</dcterms:modified>
</cp:coreProperties>
</file>