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18A90AB" w14:textId="77777777" w:rsidR="00DE584F" w:rsidRDefault="00DE584F" w:rsidP="00001C1A">
      <w:pPr>
        <w:pStyle w:val="Titre"/>
        <w:rPr>
          <w:rFonts w:eastAsia="Times New Roman"/>
        </w:rPr>
      </w:pPr>
      <w:r>
        <w:rPr>
          <w:rFonts w:eastAsia="Times New Roman"/>
        </w:rPr>
        <w:t>Secrets de théâtre et héros « en déshabillé »,</w:t>
      </w:r>
      <w:r w:rsidR="003D6429">
        <w:rPr>
          <w:rFonts w:eastAsia="Times New Roman"/>
        </w:rPr>
        <w:t xml:space="preserve"> </w:t>
      </w:r>
      <w:r>
        <w:rPr>
          <w:rFonts w:eastAsia="Times New Roman"/>
        </w:rPr>
        <w:t>de la comédie des Lumières au drame romantique</w:t>
      </w:r>
    </w:p>
    <w:p w14:paraId="5F5A575F" w14:textId="77777777" w:rsidR="002B3AC0" w:rsidRPr="00054CD3" w:rsidRDefault="002B3AC0" w:rsidP="002B3AC0">
      <w:pPr>
        <w:pStyle w:val="TEIauthoraut"/>
      </w:pPr>
      <w:r>
        <w:t xml:space="preserve">Thibaut </w:t>
      </w:r>
      <w:r>
        <w:rPr>
          <w:smallCaps/>
        </w:rPr>
        <w:t>Julian</w:t>
      </w:r>
    </w:p>
    <w:p w14:paraId="40B0F2AB" w14:textId="27D6BBC4" w:rsidR="002B3AC0" w:rsidRDefault="002B3AC0" w:rsidP="002B3AC0">
      <w:pPr>
        <w:pStyle w:val="TEIauthorityaffiliation"/>
      </w:pPr>
      <w:r>
        <w:t>Université Lumière Lyon 2, IHRIM, UMR 5317, Lyon, France</w:t>
      </w:r>
    </w:p>
    <w:p w14:paraId="5ABEC0FF" w14:textId="23243FD1" w:rsidR="00DE584F" w:rsidRDefault="00DE584F" w:rsidP="00001C1A">
      <w:r>
        <w:t xml:space="preserve">Contrairement au tour de magie, le théâtre place le public dans la confidence : il n’est </w:t>
      </w:r>
      <w:r>
        <w:rPr>
          <w:i/>
        </w:rPr>
        <w:t>a priori</w:t>
      </w:r>
      <w:r>
        <w:t xml:space="preserve"> point de secret pour lui. En position de voyeur, il perçoit et déchiffre un ensemble de signes, activité qui contribue à son plaisir</w:t>
      </w:r>
      <w:r>
        <w:rPr>
          <w:vertAlign w:val="superscript"/>
        </w:rPr>
        <w:footnoteReference w:id="1"/>
      </w:r>
      <w:r>
        <w:t xml:space="preserve">. Les personnages, à l’inverse, ignorent tout ou partie des intentions, des « fourberies » et des secrets de leurs semblables : Tartuffe ne sait pas qu’Elmire a caché Orgon sous la table, Géronte que Scapin le bat enveloppé dans son sac, ni Britannicus que son entretien avec Junie est épié par Néron dans ce « lieu </w:t>
      </w:r>
      <w:r>
        <w:rPr>
          <w:i/>
        </w:rPr>
        <w:t>stupéfié</w:t>
      </w:r>
      <w:r>
        <w:rPr>
          <w:vertAlign w:val="superscript"/>
        </w:rPr>
        <w:footnoteReference w:id="2"/>
      </w:r>
      <w:r>
        <w:t> » que constitue la scène tragique racinienne. Dans l’univers socialement hiérarchisé que le théâtre réfléchit, aussi bien parmi le monde domestique de la comédie que dans l’univers curial qui organise traditionnellement la tragédie, l’action est mue par des conflits et des relations de pouvoir qui jouent sur des secrets plus ou moins bien gardés.</w:t>
      </w:r>
    </w:p>
    <w:p w14:paraId="62FEECCC" w14:textId="77777777" w:rsidR="00DE584F" w:rsidRDefault="00DE584F" w:rsidP="00001C1A">
      <w:r>
        <w:t xml:space="preserve">Ainsi, le travestissement est un </w:t>
      </w:r>
      <w:r>
        <w:rPr>
          <w:i/>
        </w:rPr>
        <w:t>leitmotiv</w:t>
      </w:r>
      <w:r>
        <w:t xml:space="preserve"> pour les personnages de grands dissimulés dès les premières comédies de Marivaux, comme </w:t>
      </w:r>
      <w:r>
        <w:rPr>
          <w:i/>
        </w:rPr>
        <w:t>Le Prince travesti</w:t>
      </w:r>
      <w:r>
        <w:t xml:space="preserve"> et </w:t>
      </w:r>
      <w:r>
        <w:rPr>
          <w:i/>
        </w:rPr>
        <w:t>La Fausse Suivante ou le Fourbe puni</w:t>
      </w:r>
      <w:r>
        <w:t xml:space="preserve"> (1724) : il s’agit alors de personnages strictement fictifs qui se camouflent pour mener une enquête, sans être détenteurs du pouvoir suprême dans la plupart des cas. Une exception : le Prince « tendre » de </w:t>
      </w:r>
      <w:r>
        <w:rPr>
          <w:i/>
        </w:rPr>
        <w:t>La Double Inconstance</w:t>
      </w:r>
      <w:r>
        <w:t xml:space="preserve"> (1723), d’abord spectateur de l’intrigue conduite par Flaminia, puis acteur déguisé en officier courtisant Silvia dès la scène 2 de l’acte II, qui lève le masque à l’acte III auprès de son rival Arlequin puis devant la proie qu’il a séduite : « Oui Silvia, je vous ai jusqu’ici caché mon rang, pour essayer de ne devoir votre tendresse qu’à la mienne : je ne voulais rien perdre du plaisir qu’elle pouvait me faire</w:t>
      </w:r>
      <w:r>
        <w:rPr>
          <w:vertAlign w:val="superscript"/>
        </w:rPr>
        <w:footnoteReference w:id="3"/>
      </w:r>
      <w:r>
        <w:t>. »</w:t>
      </w:r>
    </w:p>
    <w:p w14:paraId="68CF391B" w14:textId="77777777" w:rsidR="00DE584F" w:rsidRDefault="00DE584F" w:rsidP="00001C1A">
      <w:r>
        <w:lastRenderedPageBreak/>
        <w:t xml:space="preserve">Prolongeant ce processus de révélation, la comédie historique qui se développe dans la seconde moitié du </w:t>
      </w:r>
      <w:r>
        <w:rPr>
          <w:smallCaps/>
        </w:rPr>
        <w:t>xviii</w:t>
      </w:r>
      <w:r>
        <w:rPr>
          <w:vertAlign w:val="superscript"/>
        </w:rPr>
        <w:t>e</w:t>
      </w:r>
      <w:r>
        <w:t> siècle vient accentuer la transgression des normes politiques et des frontières entre le haut et le bas, l’histoire et la fiction : il n’est pas rare qu’un « grand », généralement de statut royal, se transporte dans un milieu bourgeois ou populaire, en décalage avec son code de référence. L’intrigue elle-même est en partie construite sur un secret assumé par cette autorité masquée, avant qu’elle ne se dévoile et soit « restaurée » en majesté. En outre, la cour apparaît comme un lieu tendu de pièges et hanté par les conspirateurs et les espions avec lesquels tout prince ou ministre doit ruser, en tirant profit des espaces et des accessoires que la scène lui fournit. Nous proposons ici de saisir le fil reliant la comédie historique des Lumières au drame romantique, à partir des espaces et de la dramaturgie du secret qui les sous-tend ; il s’agit d’en faire ressortir la permanence et d’en questionner les implications politiques entre 1760 et 1830, au cours d’une période qui, malgré les césures des régimes entre monarchie(s), république et Empire, est marquée par le mouvement conjoint et continu de la désacralisation de la royauté et du débordement de l’esthétique « classique ».</w:t>
      </w:r>
    </w:p>
    <w:p w14:paraId="43430AA1" w14:textId="77777777" w:rsidR="00DE584F" w:rsidRDefault="00DE584F" w:rsidP="00001C1A">
      <w:pPr>
        <w:pStyle w:val="Titre1"/>
      </w:pPr>
      <w:r>
        <w:t>Deux modèles : Collé et Beaumarchais</w:t>
      </w:r>
    </w:p>
    <w:p w14:paraId="384D1854" w14:textId="77777777" w:rsidR="00DE584F" w:rsidRDefault="00DE584F" w:rsidP="00001C1A">
      <w:r>
        <w:t>Dans le discours</w:t>
      </w:r>
      <w:r>
        <w:rPr>
          <w:i/>
        </w:rPr>
        <w:t xml:space="preserve"> De la poésie dramatique</w:t>
      </w:r>
      <w:r>
        <w:t xml:space="preserve"> (1758), Diderot postule que « La comédie veut être jouée en déshabillé. Il ne faut être sur la scène ni plus apprêté ni plus négligé que chez soi</w:t>
      </w:r>
      <w:r>
        <w:rPr>
          <w:vertAlign w:val="superscript"/>
        </w:rPr>
        <w:footnoteReference w:id="4"/>
      </w:r>
      <w:r>
        <w:t> »</w:t>
      </w:r>
      <w:r w:rsidR="005A3F17">
        <w:t>.</w:t>
      </w:r>
      <w:r>
        <w:t xml:space="preserve"> Le « déshabillé » est défini dans l’</w:t>
      </w:r>
      <w:r>
        <w:rPr>
          <w:i/>
        </w:rPr>
        <w:t xml:space="preserve">Encyclopédie </w:t>
      </w:r>
      <w:r>
        <w:t xml:space="preserve">comme un « terme fort en usage en France, et que les Anglais ont adopté depuis peu. Il signifie proprement une </w:t>
      </w:r>
      <w:r>
        <w:rPr>
          <w:i/>
        </w:rPr>
        <w:t>robe de chambre</w:t>
      </w:r>
      <w:r>
        <w:t>, et les autres choses dont on se couvre quand on est chez soi en négligé</w:t>
      </w:r>
      <w:r>
        <w:rPr>
          <w:vertAlign w:val="superscript"/>
        </w:rPr>
        <w:footnoteReference w:id="5"/>
      </w:r>
      <w:r>
        <w:t> »</w:t>
      </w:r>
      <w:r w:rsidR="005A3F17">
        <w:t>.</w:t>
      </w:r>
      <w:r>
        <w:t xml:space="preserve"> Cela annonce à un siècle de distance la série des </w:t>
      </w:r>
      <w:r>
        <w:rPr>
          <w:i/>
        </w:rPr>
        <w:t>Grands hommes en robe de chambre</w:t>
      </w:r>
      <w:r>
        <w:t>, Alexandre Dumas préférant à l’histoire des « héros drapés dans des habits de cérémonie », le « déshabillé » tiré des « notes empruntées aux valets de chambre</w:t>
      </w:r>
      <w:r>
        <w:rPr>
          <w:vertAlign w:val="superscript"/>
        </w:rPr>
        <w:footnoteReference w:id="6"/>
      </w:r>
      <w:r>
        <w:t> ». Mais Dumas n’aurait probablement pas repris les anecdotes sur Henri </w:t>
      </w:r>
      <w:r>
        <w:rPr>
          <w:smallCaps/>
        </w:rPr>
        <w:t>iv</w:t>
      </w:r>
      <w:r>
        <w:t>, Louis </w:t>
      </w:r>
      <w:r>
        <w:rPr>
          <w:smallCaps/>
        </w:rPr>
        <w:t>xiii</w:t>
      </w:r>
      <w:r>
        <w:t xml:space="preserve"> et Richelieu si le théâtre n’avait abondamment popularisé leur vie privée à la lisière de la sphère publique. C’est à Charles Collé, secrétaire et lecteur du duc d’Orléans, que revient la primeur de la représentation du « bon roi Henri » au théâtre à partir de</w:t>
      </w:r>
      <w:r w:rsidR="00E94C04">
        <w:t xml:space="preserve"> </w:t>
      </w:r>
      <w:r>
        <w:t xml:space="preserve">1762 dans </w:t>
      </w:r>
      <w:r>
        <w:rPr>
          <w:i/>
        </w:rPr>
        <w:t>La Partie de chasse de Henri </w:t>
      </w:r>
      <w:r w:rsidR="00E94C04">
        <w:rPr>
          <w:i/>
          <w:smallCaps/>
        </w:rPr>
        <w:t>IV</w:t>
      </w:r>
      <w:r>
        <w:t> ; c’est à lui aussi qu’est due la popularisation de la formule :</w:t>
      </w:r>
    </w:p>
    <w:p w14:paraId="3DF0A27E" w14:textId="77777777" w:rsidR="00DE584F" w:rsidRDefault="00DE584F" w:rsidP="00001C1A">
      <w:pPr>
        <w:pStyle w:val="TEIquote"/>
      </w:pPr>
      <w:r>
        <w:t>Le titre seul de la pièce annonce assez que je n’ai point eu la prétention de montrer dans une comédie le grand roi, le premier capitaine de son siècle, le politique équitable, le conquérant légitime</w:t>
      </w:r>
      <w:r w:rsidR="00677699">
        <w:t xml:space="preserve"> </w:t>
      </w:r>
      <w:r>
        <w:t xml:space="preserve">[…]. Ce </w:t>
      </w:r>
      <w:r>
        <w:lastRenderedPageBreak/>
        <w:t xml:space="preserve">sont seulement quelques instants de sa vie privée que j’ai saisis. C’est (si l’on veut me passer cette expression) le </w:t>
      </w:r>
      <w:r>
        <w:rPr>
          <w:i/>
        </w:rPr>
        <w:t>héros en déshabillé</w:t>
      </w:r>
      <w:r>
        <w:t xml:space="preserve"> que j’ai essayé de peindre</w:t>
      </w:r>
      <w:r>
        <w:rPr>
          <w:vertAlign w:val="superscript"/>
        </w:rPr>
        <w:footnoteReference w:id="7"/>
      </w:r>
      <w:r>
        <w:t>.</w:t>
      </w:r>
    </w:p>
    <w:p w14:paraId="5501ADA2" w14:textId="711DB044" w:rsidR="00DE584F" w:rsidRDefault="00DE584F" w:rsidP="00001C1A">
      <w:r>
        <w:t>L’intrigue de cette « comédie » imitée d’une pièce anglaise de Dodsley est très simple</w:t>
      </w:r>
      <w:r>
        <w:rPr>
          <w:vertAlign w:val="superscript"/>
        </w:rPr>
        <w:footnoteReference w:id="8"/>
      </w:r>
      <w:r>
        <w:t>. La structure en trois actes oppose sphère publique et sphère privée grâce à la variation des espaces</w:t>
      </w:r>
      <w:r>
        <w:rPr>
          <w:vertAlign w:val="superscript"/>
        </w:rPr>
        <w:footnoteReference w:id="9"/>
      </w:r>
      <w:r>
        <w:t> : le premier acte – ajout de Collé – se situe en journée au château de Fontainebleau, au milieu des intrigues de cour culminant avec la réconciliation entre Henri et son ministre Sully</w:t>
      </w:r>
      <w:r w:rsidR="00EF7316">
        <w:t>,</w:t>
      </w:r>
      <w:r>
        <w:t xml:space="preserve"> dont la réputation était ternie par des ragots, tandis que les deux suivants retracent l’égarement du roi à la chasse dans la forêt de Sénart et sa rencontre, à la nuit venue, avec le meunier Michau, qui le prend d’abord pour un braconnier puis offre l’hospitalité à celui qui se présente comme un officier de la Cour. Le roi, spectateur interne, jouit </w:t>
      </w:r>
      <w:r>
        <w:rPr>
          <w:i/>
        </w:rPr>
        <w:t>incognito</w:t>
      </w:r>
      <w:r>
        <w:t xml:space="preserve"> des éloges dont il fait l’objet, notamment lors du repas rustique du troisième acte où il déclare en aparté : « Quel plaisir ! Je vais donc avoir encore une fois la satisfaction d’être traité comme un homme ordinaire… de voir la nature humaine sans déguisement ; cela est charmant</w:t>
      </w:r>
      <w:r>
        <w:rPr>
          <w:vertAlign w:val="superscript"/>
        </w:rPr>
        <w:footnoteReference w:id="10"/>
      </w:r>
      <w:r>
        <w:t xml:space="preserve"> ! » La jonction des intrigues curiale et populaire est opérée par une amourette de paysans que le roi unit en libérant la fille des rets du libertin Conchiny. L’arrivée de Sully, Bellegarde et Conchiny révèle son identité et renforce l’admiration des personnages populaires. Comédie la plus jouée à la Comédie-Française derrière </w:t>
      </w:r>
      <w:r>
        <w:rPr>
          <w:i/>
        </w:rPr>
        <w:t>Le Mariage de Figaro</w:t>
      </w:r>
      <w:r>
        <w:t xml:space="preserve"> entre sa création publique en</w:t>
      </w:r>
      <w:r w:rsidR="00677699">
        <w:t xml:space="preserve"> </w:t>
      </w:r>
      <w:r>
        <w:t>1774 et</w:t>
      </w:r>
      <w:r w:rsidR="00677699">
        <w:t xml:space="preserve"> </w:t>
      </w:r>
      <w:r>
        <w:t>1793, elle connaît plus de cent représentations parisiennes durant la Révolution et des reprises dès</w:t>
      </w:r>
      <w:r w:rsidR="00677699">
        <w:t xml:space="preserve"> </w:t>
      </w:r>
      <w:r>
        <w:t>1814-1815, ainsi que de nombreuses imitations</w:t>
      </w:r>
      <w:r>
        <w:rPr>
          <w:vertAlign w:val="superscript"/>
        </w:rPr>
        <w:footnoteReference w:id="11"/>
      </w:r>
      <w:r>
        <w:t> ; cette popularité atteste du succès de l’humanisation du monarque, marquant selon Sophie Mentzel « l’acceptation d’une forme de désacralisation</w:t>
      </w:r>
      <w:r>
        <w:rPr>
          <w:vertAlign w:val="superscript"/>
        </w:rPr>
        <w:footnoteReference w:id="12"/>
      </w:r>
      <w:r>
        <w:t> », accentuée par la Révolution. Collé est donc la première référence convoquée par les créateurs de la « comédie historique », dont les recueils d’œuvres dramatiques paraissent sous la Restauration : Alexandre Duval</w:t>
      </w:r>
      <w:r>
        <w:rPr>
          <w:vertAlign w:val="superscript"/>
        </w:rPr>
        <w:footnoteReference w:id="13"/>
      </w:r>
      <w:r>
        <w:t xml:space="preserve"> (</w:t>
      </w:r>
      <w:r>
        <w:rPr>
          <w:i/>
        </w:rPr>
        <w:t>La Jeunesse de Richelieu ou le Lovelace français</w:t>
      </w:r>
      <w:r>
        <w:t>, coécrite avec Monvel, date de</w:t>
      </w:r>
      <w:r w:rsidR="00677699">
        <w:t xml:space="preserve"> </w:t>
      </w:r>
      <w:r>
        <w:t>1796) et Népomucène Lemercier (</w:t>
      </w:r>
      <w:r>
        <w:rPr>
          <w:i/>
        </w:rPr>
        <w:t>Pinto</w:t>
      </w:r>
      <w:r>
        <w:t>, créée en</w:t>
      </w:r>
      <w:r w:rsidR="00677699">
        <w:t xml:space="preserve"> </w:t>
      </w:r>
      <w:r>
        <w:lastRenderedPageBreak/>
        <w:t>1800, sera reprise à la Porte Saint-Martin en</w:t>
      </w:r>
      <w:r w:rsidR="00677699">
        <w:t xml:space="preserve"> </w:t>
      </w:r>
      <w:r>
        <w:t>1834</w:t>
      </w:r>
      <w:r w:rsidR="00677699">
        <w:rPr>
          <w:vertAlign w:val="superscript"/>
        </w:rPr>
        <w:footnoteReference w:id="14"/>
      </w:r>
      <w:r>
        <w:t>). Deux auteurs alors hostiles aux romantiques, mais que les expérimentations dramatiques rapprochent pourtant d’eux.</w:t>
      </w:r>
    </w:p>
    <w:p w14:paraId="3C6F0275" w14:textId="77777777" w:rsidR="00DE584F" w:rsidRDefault="00DE584F" w:rsidP="00001C1A">
      <w:r>
        <w:t>L’autre grand « précurseur</w:t>
      </w:r>
      <w:r>
        <w:rPr>
          <w:vertAlign w:val="superscript"/>
        </w:rPr>
        <w:footnoteReference w:id="15"/>
      </w:r>
      <w:r>
        <w:t> » est Beaumarchais qui, sans avoir puisé dans l’histoire, a popularisé avec sa trilogie de Figaro un ensemble de recettes à succès pour cacher des secrets dans une atmosphère libertine, en particulier grâce à ce que Jacques Scherer a appelé le « troisième lieu</w:t>
      </w:r>
      <w:r>
        <w:rPr>
          <w:vertAlign w:val="superscript"/>
        </w:rPr>
        <w:footnoteReference w:id="16"/>
      </w:r>
      <w:r>
        <w:t xml:space="preserve"> ». Cet espace en scène distinct des coulisses sert de cachette à la fois visible et dérobée aux regards – tels sont les pavillons du parc à l’acte V du </w:t>
      </w:r>
      <w:r>
        <w:rPr>
          <w:i/>
        </w:rPr>
        <w:t>Mariage de Figaro</w:t>
      </w:r>
      <w:r>
        <w:t xml:space="preserve"> ainsi que la scène du cabinet de toilette accolé à la chambre de la comtesse dans l’acte II, où Suzanne cache Chérubin déguisé en jeune fille, tandis que le comte Almaviva furieux, prêt à enfoncer la porte, s’attend à y trouver un amant – le page ayant entre-temps sauté par la fenêtre</w:t>
      </w:r>
      <w:r>
        <w:rPr>
          <w:vertAlign w:val="superscript"/>
        </w:rPr>
        <w:footnoteReference w:id="17"/>
      </w:r>
      <w:r>
        <w:t>. Dumas prétendra que la scène provient d’une infidélité faite à Henri </w:t>
      </w:r>
      <w:r w:rsidR="00890A2F">
        <w:rPr>
          <w:smallCaps/>
        </w:rPr>
        <w:t>IV</w:t>
      </w:r>
      <w:r>
        <w:t xml:space="preserve"> par Gabrielle d’Estrées chez elle avec le duc de Bellegarde, sorti par la fenêtre d’un cellier fermé à clé, rempli de pots de confiture</w:t>
      </w:r>
      <w:r>
        <w:rPr>
          <w:vertAlign w:val="superscript"/>
        </w:rPr>
        <w:footnoteReference w:id="18"/>
      </w:r>
      <w:r>
        <w:t>. Il s’en est certainement souvenu pour le dénouement d’</w:t>
      </w:r>
      <w:r>
        <w:rPr>
          <w:i/>
        </w:rPr>
        <w:t>Henri </w:t>
      </w:r>
      <w:r w:rsidR="00523E84">
        <w:rPr>
          <w:i/>
          <w:smallCaps/>
        </w:rPr>
        <w:t>III</w:t>
      </w:r>
      <w:r>
        <w:rPr>
          <w:i/>
        </w:rPr>
        <w:t xml:space="preserve"> et sa cour </w:t>
      </w:r>
      <w:r>
        <w:t>en</w:t>
      </w:r>
      <w:r w:rsidR="00523E84">
        <w:t xml:space="preserve"> </w:t>
      </w:r>
      <w:r>
        <w:t>1829 : Arthur, le « petit page » de la duchesse de Guise rappelle Chérubin, dont la charge érotique est transférée sur Saint-Mégrin, amant de la duchesse s’échappant lui aussi par la fenêtre avant d’être tué par les hommes de Guise</w:t>
      </w:r>
      <w:r>
        <w:rPr>
          <w:vertAlign w:val="superscript"/>
        </w:rPr>
        <w:footnoteReference w:id="19"/>
      </w:r>
      <w:r>
        <w:t>. Mais dès</w:t>
      </w:r>
      <w:r w:rsidR="00523E84">
        <w:t xml:space="preserve"> </w:t>
      </w:r>
      <w:r>
        <w:t xml:space="preserve">1800, </w:t>
      </w:r>
      <w:r>
        <w:rPr>
          <w:i/>
        </w:rPr>
        <w:t>Pinto ou la Journée d’une conspiration</w:t>
      </w:r>
      <w:r>
        <w:t xml:space="preserve"> déplaçait le procédé : le décor du troisième acte rappelle la scène du cabinet de la comtesse, mais par inversion, car la fenêtre de la chambre de la duchesse de Bragance sert à l’entrée par effraction nocturne de l’amiral espagnol Lopez Ozorio, croyant avoir reçu d’elle des marques de faveur… Détrompé et penaud, il lui révèle que son mari doit être arrêté le lendemain. Du reste, la comédie a souvent été comparée à </w:t>
      </w:r>
      <w:r>
        <w:rPr>
          <w:i/>
        </w:rPr>
        <w:t>La Folle Journée</w:t>
      </w:r>
      <w:r>
        <w:t>, et Lemercier fait de Beaumarchais plus un modèle d’émulation pour renouveler le comique qu’une source, alors même que le style et les monologues de Pinto ont plusieurs similitudes avec ceux de Figaro</w:t>
      </w:r>
      <w:r>
        <w:rPr>
          <w:vertAlign w:val="superscript"/>
        </w:rPr>
        <w:footnoteReference w:id="20"/>
      </w:r>
      <w:r>
        <w:t>. Parallèlement, l’ouverture de la pièce en extérieur durant la chasse fait signe vers la pièce de Collé, dont la formule est glosée par Lemercier pour préciser ses objectifs poétique et politique :</w:t>
      </w:r>
    </w:p>
    <w:p w14:paraId="5D8BAB0D" w14:textId="77777777" w:rsidR="00DE584F" w:rsidRDefault="00DE584F" w:rsidP="00001C1A">
      <w:pPr>
        <w:pStyle w:val="TEIquote"/>
      </w:pPr>
      <w:r>
        <w:lastRenderedPageBreak/>
        <w:t>[…] j’aperçus qu’en dépouillant ces éminents personnages du faux appareil qui les conserve, et qu’en appliquant à leurs vices et à leurs actions perverses la force du ridicule, il en résulterait un genre vrai, moral, instructif, qui apprendrait au peuple à démasquer la basse politique, et lui montrerait les grands en déshabillé, et, pour ainsi dire, mis à nu sous le fouet de la satire</w:t>
      </w:r>
      <w:r>
        <w:rPr>
          <w:vertAlign w:val="superscript"/>
        </w:rPr>
        <w:footnoteReference w:id="21"/>
      </w:r>
      <w:r>
        <w:t>.</w:t>
      </w:r>
    </w:p>
    <w:p w14:paraId="4B86CD60" w14:textId="77777777" w:rsidR="00DE584F" w:rsidRDefault="00DE584F" w:rsidP="00001C1A">
      <w:pPr>
        <w:pStyle w:val="Titre1"/>
      </w:pPr>
      <w:r>
        <w:t>Espaces ambivalents</w:t>
      </w:r>
    </w:p>
    <w:p w14:paraId="42FA0C9A" w14:textId="2C624942" w:rsidR="00DE584F" w:rsidRDefault="00DE584F" w:rsidP="00001C1A">
      <w:r>
        <w:t>Dans la comédie historique des Lumières, le dispositif du « déshabillé » permet une forme d’effraction douce ; cette expérience liminale symbolique se déroule souvent dans des cadres champêtres et festifs en deux étapes : le roi d’abord camouflé revient en majesté pour « dénouer » la pièce et ses secrets. C’est le cas dans deux comédies au tournant du siècle situées en extérieur, où François </w:t>
      </w:r>
      <w:r w:rsidR="00C87DE2">
        <w:rPr>
          <w:smallCaps/>
        </w:rPr>
        <w:t>I</w:t>
      </w:r>
      <w:r>
        <w:rPr>
          <w:vertAlign w:val="superscript"/>
        </w:rPr>
        <w:t>er</w:t>
      </w:r>
      <w:r>
        <w:t xml:space="preserve"> est souverain. Dans </w:t>
      </w:r>
      <w:r>
        <w:rPr>
          <w:i/>
        </w:rPr>
        <w:t>Le Chevalier sans peur et sans reproche ou les Amours de Bayard</w:t>
      </w:r>
      <w:r>
        <w:t xml:space="preserve"> (« comédie héroïque » de Monvel créée en</w:t>
      </w:r>
      <w:r w:rsidR="00C87DE2">
        <w:t xml:space="preserve"> </w:t>
      </w:r>
      <w:r>
        <w:t>1786, reprise en</w:t>
      </w:r>
      <w:r w:rsidR="00C87DE2">
        <w:t xml:space="preserve"> </w:t>
      </w:r>
      <w:r>
        <w:t xml:space="preserve">1808), dès la scène d’exposition, le roi venu chez la belle veuve </w:t>
      </w:r>
      <w:r w:rsidRPr="00F733FC">
        <w:t>M</w:t>
      </w:r>
      <w:r w:rsidRPr="00F733FC">
        <w:rPr>
          <w:vertAlign w:val="superscript"/>
        </w:rPr>
        <w:t>me</w:t>
      </w:r>
      <w:r w:rsidR="00F733FC">
        <w:t> </w:t>
      </w:r>
      <w:r>
        <w:t>de Rendan, courtisée par de nombreux prétendants de haut rang, demande la discrétion à un seigneur de sa cour : « Ah ! point de Majesté, je vous prie, Imbercourt. Souvenez-vous que je ne suis ici qu’un très petit particulier, un pauvre amant rebuté : ce n’est pas en matière de galanterie, et surtout quand on éprouve l’humiliation d’un refus, qu’il convient de faire le roi. Gardons l’incognito, mon ami</w:t>
      </w:r>
      <w:r>
        <w:rPr>
          <w:vertAlign w:val="superscript"/>
        </w:rPr>
        <w:footnoteReference w:id="22"/>
      </w:r>
      <w:r>
        <w:t xml:space="preserve">. » De fait, il s’éclipse très vite avant d’avoir pu rencontrer la dame et ne revient qu’au dernier acte pour présider très officiellement le duel du chevalier Bayard en lice contre son rival espagnol Sotomayor, tué en scène, avant que le roi débonnaire n’unisse les amants. Dans la comédie en deux actes et en vers mêlée d’ariettes de Sewrin et Chazet, </w:t>
      </w:r>
      <w:r>
        <w:rPr>
          <w:i/>
        </w:rPr>
        <w:t>François </w:t>
      </w:r>
      <w:r w:rsidR="004A5E0D">
        <w:rPr>
          <w:i/>
          <w:smallCaps/>
        </w:rPr>
        <w:t>I</w:t>
      </w:r>
      <w:r>
        <w:rPr>
          <w:i/>
          <w:vertAlign w:val="superscript"/>
        </w:rPr>
        <w:t>er</w:t>
      </w:r>
      <w:r>
        <w:rPr>
          <w:i/>
        </w:rPr>
        <w:t xml:space="preserve"> ou la Fête mystérieuse</w:t>
      </w:r>
      <w:r>
        <w:t xml:space="preserve"> (1807), le secret est plus durablement tu : le roi – substitué à Henri </w:t>
      </w:r>
      <w:r w:rsidR="008B75FC">
        <w:rPr>
          <w:smallCaps/>
        </w:rPr>
        <w:t>IV</w:t>
      </w:r>
      <w:r>
        <w:t>, interdit par la censure impériale</w:t>
      </w:r>
      <w:r>
        <w:rPr>
          <w:vertAlign w:val="superscript"/>
        </w:rPr>
        <w:footnoteReference w:id="23"/>
      </w:r>
      <w:r>
        <w:t> – n’apparaît en personne qu’au début du second acte, dans le parc d’un château à la tombée de la nuit, couvert d’un long manteau, avant la fête qu’il a secrètement ordonnée pour D’Aubigny (</w:t>
      </w:r>
      <w:r>
        <w:rPr>
          <w:i/>
        </w:rPr>
        <w:t>alias</w:t>
      </w:r>
      <w:r>
        <w:t xml:space="preserve"> D’Aubigné), ne dévoilant son statut de commanditaire qu’au seul intendant du château dans une lettre. Se pensant évincé par un rival, D’Aubigny « </w:t>
      </w:r>
      <w:r>
        <w:rPr>
          <w:highlight w:val="white"/>
        </w:rPr>
        <w:t>ne doute pas que la fête qu’on prépare ne soit toute entière pour son heureux compétiteur. Le Roi s’amuse quelque temps des alarmes du courtisan car il ne l’a exilé qu’en apparence, et lui conserve toujours une tendre affection. Il révoque ensuite l’exil, et reçoit son ami au milieu des fêtes, en lui annonçant que c’est pour lui seul qu’elles ont été préparées</w:t>
      </w:r>
      <w:r>
        <w:rPr>
          <w:highlight w:val="white"/>
          <w:vertAlign w:val="superscript"/>
        </w:rPr>
        <w:footnoteReference w:id="24"/>
      </w:r>
      <w:r>
        <w:rPr>
          <w:highlight w:val="white"/>
        </w:rPr>
        <w:t xml:space="preserve">. » L’entrée du roi est célébrée en </w:t>
      </w:r>
      <w:r>
        <w:rPr>
          <w:highlight w:val="white"/>
        </w:rPr>
        <w:lastRenderedPageBreak/>
        <w:t>fanfare dans un chœur vantant le paternalisme bienveillant de son règne, et la pièce se clôt par la célébration des fiançailles préparées à l’insu des amants</w:t>
      </w:r>
      <w:r>
        <w:rPr>
          <w:highlight w:val="white"/>
          <w:vertAlign w:val="superscript"/>
        </w:rPr>
        <w:footnoteReference w:id="25"/>
      </w:r>
      <w:r>
        <w:rPr>
          <w:highlight w:val="white"/>
        </w:rPr>
        <w:t>. Dans ces deux cas, ce sont moins les lieux qui sont évocateurs, que les deux temps de l’intrigue avec le retour du personnage sous deux facettes, passant du statut privé dans l’ombre à la lumière de la majesté acclamée.</w:t>
      </w:r>
    </w:p>
    <w:p w14:paraId="0DC24FEF" w14:textId="77777777" w:rsidR="00DE584F" w:rsidRDefault="00DE584F" w:rsidP="00001C1A">
      <w:r>
        <w:t>Pour autant, on l’a vu avec Collé, la comédie historique des Lumières s’affranchit souvent déjà de l’unité de lieu, proposant une alternance signifiante que l’on retrouve dans le drame romantique, qui joue avec la contiguïté et la succession des espaces sociaux (publics) et privés (intimes)</w:t>
      </w:r>
      <w:r>
        <w:rPr>
          <w:vertAlign w:val="superscript"/>
        </w:rPr>
        <w:footnoteReference w:id="26"/>
      </w:r>
      <w:r>
        <w:t xml:space="preserve">. Prenons </w:t>
      </w:r>
      <w:r>
        <w:rPr>
          <w:i/>
        </w:rPr>
        <w:t>Le Roi s’amuse</w:t>
      </w:r>
      <w:r>
        <w:t xml:space="preserve"> de Hugo : les actes I et III sont au Louvre avec les courtisans, alors que les actes II, IV et V se situent de nuit dans des lieux parisiens interlopes ou tenus secrets : la maison où le bouffon Triboulet cache sa fille Blanche dans le « recoin le plus désert du cul-de-sac Bussy</w:t>
      </w:r>
      <w:r>
        <w:rPr>
          <w:vertAlign w:val="superscript"/>
        </w:rPr>
        <w:footnoteReference w:id="27"/>
      </w:r>
      <w:r>
        <w:t> », puis le bouge de Saltabadil en bord de Seine, « lieu-Cour des Miracles » et « espace de la dérision » anti-tragique</w:t>
      </w:r>
      <w:r>
        <w:rPr>
          <w:vertAlign w:val="superscript"/>
        </w:rPr>
        <w:footnoteReference w:id="28"/>
      </w:r>
      <w:r>
        <w:t xml:space="preserve">, tout à la fois lupanar royal et lieu du crime commandité par son bouffon. De même, </w:t>
      </w:r>
      <w:r>
        <w:rPr>
          <w:i/>
        </w:rPr>
        <w:t>Henri </w:t>
      </w:r>
      <w:r w:rsidR="006C6FE3">
        <w:rPr>
          <w:i/>
          <w:smallCaps/>
        </w:rPr>
        <w:t>III</w:t>
      </w:r>
      <w:r>
        <w:rPr>
          <w:i/>
        </w:rPr>
        <w:t xml:space="preserve"> et sa cour</w:t>
      </w:r>
      <w:r>
        <w:t xml:space="preserve"> de Dumas offre « trois types de décorations pour cinq actes : deux espaces politiques (II, IV), deux lieux intimes (III, V) et un décor fantastique aux rémanences gothiques (I)</w:t>
      </w:r>
      <w:r>
        <w:rPr>
          <w:vertAlign w:val="superscript"/>
        </w:rPr>
        <w:footnoteReference w:id="29"/>
      </w:r>
      <w:r>
        <w:t>. »</w:t>
      </w:r>
    </w:p>
    <w:p w14:paraId="72812B15" w14:textId="77777777" w:rsidR="00DE584F" w:rsidRDefault="00DE584F" w:rsidP="00001C1A">
      <w:r>
        <w:t>Ce va-et-vient de tableaux contrastés emprunte aussi à la tradition de la comédie satirique visant des figures célèbres, qui s’est développée à la faveur de la Révolution en même temps que le mélodrame</w:t>
      </w:r>
      <w:r>
        <w:rPr>
          <w:vertAlign w:val="superscript"/>
        </w:rPr>
        <w:footnoteReference w:id="30"/>
      </w:r>
      <w:r>
        <w:t xml:space="preserve">. L’action du </w:t>
      </w:r>
      <w:r>
        <w:rPr>
          <w:i/>
        </w:rPr>
        <w:t>Lovelace français</w:t>
      </w:r>
      <w:r>
        <w:t>, comédie créée au Théâtre de la République en décembre</w:t>
      </w:r>
      <w:r w:rsidR="00EA5E2F">
        <w:t xml:space="preserve"> </w:t>
      </w:r>
      <w:r>
        <w:t>1796, se situe sous la Régence et les cinq actes font alterner trois lieux : « La scène se passe à Paris, chez M. Michelin [I, III et V], à l’hôtel de Richelieu [II], et dans la petite maison de ce dernier [IV]</w:t>
      </w:r>
      <w:r w:rsidR="00EA5E2F">
        <w:rPr>
          <w:vertAlign w:val="superscript"/>
        </w:rPr>
        <w:footnoteReference w:id="31"/>
      </w:r>
      <w:r w:rsidR="00EA5E2F">
        <w:t>.</w:t>
      </w:r>
      <w:r>
        <w:t> »</w:t>
      </w:r>
      <w:r w:rsidR="00EA5E2F">
        <w:t xml:space="preserve"> </w:t>
      </w:r>
      <w:r>
        <w:t>Le duc de Richelieu, « nouveau César [qui fait] marcher ensemble les affaires et les plaisirs</w:t>
      </w:r>
      <w:r>
        <w:rPr>
          <w:vertAlign w:val="superscript"/>
        </w:rPr>
        <w:footnoteReference w:id="32"/>
      </w:r>
      <w:r>
        <w:t xml:space="preserve"> », entreprend de séduire </w:t>
      </w:r>
      <w:r w:rsidRPr="00F733FC">
        <w:t>M</w:t>
      </w:r>
      <w:r w:rsidRPr="00F733FC">
        <w:rPr>
          <w:vertAlign w:val="superscript"/>
        </w:rPr>
        <w:t>me</w:t>
      </w:r>
      <w:r>
        <w:t xml:space="preserve"> Michelin qui lui résiste malgré son inclination ; il se fait passer pour son « valet de chambre » La Fosse lorsqu’il rend visite aux Michelin, dont la maison devient un terrain de chasse à l’insu du mari. Un dualisme fonctionnel distingue les domestiques du duc : si La Fosse s’occupe de ses menus plaisirs, </w:t>
      </w:r>
      <w:r>
        <w:lastRenderedPageBreak/>
        <w:t xml:space="preserve">Armand, épris de justice et ami de la famille, est son « secrétaire » politique depuis un an. On voit en effet l’homme à bonne fortune exercer son pouvoir sur les cœurs de maintes conquêtes éplorées et s’en servir pour obtenir des charges politiques. Après avoir fait </w:t>
      </w:r>
      <w:r w:rsidRPr="00F733FC">
        <w:t>conduire M</w:t>
      </w:r>
      <w:r w:rsidRPr="00F733FC">
        <w:rPr>
          <w:vertAlign w:val="superscript"/>
        </w:rPr>
        <w:t>me</w:t>
      </w:r>
      <w:r w:rsidRPr="00F733FC">
        <w:t> Michelin</w:t>
      </w:r>
      <w:r>
        <w:t xml:space="preserve"> contre son gré dans sa petite maison, où elle rencontre l’une de ses rivales (acte IV), le séducteur se repent et M. Michelin pardonne à sa femme : la « comédie » partage le code du mélodrame en soutenant l’idéologie du Directoire qui promeut la famille comme socle de la société bourgeoise, à l’opposé des valeurs aristocratiques libertines épinglées ici dans la débauche de la Régence et ses lieux de pouvoir, ternis par la cabale ou la dissimulation.</w:t>
      </w:r>
    </w:p>
    <w:p w14:paraId="605ECBB9" w14:textId="77777777" w:rsidR="00DE584F" w:rsidRDefault="00DE584F" w:rsidP="00001C1A">
      <w:r>
        <w:t xml:space="preserve">Outre ce principe d’alternance des milieux sociaux, les espaces du secret sont à proprement parler ambivalents, marqués par des tensions fonctionnelles (ouverture/fermeture ; refuge/prison) et des frontières poreuses, que symbolisent des interfaces tels que portes, fenêtres, balcons et murs fissurés. Les palais romantiques regorgent de passages secrets, comme celui qui relie dans </w:t>
      </w:r>
      <w:r>
        <w:rPr>
          <w:i/>
        </w:rPr>
        <w:t>Henri </w:t>
      </w:r>
      <w:r w:rsidR="00EA5E2F">
        <w:rPr>
          <w:i/>
          <w:smallCaps/>
        </w:rPr>
        <w:t>III</w:t>
      </w:r>
      <w:r>
        <w:rPr>
          <w:i/>
          <w:smallCaps/>
        </w:rPr>
        <w:t xml:space="preserve"> </w:t>
      </w:r>
      <w:r>
        <w:rPr>
          <w:i/>
        </w:rPr>
        <w:t>et sa cour</w:t>
      </w:r>
      <w:r>
        <w:t xml:space="preserve"> l’hôtel de Catherine de Médicis au cabinet de l’astrologue Côme Ruggieri, qui comporte une « alcôve cachée dans la boiserie » permettant à la reine de « voir et entendre au besoin, sans être vue</w:t>
      </w:r>
      <w:r>
        <w:rPr>
          <w:vertAlign w:val="superscript"/>
        </w:rPr>
        <w:footnoteReference w:id="33"/>
      </w:r>
      <w:r>
        <w:t> » ; ou bien chez Hugo le palais du podesta Angelo, où l’espion Homodei s’introduit dans la chambre de Catarina, femme du « tyran de Padoue », en surprenant une de ses domestiques au seuil de la « deuxième journée ». Les décors (donc la scène) matérialisent ainsi le secret et son renversement, tandis que les personnages sont sous surveillance, comme le traduit la reprise ironique par le ténébreux agent du Conseil des Dix :</w:t>
      </w:r>
    </w:p>
    <w:p w14:paraId="453788B4" w14:textId="7126BB24" w:rsidR="00DE584F" w:rsidRPr="00215E77" w:rsidRDefault="00DE584F" w:rsidP="00215E77">
      <w:pPr>
        <w:pStyle w:val="TEIquote"/>
        <w:contextualSpacing/>
        <w:jc w:val="left"/>
        <w:rPr>
          <w:smallCaps/>
        </w:rPr>
      </w:pPr>
      <w:r w:rsidRPr="00EF7316">
        <w:rPr>
          <w:smallCaps/>
        </w:rPr>
        <w:t>Reginella</w:t>
      </w:r>
      <w:r w:rsidR="00215E77">
        <w:rPr>
          <w:smallCaps/>
        </w:rPr>
        <w:br/>
      </w:r>
      <w:r>
        <w:t>[…] Mais, vois-tu, Dafne, je te recommande le silence dans ce maudit palais. Il n’y a que cette chambre où l’on soit en sûreté. Ah ! ici, du moins, on est tranquille. On peut dire tout ce qu’on veut. C’est le seul endroit où, quand on parle, on soit sûr de ne pas être écouté.</w:t>
      </w:r>
      <w:r w:rsidR="00215E77">
        <w:rPr>
          <w:smallCaps/>
        </w:rPr>
        <w:br/>
      </w:r>
      <w:r>
        <w:rPr>
          <w:i/>
        </w:rPr>
        <w:t>Pendant qu’elle prononce ces derniers mots, un dressoir adossé au mur à droite tourne sur lui-même, donne passage à Homodei sans qu’elle s’en aperçoive, et se referme</w:t>
      </w:r>
      <w:r>
        <w:t>.</w:t>
      </w:r>
      <w:r w:rsidR="00215E77">
        <w:rPr>
          <w:smallCaps/>
        </w:rPr>
        <w:br/>
      </w:r>
      <w:r w:rsidRPr="00EF7316">
        <w:rPr>
          <w:smallCaps/>
        </w:rPr>
        <w:t>Homodei</w:t>
      </w:r>
      <w:r w:rsidR="00215E77">
        <w:rPr>
          <w:smallCaps/>
        </w:rPr>
        <w:br/>
      </w:r>
      <w:r>
        <w:t>C’est le seul endroit où quand on parle on soit sûr de ne pas être écouté</w:t>
      </w:r>
      <w:r>
        <w:rPr>
          <w:vertAlign w:val="superscript"/>
        </w:rPr>
        <w:footnoteReference w:id="34"/>
      </w:r>
      <w:r>
        <w:t>.</w:t>
      </w:r>
    </w:p>
    <w:p w14:paraId="341FFE3E" w14:textId="77777777" w:rsidR="00DE584F" w:rsidRDefault="00DE584F" w:rsidP="00001C1A">
      <w:pPr>
        <w:rPr>
          <w:highlight w:val="white"/>
        </w:rPr>
      </w:pPr>
      <w:r w:rsidRPr="00294B91">
        <w:t xml:space="preserve">Ce que l’on croit refuge est en fait piège et laboratoire, où la parole et les actions des personnages sont épiées. Ce dispositif voyeuriste voire panoptique était déjà central dans des pièces de Marivaux (dont </w:t>
      </w:r>
      <w:r w:rsidRPr="00294B91">
        <w:rPr>
          <w:i/>
        </w:rPr>
        <w:t>La Dispute</w:t>
      </w:r>
      <w:r w:rsidRPr="00294B91">
        <w:t xml:space="preserve"> fournit la forme de mise en abyme la plus explicite), ainsi</w:t>
      </w:r>
      <w:r>
        <w:t xml:space="preserve"> que dans les comédies de </w:t>
      </w:r>
      <w:r>
        <w:lastRenderedPageBreak/>
        <w:t>conspiration de Lemercier, qui prétend avoir mis « les mémoires en action » pour exhiber « la vicieuse conduite des grandes affaires d’État</w:t>
      </w:r>
      <w:r>
        <w:rPr>
          <w:vertAlign w:val="superscript"/>
        </w:rPr>
        <w:footnoteReference w:id="35"/>
      </w:r>
      <w:r>
        <w:t xml:space="preserve"> ». C’est alors la ville entière, lieu de l’action politique excédant la scène comme Florence dans </w:t>
      </w:r>
      <w:r>
        <w:rPr>
          <w:i/>
        </w:rPr>
        <w:t>Lorenzaccio</w:t>
      </w:r>
      <w:r>
        <w:rPr>
          <w:vertAlign w:val="superscript"/>
        </w:rPr>
        <w:footnoteReference w:id="36"/>
      </w:r>
      <w:r>
        <w:t xml:space="preserve">, qui se trouve sous surveillance. Dans </w:t>
      </w:r>
      <w:r>
        <w:rPr>
          <w:i/>
        </w:rPr>
        <w:t xml:space="preserve">Richelieu ou la Journée des dupes </w:t>
      </w:r>
      <w:r>
        <w:t>(écrite en</w:t>
      </w:r>
      <w:r w:rsidR="003B74AE">
        <w:t xml:space="preserve"> </w:t>
      </w:r>
      <w:r>
        <w:t>1804 mais créée en</w:t>
      </w:r>
      <w:r w:rsidR="003B74AE">
        <w:t xml:space="preserve"> </w:t>
      </w:r>
      <w:r>
        <w:t>1835 seulement</w:t>
      </w:r>
      <w:r>
        <w:rPr>
          <w:vertAlign w:val="superscript"/>
        </w:rPr>
        <w:footnoteReference w:id="37"/>
      </w:r>
      <w:r>
        <w:t>), la conspiration des partisans de la reine-mère échoue, ce que traduisent les quatre derniers actes situés dans le foyer du pouvoir</w:t>
      </w:r>
      <w:r w:rsidR="003B74AE">
        <w:t>,</w:t>
      </w:r>
      <w:r>
        <w:t xml:space="preserve"> les palais du Louvre et du Luxembourg</w:t>
      </w:r>
      <w:r w:rsidR="003B74AE">
        <w:t> ;</w:t>
      </w:r>
      <w:r>
        <w:t xml:space="preserve"> seul le premier acte peint « une rue voisine du couvent du Val de Grâce », lieu de réunion nocturne des comploteurs. Or le capucin Jacques, mouche du cardinal, suit leurs traces</w:t>
      </w:r>
      <w:r>
        <w:rPr>
          <w:vertAlign w:val="superscript"/>
        </w:rPr>
        <w:footnoteReference w:id="38"/>
      </w:r>
      <w:r>
        <w:t>, et le « grand orage » déclenché par Marie de Médicis au 4</w:t>
      </w:r>
      <w:r>
        <w:rPr>
          <w:vertAlign w:val="superscript"/>
        </w:rPr>
        <w:t>e</w:t>
      </w:r>
      <w:r>
        <w:t xml:space="preserve"> acte confirmera </w:t>
      </w:r>
      <w:r>
        <w:rPr>
          <w:i/>
        </w:rPr>
        <w:t>in fine</w:t>
      </w:r>
      <w:r>
        <w:t xml:space="preserve"> le pouvoir du cardinal et la disgrâce de la reine-mère. À l’inverse, dans </w:t>
      </w:r>
      <w:r>
        <w:rPr>
          <w:i/>
        </w:rPr>
        <w:t>Pinto</w:t>
      </w:r>
      <w:r>
        <w:t>, la conjuration contre le pouvoir espagnol de Philippe </w:t>
      </w:r>
      <w:r w:rsidR="003B74AE">
        <w:rPr>
          <w:smallCaps/>
        </w:rPr>
        <w:t>II</w:t>
      </w:r>
      <w:r>
        <w:t xml:space="preserve"> aboutit à la révolution portugaise. Au terme du conciliabule matinal dans la forêt (acte I), le secrétaire du duc de Bragance, héros plébéien éponyme, ordonne aux seigneurs la plus grande dissimulation avant leur dispersion : « Vous, par le bois. Vous, le long du village. Vous, un fusil en main, chassant l’oiseau. Passez le Tage séparément ; surtout l’air désoccupé, le sourire à la bouche, le front libre, et point de ces rides de conspirateur</w:t>
      </w:r>
      <w:r>
        <w:rPr>
          <w:vertAlign w:val="superscript"/>
        </w:rPr>
        <w:footnoteReference w:id="39"/>
      </w:r>
      <w:r>
        <w:t>. » L’acte II déplace la scène dans « un salon du palais de la vice-reine à Lisbonne », au cœur du pouvoir et sous le regard soupçonneux du secrétaire d’État Vasconcellos. Tel Figaro, c’est par la ruse et le masque que Pinto détrompe les bruits de conjuration parvenus aux oreilles de la vice-reine : « Il me faut tout voir, sans avoir l’air de regarder, caresser ceux que j’abhorre, perdre un temps qui me presse, causer et folâtrer quand un serpent me ronge. […]</w:t>
      </w:r>
      <w:r w:rsidR="00963CE2">
        <w:t xml:space="preserve"> </w:t>
      </w:r>
      <w:r>
        <w:t>On vient. Reprenons le masque</w:t>
      </w:r>
      <w:r>
        <w:rPr>
          <w:vertAlign w:val="superscript"/>
        </w:rPr>
        <w:footnoteReference w:id="40"/>
      </w:r>
      <w:r>
        <w:t>. » Le ralliement secret des conjurés jurant la mort des Castillans a lieu à l’aube chez Pinto (acte IV), tandis que le dernier acte nous ramène au palais où les Espagnols et leurs partisans sont finalement assaillis. Le motif du secret, moteur de l’intrigue politique, investit un espace qui déborde la scène et franchit le quatrième mur de la fiction, pour renvoyer à la cité (lieu du réel) dans laquelle le théâtre forme une sorte d’îlot.</w:t>
      </w:r>
    </w:p>
    <w:p w14:paraId="464DE40C" w14:textId="77777777" w:rsidR="00DE584F" w:rsidRDefault="00DE584F" w:rsidP="00001C1A">
      <w:pPr>
        <w:pStyle w:val="Titre1"/>
      </w:pPr>
      <w:r>
        <w:lastRenderedPageBreak/>
        <w:t>Accessoires réversibles</w:t>
      </w:r>
    </w:p>
    <w:p w14:paraId="6CDD0451" w14:textId="77777777" w:rsidR="00DE584F" w:rsidRDefault="00DE584F" w:rsidP="00001C1A">
      <w:r>
        <w:t>L’ambivalence des espaces dans les pièces évoquées est accentuée par des accessoires qui étoffent le décor ou servent de support au partage du secret, c’est-à-dire à sa divulgation par interception ou effraction. Trois motifs sont particulièrement saillants : la lettre, l’armoire et le lit.</w:t>
      </w:r>
    </w:p>
    <w:p w14:paraId="75FB8EA2" w14:textId="77777777" w:rsidR="00DE584F" w:rsidRDefault="00DE584F" w:rsidP="00001C1A">
      <w:r>
        <w:t xml:space="preserve">La lettre est ce par quoi le secret réservé à un destinataire restreint est trahi quand elle est interceptée. Toute l’intrigue de </w:t>
      </w:r>
      <w:r>
        <w:rPr>
          <w:i/>
        </w:rPr>
        <w:t>La Mère coupable</w:t>
      </w:r>
      <w:r>
        <w:t xml:space="preserve"> repose sur le poids du passé de la Comtesse, conservé dans son écrin à double-fond que Bégearss révèle habilement au comte :</w:t>
      </w:r>
    </w:p>
    <w:p w14:paraId="4C89AEB5" w14:textId="04521270" w:rsidR="00DE584F" w:rsidRDefault="00DE584F" w:rsidP="00764DAC">
      <w:pPr>
        <w:pStyle w:val="TEIquote"/>
        <w:contextualSpacing/>
        <w:jc w:val="left"/>
      </w:pPr>
      <w:r>
        <w:rPr>
          <w:smallCaps/>
        </w:rPr>
        <w:t>Bégearss</w:t>
      </w:r>
      <w:r>
        <w:t xml:space="preserve"> </w:t>
      </w:r>
      <w:r>
        <w:rPr>
          <w:i/>
        </w:rPr>
        <w:t>prend l’écrin</w:t>
      </w:r>
      <w:r>
        <w:t> : Monsieur, au nom du véritable honneur…</w:t>
      </w:r>
      <w:r w:rsidR="00764DAC">
        <w:br/>
      </w:r>
      <w:r>
        <w:rPr>
          <w:smallCaps/>
        </w:rPr>
        <w:t>Le Comte</w:t>
      </w:r>
      <w:r>
        <w:t xml:space="preserve"> </w:t>
      </w:r>
      <w:r>
        <w:rPr>
          <w:i/>
        </w:rPr>
        <w:t>a enlevé le bracelet de l’écrin</w:t>
      </w:r>
      <w:r>
        <w:t> : Ah ! mon cher portrait, je te tiens ! J’aurai du moins la joie d’en orner le bras de ma fille, cent fois plus digne de le porter…</w:t>
      </w:r>
      <w:r w:rsidR="00764DAC">
        <w:br/>
      </w:r>
      <w:r>
        <w:rPr>
          <w:i/>
        </w:rPr>
        <w:t>Il y substitue l’autre</w:t>
      </w:r>
      <w:r>
        <w:t>.</w:t>
      </w:r>
      <w:r w:rsidR="00764DAC">
        <w:br/>
      </w:r>
      <w:r>
        <w:rPr>
          <w:smallCaps/>
        </w:rPr>
        <w:t>Bégearss</w:t>
      </w:r>
      <w:r>
        <w:t xml:space="preserve"> </w:t>
      </w:r>
      <w:r>
        <w:rPr>
          <w:i/>
        </w:rPr>
        <w:t>feint de s’y opposer. Ils tirent chacun l’écrin de leur côté ; Bégearss fait ouvrir adroitement le double fond et dit avec colère</w:t>
      </w:r>
      <w:r>
        <w:t> : Ah ! voilà la boîte brisée !</w:t>
      </w:r>
      <w:r w:rsidR="00764DAC">
        <w:br/>
      </w:r>
      <w:r>
        <w:rPr>
          <w:smallCaps/>
        </w:rPr>
        <w:t>Le Comte</w:t>
      </w:r>
      <w:r>
        <w:t xml:space="preserve"> </w:t>
      </w:r>
      <w:r>
        <w:rPr>
          <w:i/>
        </w:rPr>
        <w:t>regarde</w:t>
      </w:r>
      <w:r>
        <w:t> : Non ; ce n’est qu’un secret</w:t>
      </w:r>
      <w:r>
        <w:rPr>
          <w:vertAlign w:val="superscript"/>
        </w:rPr>
        <w:footnoteReference w:id="41"/>
      </w:r>
      <w:r>
        <w:t xml:space="preserve"> que le débat a fait ouvrir. Ce double fond renferme des papiers</w:t>
      </w:r>
      <w:r>
        <w:rPr>
          <w:vertAlign w:val="superscript"/>
        </w:rPr>
        <w:footnoteReference w:id="42"/>
      </w:r>
      <w:r>
        <w:t> !</w:t>
      </w:r>
    </w:p>
    <w:p w14:paraId="79C6AE03" w14:textId="77777777" w:rsidR="00DE584F" w:rsidRDefault="00DE584F" w:rsidP="00117E47">
      <w:r>
        <w:t>Surgit ainsi le fantôme de Chérubin, à travers la lecture frénétique par le comte de sa lettre d’adieu ensanglantée, que la comtesse a fétichisée durant vingt ans et que Bégearss, pour camoufler sa divulgation, prétend faire disparaître en lui imposant de brûler la liasse (III,</w:t>
      </w:r>
      <w:r w:rsidR="00F75DF0">
        <w:t xml:space="preserve"> </w:t>
      </w:r>
      <w:r>
        <w:t>6). Mais ayant conservé la lettre qui révèle la culpabilité de sa femme, le Comte revient dévoiler le secret dont il a connaissance dans un tableau-comble d’une rare violence, qui inverse la « surprise » nocturne du page vingt ans plus tôt en métaphorisant un viol jusqu’au délire et à l’évanouissement de la Comtesse, à mesure que le mari fait entendre la voix de l’amant défunt (IV,</w:t>
      </w:r>
      <w:r w:rsidR="00F75DF0">
        <w:t xml:space="preserve"> </w:t>
      </w:r>
      <w:r>
        <w:t>13). Cet artifice a probablement inspiré Alexandre Duval pour sa « comédie en cinq actes et en prose</w:t>
      </w:r>
      <w:r>
        <w:rPr>
          <w:vertAlign w:val="superscript"/>
        </w:rPr>
        <w:footnoteReference w:id="43"/>
      </w:r>
      <w:r>
        <w:t xml:space="preserve"> » </w:t>
      </w:r>
      <w:r>
        <w:rPr>
          <w:i/>
        </w:rPr>
        <w:t>Struensé ou le Ministre d’État</w:t>
      </w:r>
      <w:r>
        <w:t xml:space="preserve"> (</w:t>
      </w:r>
      <w:r>
        <w:rPr>
          <w:i/>
        </w:rPr>
        <w:t>ca</w:t>
      </w:r>
      <w:r>
        <w:t xml:space="preserve">. 1802, non représentée), inspirée de l’histoire de Johann Friedrich Struensee, médecin nommé ministre du roi de Danemark après </w:t>
      </w:r>
      <w:r>
        <w:lastRenderedPageBreak/>
        <w:t>avoir guéri la reine dont il est secrètement amoureux, qui finit décapité à Copenhague en avril</w:t>
      </w:r>
      <w:r w:rsidR="00D04DC2">
        <w:t xml:space="preserve"> </w:t>
      </w:r>
      <w:r>
        <w:t>1772. Dans la pièce de Duval</w:t>
      </w:r>
      <w:r>
        <w:rPr>
          <w:vertAlign w:val="superscript"/>
        </w:rPr>
        <w:footnoteReference w:id="44"/>
      </w:r>
      <w:r>
        <w:t>,</w:t>
      </w:r>
      <w:r>
        <w:rPr>
          <w:vertAlign w:val="superscript"/>
        </w:rPr>
        <w:t xml:space="preserve"> </w:t>
      </w:r>
      <w:r>
        <w:t xml:space="preserve">comme plus tard dans </w:t>
      </w:r>
      <w:r>
        <w:rPr>
          <w:i/>
        </w:rPr>
        <w:t>Ruy Blas</w:t>
      </w:r>
      <w:r>
        <w:t>, le ministre parvenu est en butte à l’hostilité méprisante des grands et du ministre de la police Hocborn, qui parviennent à le disgracier en interceptant une lettre de la reine Caroline. La reine-mère Julianne force sa bru à lui lire son message</w:t>
      </w:r>
      <w:r>
        <w:rPr>
          <w:vertAlign w:val="superscript"/>
        </w:rPr>
        <w:footnoteReference w:id="45"/>
      </w:r>
      <w:r>
        <w:t>, avant de le communiquer par ruse à son fils. Alors que tous les actes ont pour cadre le palais, le roi n’est qu’un actant de l’ombre, majoritairement absent sauf par intermittence dans le hors-scène à l’acte IV, où il s’entretient avec son ministre dans son cabinet, d’où émanent ses ordres. L’objet théâtral qu’est la lettre – et sa variante, le billet – constituent généralement une réduction métonymique de l’action et participent d’une économie du secret, avec une valeur d’usage et une valeur d’échange</w:t>
      </w:r>
      <w:r>
        <w:rPr>
          <w:vertAlign w:val="superscript"/>
        </w:rPr>
        <w:footnoteReference w:id="46"/>
      </w:r>
      <w:r>
        <w:t> : ils circulent, cachent et dévoilent, ils servent et perdent les personnages, comme Ruy Blas manipulé dès l’acte I par Don Salluste qui lui fait rédiger deux billets visant, l’un à compromettre la reine en la convoquant à un entretien secret (acte V), l’autre à révéler sa propre identité de laquais en livrée cachée sous son manteau de velours écarlate avec la Toison d’or. Salluste est la « main » qui maîtrise l’espace comme le destin de son valet :</w:t>
      </w:r>
    </w:p>
    <w:p w14:paraId="30583396" w14:textId="4C162662" w:rsidR="00DE584F" w:rsidRDefault="00DE584F" w:rsidP="008A698A">
      <w:pPr>
        <w:pStyle w:val="TEIverse"/>
      </w:pPr>
      <w:r>
        <w:t>Mais lui ! par quelle porte, ô Dieu, par quelle trappe,</w:t>
      </w:r>
      <w:r w:rsidR="00764DAC">
        <w:br/>
      </w:r>
      <w:r>
        <w:t>Par où va-t-il venir, l’homme de trahison ?</w:t>
      </w:r>
      <w:r w:rsidR="00764DAC">
        <w:br/>
      </w:r>
      <w:r>
        <w:t>Dans ma vie et dans moi, comme en cette maison,</w:t>
      </w:r>
      <w:r w:rsidR="00764DAC">
        <w:br/>
      </w:r>
      <w:r>
        <w:t>Il est maître. Il en peut arracher les dorures.</w:t>
      </w:r>
      <w:r w:rsidR="00764DAC">
        <w:br/>
      </w:r>
      <w:r>
        <w:t>Il a toutes les clefs de toutes les serrures.</w:t>
      </w:r>
      <w:r w:rsidR="00764DAC">
        <w:br/>
      </w:r>
      <w:r>
        <w:t>Il peut entrer, sortir, dans l’ombre s’approcher,</w:t>
      </w:r>
      <w:r w:rsidR="00764DAC">
        <w:br/>
      </w:r>
      <w:r>
        <w:t>Et marcher sur mon cœur comme sur ce plancher</w:t>
      </w:r>
      <w:r>
        <w:rPr>
          <w:vertAlign w:val="superscript"/>
        </w:rPr>
        <w:footnoteReference w:id="47"/>
      </w:r>
      <w:r>
        <w:t>.</w:t>
      </w:r>
    </w:p>
    <w:p w14:paraId="5400AC8D" w14:textId="77777777" w:rsidR="00DE584F" w:rsidRDefault="00DE584F" w:rsidP="00117E47">
      <w:r w:rsidRPr="005E3C36">
        <w:t>L’armoire, ou toute cachette comparable (alcôve, statue…), constitue un autre artifice significatif dans les pièces historiques. Les drames de Hugo tirent profit des « jeux de cache-cache propres au mélodrame et au vaudeville</w:t>
      </w:r>
      <w:r w:rsidRPr="005E3C36">
        <w:rPr>
          <w:vertAlign w:val="superscript"/>
        </w:rPr>
        <w:footnoteReference w:id="48"/>
      </w:r>
      <w:r w:rsidRPr="005E3C36">
        <w:t> », à l’instar de l’entrée par ruse de François </w:t>
      </w:r>
      <w:r w:rsidR="00907CB4">
        <w:rPr>
          <w:smallCaps/>
        </w:rPr>
        <w:t>I</w:t>
      </w:r>
      <w:r w:rsidRPr="005E3C36">
        <w:rPr>
          <w:vertAlign w:val="superscript"/>
        </w:rPr>
        <w:t>er</w:t>
      </w:r>
      <w:r w:rsidRPr="005E3C36">
        <w:t xml:space="preserve"> dans le jardin de Triboulet (</w:t>
      </w:r>
      <w:r w:rsidRPr="005E3C36">
        <w:rPr>
          <w:i/>
        </w:rPr>
        <w:t>Le Roi s’amuse</w:t>
      </w:r>
      <w:r w:rsidRPr="005E3C36">
        <w:t>, acte II, où le roi se fait passer pour un certain</w:t>
      </w:r>
      <w:r>
        <w:t xml:space="preserve"> Gaucher Mahiet, écolier très pauvre de son état), ou du refuge de Don Carlos dans l’armoire à l’exposition d’</w:t>
      </w:r>
      <w:r>
        <w:rPr>
          <w:i/>
        </w:rPr>
        <w:t>Hernani</w:t>
      </w:r>
      <w:r>
        <w:t xml:space="preserve">, motif qui est ensuite </w:t>
      </w:r>
      <w:r>
        <w:lastRenderedPageBreak/>
        <w:t xml:space="preserve">renversé </w:t>
      </w:r>
      <w:r w:rsidRPr="00F733FC">
        <w:t>lorsque don Ruy</w:t>
      </w:r>
      <w:r>
        <w:t xml:space="preserve"> cache le héros derrière son propre portrait (III,</w:t>
      </w:r>
      <w:r w:rsidR="00474425">
        <w:t xml:space="preserve"> </w:t>
      </w:r>
      <w:r>
        <w:t>5) : « Le spectateur ne peut percevoir que confusément, partiellement, et en grande partie rétrospectivement le symbolisme de cet espace machiné », analyse Florence Naugrette ; « derrière la généreuse protection de son rival au nom des lois de l’hospitalité, se dessine ici le pacte faustien par lequel Hernani prêtera sa jeunesse au vieillard […] mais aussi la force mortifère de la piété filiale</w:t>
      </w:r>
      <w:r>
        <w:rPr>
          <w:vertAlign w:val="superscript"/>
        </w:rPr>
        <w:footnoteReference w:id="49"/>
      </w:r>
      <w:r>
        <w:t xml:space="preserve"> ». Trente ans plus tôt, Lemercier recourait déjà au signe </w:t>
      </w:r>
      <w:r>
        <w:rPr>
          <w:i/>
        </w:rPr>
        <w:t>duplex</w:t>
      </w:r>
      <w:r>
        <w:t xml:space="preserve"> de l’armoire, simultanément cachette et prison, au dénouement de </w:t>
      </w:r>
      <w:r>
        <w:rPr>
          <w:i/>
        </w:rPr>
        <w:t>Pinto</w:t>
      </w:r>
      <w:r w:rsidR="000A0EA2">
        <w:rPr>
          <w:i/>
        </w:rPr>
        <w:t> </w:t>
      </w:r>
      <w:r w:rsidR="000A0EA2">
        <w:t>;</w:t>
      </w:r>
      <w:r>
        <w:t xml:space="preserve"> comme Vasconcellos songe à fuir et détruire par le feu ses papiers compromettants, il opte finalement pour les cacher dans l’armoire où s’est réfugié le valet muet de Pinto : « </w:t>
      </w:r>
      <w:r>
        <w:rPr>
          <w:i/>
        </w:rPr>
        <w:t>Il ouvre l’armoire, le muet l’y pousse et l’y enferme à</w:t>
      </w:r>
      <w:r>
        <w:t xml:space="preserve"> </w:t>
      </w:r>
      <w:r>
        <w:rPr>
          <w:i/>
        </w:rPr>
        <w:t>sa place</w:t>
      </w:r>
      <w:r>
        <w:t> », puis les Portugais le découvrent par surprise et l’arrêtent : « </w:t>
      </w:r>
      <w:r>
        <w:rPr>
          <w:i/>
        </w:rPr>
        <w:t>Vasconcellos sort tout armé ; tout le monde recule avec effroi</w:t>
      </w:r>
      <w:r>
        <w:rPr>
          <w:vertAlign w:val="superscript"/>
        </w:rPr>
        <w:footnoteReference w:id="50"/>
      </w:r>
      <w:r>
        <w:t>. » Ouverture-fermeture-ouverture ludiques, corrélat objectif du mouvement politique de fermeture-ouverture au terme de la pièce, puisqu’à la mort des ennemis est préférée l’option de la prison et du procès, avant qu’une amnistie générale ne soit accordée sur demande de Pinto : « Non, non, sire ! grâce entière, oubli généreux du passé ; unissez-vous tous à ma voix qui répond au cœur d’un digne souverain, et criez amnistie</w:t>
      </w:r>
      <w:r>
        <w:rPr>
          <w:vertAlign w:val="superscript"/>
        </w:rPr>
        <w:footnoteReference w:id="51"/>
      </w:r>
      <w:r>
        <w:t>. » C’est l’héritage problématique de la Révolution (française) qui est métaphorisé – question que les dramaturges romantiques posent eux aussi, en donnant à voir après le retour des rois, des rois historiques dégradés ou avilis sur les planches.</w:t>
      </w:r>
    </w:p>
    <w:p w14:paraId="38E8884C" w14:textId="77777777" w:rsidR="00DE584F" w:rsidRDefault="00DE584F" w:rsidP="00117E47">
      <w:r>
        <w:t xml:space="preserve">En effet, le lit du souverain, ou la paillasse sur laquelle il se vautre, sont également porteurs de cette charge critique. Disconvenant dans la tragédie, le lit appartient à une tradition comique qui l’associe à la mort ou maladie simulée, comme dans </w:t>
      </w:r>
      <w:r>
        <w:rPr>
          <w:i/>
        </w:rPr>
        <w:t>Le</w:t>
      </w:r>
      <w:r>
        <w:t xml:space="preserve"> </w:t>
      </w:r>
      <w:r>
        <w:rPr>
          <w:i/>
        </w:rPr>
        <w:t>Légataire universel</w:t>
      </w:r>
      <w:r>
        <w:t xml:space="preserve"> de Regnard</w:t>
      </w:r>
      <w:r w:rsidR="00D625D8">
        <w:t xml:space="preserve"> </w:t>
      </w:r>
      <w:r>
        <w:t>(1708) où le valet Crispin se fait passer pour un Géronte moribond alité devant les notaires, convoqués pour dresser son testament ; le vieil oncle d’Éraste ne revient qu’au 5</w:t>
      </w:r>
      <w:r>
        <w:rPr>
          <w:vertAlign w:val="superscript"/>
        </w:rPr>
        <w:t>e</w:t>
      </w:r>
      <w:r>
        <w:t xml:space="preserve"> acte après le forfait du valet. Lemercier reprend le procédé à l’acte III de </w:t>
      </w:r>
      <w:r>
        <w:rPr>
          <w:i/>
        </w:rPr>
        <w:t>Pinto</w:t>
      </w:r>
      <w:r>
        <w:t xml:space="preserve">, où le héros charge son </w:t>
      </w:r>
      <w:r w:rsidRPr="00F733FC">
        <w:t>amante M</w:t>
      </w:r>
      <w:r w:rsidRPr="00F733FC">
        <w:rPr>
          <w:vertAlign w:val="superscript"/>
        </w:rPr>
        <w:t>me</w:t>
      </w:r>
      <w:r w:rsidRPr="00F733FC">
        <w:t> Dolmar</w:t>
      </w:r>
      <w:r>
        <w:t xml:space="preserve"> de se substituer à la duchesse de Bragance, qui a déjà rejoint les conjurés, en feignant d’être malade et alitée pour éviter de se rendre aux ordres de la vice-reine : l’expédient leurre les commis et sauve ainsi le secret des révolutionnaires. La dégradation atteint son paroxysme dans </w:t>
      </w:r>
      <w:r>
        <w:rPr>
          <w:i/>
        </w:rPr>
        <w:t>Le Roi s’amuse</w:t>
      </w:r>
      <w:r>
        <w:t>, où le lit, invisible mais obsédant, est ici placé sous le signe d’Éros</w:t>
      </w:r>
      <w:r>
        <w:rPr>
          <w:vertAlign w:val="superscript"/>
        </w:rPr>
        <w:footnoteReference w:id="52"/>
      </w:r>
      <w:r>
        <w:t>. Le troisième acte représente</w:t>
      </w:r>
      <w:r w:rsidR="00842018">
        <w:t> :</w:t>
      </w:r>
    </w:p>
    <w:p w14:paraId="5C73FB4A" w14:textId="77777777" w:rsidR="00DE584F" w:rsidRDefault="00DE584F" w:rsidP="00117E47">
      <w:pPr>
        <w:pStyle w:val="TEIquote"/>
      </w:pPr>
      <w:r w:rsidRPr="00EF7316">
        <w:rPr>
          <w:i/>
          <w:iCs/>
        </w:rPr>
        <w:lastRenderedPageBreak/>
        <w:t>L’antichambre du roi, au Louvre. Dorures, ciselures, meubles, tapisseries, dans le goût de la Renaissance. – Sur le devant, une table, un fauteuil, un pliant. – Au fond, une grande porte dorée. – À gauche, la porte de la chambre à coucher du roi, revêtue d’une portière en tapisserie. À droite, un dressoir chargé de vaisselles d’or et d’émaux. – La porte du fond s’ouvre sur un mail</w:t>
      </w:r>
      <w:r>
        <w:rPr>
          <w:vertAlign w:val="superscript"/>
        </w:rPr>
        <w:footnoteReference w:id="53"/>
      </w:r>
      <w:r>
        <w:t>.</w:t>
      </w:r>
    </w:p>
    <w:p w14:paraId="7C8671A0" w14:textId="77777777" w:rsidR="00DE584F" w:rsidRDefault="00DE584F" w:rsidP="00117E47">
      <w:r>
        <w:t>C’est l’acte dans lequel le roi, « </w:t>
      </w:r>
      <w:r>
        <w:rPr>
          <w:i/>
        </w:rPr>
        <w:t>vêtu d’un magnifique négligé du matin</w:t>
      </w:r>
      <w:r>
        <w:t> », va littéralement se déshabiller pour violer Blanche. La dégradation lubrique, inversant le cérémonial du « petit lever » du roi, est soulignée par Marot qui recourt au bestiaire : « Le lion a traîné la brebis dans son antre</w:t>
      </w:r>
      <w:r>
        <w:rPr>
          <w:vertAlign w:val="superscript"/>
        </w:rPr>
        <w:footnoteReference w:id="54"/>
      </w:r>
      <w:r>
        <w:t>. » Le bouffon révèle alors le secret de sa paternité, mais les courtisans l’empêchent d’accéder à la chambre du roi. Tableau pathétique et véhément du père meurtri suppliant à genoux les « gentilshommes » complices, puis recevant sa fille souillée dans cette « cour prostituée au mal » qui n’est « Que vice, effronterie, impudeur, adultère, / Infamie et débauche</w:t>
      </w:r>
      <w:r>
        <w:rPr>
          <w:vertAlign w:val="superscript"/>
        </w:rPr>
        <w:footnoteReference w:id="55"/>
      </w:r>
      <w:r>
        <w:t> »… De fait, l’acte IV expose aux yeux de la pauvre « brebis » le donjuanisme de son séducteur, déguisé en simple officier dans le bouge de Saltabadil :</w:t>
      </w:r>
    </w:p>
    <w:p w14:paraId="0AA9C7A3" w14:textId="4EB85DED" w:rsidR="00DE584F" w:rsidRDefault="00DE584F" w:rsidP="00764DAC">
      <w:pPr>
        <w:pStyle w:val="TEIquote"/>
        <w:contextualSpacing/>
        <w:jc w:val="left"/>
      </w:pPr>
      <w:r w:rsidRPr="00883529">
        <w:rPr>
          <w:smallCaps/>
        </w:rPr>
        <w:t>Maguelonne</w:t>
      </w:r>
      <w:r>
        <w:t xml:space="preserve">, </w:t>
      </w:r>
      <w:r>
        <w:rPr>
          <w:i/>
        </w:rPr>
        <w:t>riant</w:t>
      </w:r>
      <w:r>
        <w:t>.</w:t>
      </w:r>
      <w:r w:rsidR="00764DAC">
        <w:br/>
      </w:r>
      <w:r>
        <w:t>Monsieur, vous m’avez l’air d’un libertin parfait !</w:t>
      </w:r>
      <w:r w:rsidR="00764DAC">
        <w:br/>
      </w:r>
      <w:r w:rsidR="00764DAC">
        <w:br/>
      </w:r>
      <w:r>
        <w:rPr>
          <w:smallCaps/>
        </w:rPr>
        <w:t>Le Roi</w:t>
      </w:r>
      <w:r>
        <w:t xml:space="preserve">, </w:t>
      </w:r>
      <w:r w:rsidRPr="00883529">
        <w:rPr>
          <w:i/>
          <w:iCs/>
        </w:rPr>
        <w:t>riant aussi</w:t>
      </w:r>
      <w:r>
        <w:t>.</w:t>
      </w:r>
      <w:r w:rsidR="00764DAC">
        <w:br/>
      </w:r>
      <w:r>
        <w:t>Oui, j’ai fait le malheur de plus d’une, en effet.</w:t>
      </w:r>
      <w:r w:rsidR="00764DAC">
        <w:br/>
      </w:r>
      <w:r>
        <w:t>C’est vrai, je suis un monstre […]</w:t>
      </w:r>
      <w:r>
        <w:rPr>
          <w:vertAlign w:val="superscript"/>
        </w:rPr>
        <w:footnoteReference w:id="56"/>
      </w:r>
      <w:r>
        <w:t>.</w:t>
      </w:r>
    </w:p>
    <w:p w14:paraId="76C4FE98" w14:textId="169311F2" w:rsidR="005D57AB" w:rsidRPr="00054CD3" w:rsidRDefault="00DE584F" w:rsidP="002B3AC0">
      <w:r>
        <w:t>Si, en</w:t>
      </w:r>
      <w:r w:rsidR="00842018">
        <w:t xml:space="preserve"> </w:t>
      </w:r>
      <w:r>
        <w:t xml:space="preserve">1832, le roi de Hugo « s’amuse », il est bien seul : le public et les censeurs n’ont guère de quoi rire. « L’inversion du Roi noble en roi de carnaval et sa détronisation rêvée forment le canevas de la pièce », conclut Anne Ubersfeld, pointant l’absence quasi-totale du comique dans ce drame qu’elle qualifie de « tragédie </w:t>
      </w:r>
      <w:r>
        <w:rPr>
          <w:i/>
        </w:rPr>
        <w:t>grotesque</w:t>
      </w:r>
      <w:r w:rsidR="00842018">
        <w:rPr>
          <w:vertAlign w:val="superscript"/>
        </w:rPr>
        <w:footnoteReference w:id="57"/>
      </w:r>
      <w:r>
        <w:t xml:space="preserve"> ». Nous sommes loin, en apparence, de la comédie historique des Lumières, où l’attendrissement admiratif du peuple permettait de communier avec ses souverains par le truchement des grands « en déshabillé ». Dans les drames romantiques, l’heure est à la satire </w:t>
      </w:r>
      <w:r>
        <w:lastRenderedPageBreak/>
        <w:t>grinçante qui flétrit le pouvoir</w:t>
      </w:r>
      <w:r>
        <w:rPr>
          <w:vertAlign w:val="superscript"/>
        </w:rPr>
        <w:footnoteReference w:id="58"/>
      </w:r>
      <w:r>
        <w:t>, détruisant le héros. Pour autant, au-delà de ce déplacement tonal éminemment politique, nous retrouvons des usages semblables des lieux et du secret, suivant un processus d’hybridation sous l’influence de l’esthétique du drame et du mélodrame bien relevé par les historiens du théâtre</w:t>
      </w:r>
      <w:r>
        <w:rPr>
          <w:vertAlign w:val="superscript"/>
        </w:rPr>
        <w:footnoteReference w:id="59"/>
      </w:r>
      <w:r>
        <w:t xml:space="preserve">, qui ont cependant moins repéré l’héritage de la comédie historique conçue au </w:t>
      </w:r>
      <w:r>
        <w:rPr>
          <w:smallCaps/>
        </w:rPr>
        <w:t>xviii</w:t>
      </w:r>
      <w:r>
        <w:rPr>
          <w:vertAlign w:val="superscript"/>
        </w:rPr>
        <w:t>e</w:t>
      </w:r>
      <w:r>
        <w:t xml:space="preserve"> siècle. Espaces et accessoires </w:t>
      </w:r>
      <w:r>
        <w:rPr>
          <w:i/>
        </w:rPr>
        <w:t>signifient</w:t>
      </w:r>
      <w:r>
        <w:t xml:space="preserve"> autant que les personnages et leurs discours, en ce qu’ils sont les véhicules matériels des secrets qu’ils rendent sensibles pour les lecteurs-spectateurs. La « comédie qui peint l’humanité » pour « les penseurs</w:t>
      </w:r>
      <w:r>
        <w:rPr>
          <w:vertAlign w:val="superscript"/>
        </w:rPr>
        <w:footnoteReference w:id="60"/>
      </w:r>
      <w:r>
        <w:t> » recourt ainsi à des procédés et use de motifs récurrents, selon une plasticité d’usages : leur analyse révèle le fruit de l’</w:t>
      </w:r>
      <w:r w:rsidR="00F4657A">
        <w:t>H</w:t>
      </w:r>
      <w:r>
        <w:t>istoire, la trace de la Révolution et des positions politiques que médiatise le théâtre dans un contexte socialement situé.</w:t>
      </w:r>
    </w:p>
    <w:sectPr w:rsidR="005D57AB" w:rsidRPr="00054CD3">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7870A3D" w14:textId="77777777" w:rsidR="004858FF" w:rsidRDefault="004858FF" w:rsidP="00DE584F">
      <w:pPr>
        <w:spacing w:after="0" w:line="240" w:lineRule="auto"/>
      </w:pPr>
      <w:r>
        <w:separator/>
      </w:r>
    </w:p>
  </w:endnote>
  <w:endnote w:type="continuationSeparator" w:id="0">
    <w:p w14:paraId="3E707DBD" w14:textId="77777777" w:rsidR="004858FF" w:rsidRDefault="004858FF" w:rsidP="00DE584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Baghdad">
    <w:altName w:val="Times New Roman"/>
    <w:charset w:val="B2"/>
    <w:family w:val="auto"/>
    <w:pitch w:val="variable"/>
    <w:sig w:usb0="80002003" w:usb1="80000000" w:usb2="00000008" w:usb3="00000000" w:csb0="00000040"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inion Pro">
    <w:altName w:val="Cambria"/>
    <w:panose1 w:val="00000000000000000000"/>
    <w:charset w:val="00"/>
    <w:family w:val="roman"/>
    <w:notTrueType/>
    <w:pitch w:val="variable"/>
    <w:sig w:usb0="60000287" w:usb1="00000001" w:usb2="00000000" w:usb3="00000000" w:csb0="0000019F" w:csb1="00000000"/>
  </w:font>
  <w:font w:name="Times">
    <w:altName w:val="Times New Roman"/>
    <w:panose1 w:val="02020603050405020304"/>
    <w:charset w:val="00"/>
    <w:family w:val="auto"/>
    <w:pitch w:val="variable"/>
    <w:sig w:usb0="E00002FF" w:usb1="5000205A" w:usb2="00000000" w:usb3="00000000" w:csb0="0000019F" w:csb1="00000000"/>
  </w:font>
  <w:font w:name="Junicode">
    <w:altName w:val="MS Gothic"/>
    <w:charset w:val="4D"/>
    <w:family w:val="roman"/>
    <w:pitch w:val="variable"/>
    <w:sig w:usb0="E40000FF" w:usb1="5200E4FF" w:usb2="00408004" w:usb3="00000000" w:csb0="8000009B" w:csb1="00000000"/>
  </w:font>
  <w:font w:name="Myriad Pro">
    <w:altName w:val="Segoe UI"/>
    <w:panose1 w:val="00000000000000000000"/>
    <w:charset w:val="00"/>
    <w:family w:val="swiss"/>
    <w:notTrueType/>
    <w:pitch w:val="variable"/>
    <w:sig w:usb0="20000287" w:usb1="00000001" w:usb2="00000000" w:usb3="00000000" w:csb0="0000019F" w:csb1="00000000"/>
  </w:font>
  <w:font w:name="Courier">
    <w:panose1 w:val="02070409020205020404"/>
    <w:charset w:val="00"/>
    <w:family w:val="auto"/>
    <w:pitch w:val="variable"/>
    <w:sig w:usb0="00000003" w:usb1="00000000" w:usb2="00000000" w:usb3="00000000" w:csb0="00000003" w:csb1="00000000"/>
  </w:font>
  <w:font w:name="Arial MT">
    <w:altName w:val="Arial"/>
    <w:charset w:val="01"/>
    <w:family w:val="roman"/>
    <w:pitch w:val="variable"/>
  </w:font>
  <w:font w:name="Consolas">
    <w:panose1 w:val="020B0609020204030204"/>
    <w:charset w:val="00"/>
    <w:family w:val="modern"/>
    <w:pitch w:val="fixed"/>
    <w:sig w:usb0="E00006FF" w:usb1="0000FCFF" w:usb2="00000001" w:usb3="00000000" w:csb0="0000019F" w:csb1="00000000"/>
  </w:font>
  <w:font w:name="Verdana">
    <w:panose1 w:val="020B0604030504040204"/>
    <w:charset w:val="00"/>
    <w:family w:val="swiss"/>
    <w:pitch w:val="variable"/>
    <w:sig w:usb0="A00006FF" w:usb1="4000205B" w:usb2="00000010" w:usb3="00000000" w:csb0="0000019F" w:csb1="00000000"/>
  </w:font>
  <w:font w:name="CMU Bright Roman">
    <w:altName w:val="Cambria Math"/>
    <w:charset w:val="00"/>
    <w:family w:val="auto"/>
    <w:pitch w:val="variable"/>
    <w:sig w:usb0="E10002FF" w:usb1="5201E9EB" w:usb2="00020004" w:usb3="00000000" w:csb0="0000011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550F6AA" w14:textId="77777777" w:rsidR="004858FF" w:rsidRDefault="004858FF" w:rsidP="00DE584F">
      <w:pPr>
        <w:spacing w:after="0" w:line="240" w:lineRule="auto"/>
      </w:pPr>
      <w:r>
        <w:separator/>
      </w:r>
    </w:p>
  </w:footnote>
  <w:footnote w:type="continuationSeparator" w:id="0">
    <w:p w14:paraId="1809444C" w14:textId="77777777" w:rsidR="004858FF" w:rsidRDefault="004858FF" w:rsidP="00DE584F">
      <w:pPr>
        <w:spacing w:after="0" w:line="240" w:lineRule="auto"/>
      </w:pPr>
      <w:r>
        <w:continuationSeparator/>
      </w:r>
    </w:p>
  </w:footnote>
  <w:footnote w:id="1">
    <w:p w14:paraId="1450FFDE" w14:textId="77777777" w:rsidR="00DE584F" w:rsidRDefault="00DE584F" w:rsidP="006777BB">
      <w:pPr>
        <w:pStyle w:val="Notedebasdepage"/>
      </w:pPr>
      <w:r>
        <w:rPr>
          <w:vertAlign w:val="superscript"/>
        </w:rPr>
        <w:footnoteRef/>
      </w:r>
      <w:r>
        <w:t xml:space="preserve"> Nous renvoyons aux trois ouvrages fondamentaux d’Anne </w:t>
      </w:r>
      <w:r w:rsidRPr="00F6737F">
        <w:t>Ubersfeld</w:t>
      </w:r>
      <w:r>
        <w:t xml:space="preserve"> réunis depuis</w:t>
      </w:r>
      <w:r w:rsidR="00F6737F">
        <w:t xml:space="preserve"> </w:t>
      </w:r>
      <w:r>
        <w:t xml:space="preserve">1977 sous le titre </w:t>
      </w:r>
      <w:r>
        <w:rPr>
          <w:i/>
        </w:rPr>
        <w:t>Lire le théâtre</w:t>
      </w:r>
      <w:r>
        <w:t xml:space="preserve"> </w:t>
      </w:r>
      <w:r w:rsidR="00F67B2D">
        <w:t>[</w:t>
      </w:r>
      <w:r>
        <w:t>rééd. Paris, Belin, 1996</w:t>
      </w:r>
      <w:r w:rsidR="00F67B2D">
        <w:t>]</w:t>
      </w:r>
      <w:r>
        <w:t xml:space="preserve">, ainsi qu’à Florence </w:t>
      </w:r>
      <w:r w:rsidRPr="00F6737F">
        <w:t>Naugrette</w:t>
      </w:r>
      <w:r>
        <w:t xml:space="preserve">, </w:t>
      </w:r>
      <w:r>
        <w:rPr>
          <w:i/>
        </w:rPr>
        <w:t>Le Plaisir du spectateur de théâtre</w:t>
      </w:r>
      <w:r>
        <w:t>, Rosny-sous-Bois, Bréal, 2002.</w:t>
      </w:r>
    </w:p>
  </w:footnote>
  <w:footnote w:id="2">
    <w:p w14:paraId="0274A492" w14:textId="77777777" w:rsidR="00DE584F" w:rsidRDefault="00DE584F" w:rsidP="006777BB">
      <w:pPr>
        <w:pStyle w:val="Notedebasdepage"/>
      </w:pPr>
      <w:r>
        <w:rPr>
          <w:vertAlign w:val="superscript"/>
        </w:rPr>
        <w:footnoteRef/>
      </w:r>
      <w:r>
        <w:t xml:space="preserve"> Roland </w:t>
      </w:r>
      <w:r w:rsidRPr="00F6737F">
        <w:t>Barthes</w:t>
      </w:r>
      <w:r>
        <w:t xml:space="preserve">, </w:t>
      </w:r>
      <w:r>
        <w:rPr>
          <w:i/>
        </w:rPr>
        <w:t>Sur Racine</w:t>
      </w:r>
      <w:r>
        <w:t>, Paris, Éditions du Seuil, 1963, p. 19-20.</w:t>
      </w:r>
    </w:p>
  </w:footnote>
  <w:footnote w:id="3">
    <w:p w14:paraId="4FDA1C00" w14:textId="77777777" w:rsidR="00DE584F" w:rsidRDefault="00DE584F" w:rsidP="006777BB">
      <w:pPr>
        <w:pStyle w:val="Notedebasdepage"/>
      </w:pPr>
      <w:r>
        <w:rPr>
          <w:vertAlign w:val="superscript"/>
        </w:rPr>
        <w:footnoteRef/>
      </w:r>
      <w:r>
        <w:t xml:space="preserve"> </w:t>
      </w:r>
      <w:r w:rsidRPr="00F6737F">
        <w:t>Marivaux</w:t>
      </w:r>
      <w:r>
        <w:t xml:space="preserve">, </w:t>
      </w:r>
      <w:r>
        <w:rPr>
          <w:i/>
        </w:rPr>
        <w:t>La Double Inconstance</w:t>
      </w:r>
      <w:r>
        <w:t xml:space="preserve"> </w:t>
      </w:r>
      <w:r w:rsidR="00F67B2D">
        <w:t>[</w:t>
      </w:r>
      <w:r>
        <w:t>1723</w:t>
      </w:r>
      <w:r w:rsidR="00F67B2D">
        <w:t>]</w:t>
      </w:r>
      <w:r>
        <w:t>, Frédéric Deloffre</w:t>
      </w:r>
      <w:r w:rsidR="00F67B2D" w:rsidRPr="00F67B2D">
        <w:t xml:space="preserve"> </w:t>
      </w:r>
      <w:r w:rsidR="00F67B2D">
        <w:t>(éd.)</w:t>
      </w:r>
      <w:r>
        <w:t xml:space="preserve">, </w:t>
      </w:r>
      <w:r>
        <w:rPr>
          <w:i/>
        </w:rPr>
        <w:t>Théâtre complet</w:t>
      </w:r>
      <w:r>
        <w:t xml:space="preserve">, Paris, Garnier, 1968, </w:t>
      </w:r>
      <w:r w:rsidR="00F67B2D">
        <w:t xml:space="preserve">2 vol., </w:t>
      </w:r>
      <w:r>
        <w:t xml:space="preserve">ici t. I, p. 314-315. Voir Jean </w:t>
      </w:r>
      <w:r w:rsidRPr="00F6737F">
        <w:t>Goldzink</w:t>
      </w:r>
      <w:r>
        <w:t xml:space="preserve">, </w:t>
      </w:r>
      <w:r>
        <w:rPr>
          <w:i/>
        </w:rPr>
        <w:t>Comique et comédie au siècle des Lumières</w:t>
      </w:r>
      <w:r>
        <w:t>, Paris, L’Harmattan, 2000, « L’archipel Marivaux », p. 169-369.</w:t>
      </w:r>
    </w:p>
  </w:footnote>
  <w:footnote w:id="4">
    <w:p w14:paraId="7D711739" w14:textId="274180F8" w:rsidR="00DE584F" w:rsidRDefault="00DE584F" w:rsidP="006777BB">
      <w:pPr>
        <w:pStyle w:val="Notedebasdepage"/>
      </w:pPr>
      <w:r>
        <w:rPr>
          <w:vertAlign w:val="superscript"/>
        </w:rPr>
        <w:footnoteRef/>
      </w:r>
      <w:r>
        <w:t xml:space="preserve"> Denis </w:t>
      </w:r>
      <w:r w:rsidRPr="00677699">
        <w:t>Diderot</w:t>
      </w:r>
      <w:r>
        <w:t xml:space="preserve">, </w:t>
      </w:r>
      <w:r>
        <w:rPr>
          <w:i/>
        </w:rPr>
        <w:t>De la poésie dramatique</w:t>
      </w:r>
      <w:r>
        <w:t xml:space="preserve"> </w:t>
      </w:r>
      <w:r w:rsidR="00E36E0E">
        <w:t>[</w:t>
      </w:r>
      <w:r>
        <w:t>1758</w:t>
      </w:r>
      <w:r w:rsidR="00E36E0E">
        <w:t>]</w:t>
      </w:r>
      <w:r>
        <w:t>, Laurent Versini</w:t>
      </w:r>
      <w:r w:rsidR="00E36E0E" w:rsidRPr="00E36E0E">
        <w:t xml:space="preserve"> </w:t>
      </w:r>
      <w:r w:rsidR="00E36E0E">
        <w:t>(éd.)</w:t>
      </w:r>
      <w:r>
        <w:t xml:space="preserve">, </w:t>
      </w:r>
      <w:r>
        <w:rPr>
          <w:i/>
        </w:rPr>
        <w:t>Œuvres</w:t>
      </w:r>
      <w:r>
        <w:t xml:space="preserve">, t. IV, </w:t>
      </w:r>
      <w:r>
        <w:rPr>
          <w:i/>
        </w:rPr>
        <w:t>Esthétique-Théâtre</w:t>
      </w:r>
      <w:r>
        <w:t>, Paris, Robert Laffont, « Bouquins », 1996, p. 1334.</w:t>
      </w:r>
    </w:p>
  </w:footnote>
  <w:footnote w:id="5">
    <w:p w14:paraId="7694D3C6" w14:textId="77777777" w:rsidR="00DE584F" w:rsidRDefault="00DE584F" w:rsidP="006777BB">
      <w:pPr>
        <w:pStyle w:val="Notedebasdepage"/>
      </w:pPr>
      <w:r>
        <w:rPr>
          <w:vertAlign w:val="superscript"/>
        </w:rPr>
        <w:footnoteRef/>
      </w:r>
      <w:r>
        <w:t xml:space="preserve"> « Déshabillé », </w:t>
      </w:r>
      <w:r>
        <w:rPr>
          <w:i/>
        </w:rPr>
        <w:t>Encyclopédie ou Dictionnaire raisonné des sciences, des arts et des métiers</w:t>
      </w:r>
      <w:r>
        <w:t xml:space="preserve">, 1754, </w:t>
      </w:r>
      <w:r w:rsidR="009E559C">
        <w:t xml:space="preserve">t. IV, </w:t>
      </w:r>
      <w:r>
        <w:t>p. 882</w:t>
      </w:r>
      <w:r w:rsidR="009E559C">
        <w:t>, e</w:t>
      </w:r>
      <w:r>
        <w:t xml:space="preserve">n ligne : </w:t>
      </w:r>
      <w:hyperlink r:id="rId1">
        <w:r>
          <w:rPr>
            <w:color w:val="467886"/>
            <w:u w:val="single"/>
          </w:rPr>
          <w:t>http://enccre.academie-sciences.fr/encyclopedie/article/v4-2231-0/</w:t>
        </w:r>
      </w:hyperlink>
      <w:r w:rsidR="009E559C" w:rsidRPr="009E559C">
        <w:t>.</w:t>
      </w:r>
    </w:p>
  </w:footnote>
  <w:footnote w:id="6">
    <w:p w14:paraId="468D4CB0" w14:textId="77777777" w:rsidR="00DE584F" w:rsidRDefault="00DE584F" w:rsidP="006777BB">
      <w:pPr>
        <w:pStyle w:val="Notedebasdepage"/>
      </w:pPr>
      <w:r>
        <w:rPr>
          <w:vertAlign w:val="superscript"/>
        </w:rPr>
        <w:footnoteRef/>
      </w:r>
      <w:r>
        <w:t xml:space="preserve"> Alexandre </w:t>
      </w:r>
      <w:r w:rsidRPr="00677699">
        <w:t>Dumas</w:t>
      </w:r>
      <w:r>
        <w:t xml:space="preserve">, </w:t>
      </w:r>
      <w:r>
        <w:rPr>
          <w:i/>
        </w:rPr>
        <w:t>Les Grands Hommes en robe de chambre</w:t>
      </w:r>
      <w:r>
        <w:t xml:space="preserve">, Paris, Michel Lévy, 1866, </w:t>
      </w:r>
      <w:r w:rsidR="009E559C">
        <w:t xml:space="preserve">2 vol., ici </w:t>
      </w:r>
      <w:r>
        <w:t>t. II, p. </w:t>
      </w:r>
      <w:r w:rsidRPr="009E559C">
        <w:t>ii</w:t>
      </w:r>
      <w:r>
        <w:t>.</w:t>
      </w:r>
    </w:p>
  </w:footnote>
  <w:footnote w:id="7">
    <w:p w14:paraId="35C3DC39" w14:textId="77777777" w:rsidR="00DE584F" w:rsidRDefault="00DE584F" w:rsidP="006777BB">
      <w:pPr>
        <w:pStyle w:val="Notedebasdepage"/>
      </w:pPr>
      <w:r>
        <w:rPr>
          <w:vertAlign w:val="superscript"/>
        </w:rPr>
        <w:footnoteRef/>
      </w:r>
      <w:r>
        <w:t xml:space="preserve"> Charles </w:t>
      </w:r>
      <w:r w:rsidRPr="00677699">
        <w:t>Collé</w:t>
      </w:r>
      <w:r>
        <w:t xml:space="preserve">, « Avertissement » de </w:t>
      </w:r>
      <w:r>
        <w:rPr>
          <w:i/>
        </w:rPr>
        <w:t>La Partie de chasse de Henri </w:t>
      </w:r>
      <w:r w:rsidR="009E559C">
        <w:rPr>
          <w:i/>
          <w:smallCaps/>
        </w:rPr>
        <w:t>IV</w:t>
      </w:r>
      <w:r>
        <w:t>, Jacques Truchet</w:t>
      </w:r>
      <w:r w:rsidR="009E559C">
        <w:t xml:space="preserve"> (éd.)</w:t>
      </w:r>
      <w:r>
        <w:t xml:space="preserve">, </w:t>
      </w:r>
      <w:r>
        <w:rPr>
          <w:i/>
        </w:rPr>
        <w:t xml:space="preserve">Théâtre du </w:t>
      </w:r>
      <w:r>
        <w:rPr>
          <w:i/>
          <w:smallCaps/>
        </w:rPr>
        <w:t>xviii</w:t>
      </w:r>
      <w:r>
        <w:rPr>
          <w:i/>
          <w:vertAlign w:val="superscript"/>
        </w:rPr>
        <w:t>e</w:t>
      </w:r>
      <w:r w:rsidRPr="009E559C">
        <w:rPr>
          <w:i/>
        </w:rPr>
        <w:t> </w:t>
      </w:r>
      <w:r>
        <w:rPr>
          <w:i/>
        </w:rPr>
        <w:t>siècle</w:t>
      </w:r>
      <w:r>
        <w:t>, Paris, Gallimard, « Bibliothèque de la Pléiade », 1974, t. II, p. 599.</w:t>
      </w:r>
    </w:p>
  </w:footnote>
  <w:footnote w:id="8">
    <w:p w14:paraId="35E439D8" w14:textId="77777777" w:rsidR="00DE584F" w:rsidRDefault="00DE584F" w:rsidP="006777BB">
      <w:pPr>
        <w:pStyle w:val="Notedebasdepage"/>
      </w:pPr>
      <w:r>
        <w:rPr>
          <w:vertAlign w:val="superscript"/>
        </w:rPr>
        <w:footnoteRef/>
      </w:r>
      <w:r>
        <w:t xml:space="preserve"> Voir Marie-Emmanuelle </w:t>
      </w:r>
      <w:r w:rsidRPr="00677699">
        <w:t>Plagnol</w:t>
      </w:r>
      <w:r>
        <w:rPr>
          <w:smallCaps/>
        </w:rPr>
        <w:t>-</w:t>
      </w:r>
      <w:r w:rsidRPr="00677699">
        <w:t>Diéval</w:t>
      </w:r>
      <w:r>
        <w:t xml:space="preserve"> et Dominique </w:t>
      </w:r>
      <w:r w:rsidRPr="00677699">
        <w:t>Quéro</w:t>
      </w:r>
      <w:r w:rsidR="00F21D57">
        <w:t xml:space="preserve"> </w:t>
      </w:r>
      <w:r>
        <w:t xml:space="preserve">(dir.), </w:t>
      </w:r>
      <w:r>
        <w:rPr>
          <w:i/>
        </w:rPr>
        <w:t>Charles Collé (1709-1783), au cœur de la République des Lettres</w:t>
      </w:r>
      <w:r>
        <w:t>, Rennes, PUR, « Interférences », 2013.</w:t>
      </w:r>
    </w:p>
  </w:footnote>
  <w:footnote w:id="9">
    <w:p w14:paraId="0F8BE3B8" w14:textId="1DAB7356" w:rsidR="00DE584F" w:rsidRDefault="00DE584F" w:rsidP="006777BB">
      <w:pPr>
        <w:pStyle w:val="Notedebasdepage"/>
      </w:pPr>
      <w:r>
        <w:rPr>
          <w:vertAlign w:val="superscript"/>
        </w:rPr>
        <w:footnoteRef/>
      </w:r>
      <w:r>
        <w:t xml:space="preserve"> Pour les distinctions entre les notions de « lieu » et d’« espace » (théâtral, scénique, ludique, dramatique, etc.), voir Georges </w:t>
      </w:r>
      <w:r w:rsidRPr="00677699">
        <w:t>Zaragoza</w:t>
      </w:r>
      <w:r>
        <w:t xml:space="preserve">, </w:t>
      </w:r>
      <w:r>
        <w:rPr>
          <w:i/>
        </w:rPr>
        <w:t>Faire jouer l’espace dans le théâtre romantique européen. Essai de dramaturgie comparée</w:t>
      </w:r>
      <w:r>
        <w:t xml:space="preserve">, Paris, </w:t>
      </w:r>
      <w:r w:rsidR="00E7711B">
        <w:t xml:space="preserve">Honoré </w:t>
      </w:r>
      <w:r>
        <w:t>Champion, 1999, p. 20-22.</w:t>
      </w:r>
    </w:p>
  </w:footnote>
  <w:footnote w:id="10">
    <w:p w14:paraId="04ABD1EE" w14:textId="77777777" w:rsidR="00DE584F" w:rsidRDefault="00DE584F" w:rsidP="006777BB">
      <w:pPr>
        <w:pStyle w:val="Notedebasdepage"/>
      </w:pPr>
      <w:r>
        <w:rPr>
          <w:vertAlign w:val="superscript"/>
        </w:rPr>
        <w:footnoteRef/>
      </w:r>
      <w:r>
        <w:t xml:space="preserve"> Charles </w:t>
      </w:r>
      <w:r w:rsidRPr="00677699">
        <w:t>Collé</w:t>
      </w:r>
      <w:r>
        <w:t xml:space="preserve">, </w:t>
      </w:r>
      <w:r>
        <w:rPr>
          <w:i/>
        </w:rPr>
        <w:t>La Partie de chasse de Henri </w:t>
      </w:r>
      <w:r w:rsidR="00F21D57">
        <w:rPr>
          <w:i/>
          <w:smallCaps/>
        </w:rPr>
        <w:t>IV</w:t>
      </w:r>
      <w:r>
        <w:t xml:space="preserve">, </w:t>
      </w:r>
      <w:r w:rsidR="00F21D57" w:rsidRPr="00F21D57">
        <w:rPr>
          <w:i/>
        </w:rPr>
        <w:t>op.</w:t>
      </w:r>
      <w:r w:rsidR="00F21D57">
        <w:rPr>
          <w:i/>
        </w:rPr>
        <w:t> </w:t>
      </w:r>
      <w:r w:rsidR="00F21D57" w:rsidRPr="00F21D57">
        <w:rPr>
          <w:i/>
        </w:rPr>
        <w:t>cit.</w:t>
      </w:r>
      <w:r>
        <w:t xml:space="preserve">, </w:t>
      </w:r>
      <w:r w:rsidR="00F943E7">
        <w:t xml:space="preserve">III, 2, </w:t>
      </w:r>
      <w:r>
        <w:t>p. 637.</w:t>
      </w:r>
    </w:p>
  </w:footnote>
  <w:footnote w:id="11">
    <w:p w14:paraId="4EA140E5" w14:textId="77777777" w:rsidR="00DE584F" w:rsidRDefault="00DE584F" w:rsidP="006777BB">
      <w:pPr>
        <w:pStyle w:val="Notedebasdepage"/>
      </w:pPr>
      <w:r>
        <w:rPr>
          <w:vertAlign w:val="superscript"/>
        </w:rPr>
        <w:footnoteRef/>
      </w:r>
      <w:r>
        <w:t xml:space="preserve"> Par exemple </w:t>
      </w:r>
      <w:r>
        <w:rPr>
          <w:i/>
        </w:rPr>
        <w:t>Une Journée de Henri </w:t>
      </w:r>
      <w:r w:rsidR="00F943E7">
        <w:rPr>
          <w:i/>
          <w:smallCaps/>
        </w:rPr>
        <w:t>IV</w:t>
      </w:r>
      <w:r>
        <w:t>, comédie de Villemain d’Abancourt (Théâtre Molière, 12</w:t>
      </w:r>
      <w:r w:rsidR="00F943E7">
        <w:t xml:space="preserve"> octobre </w:t>
      </w:r>
      <w:r>
        <w:t xml:space="preserve">1791), ou </w:t>
      </w:r>
      <w:r>
        <w:rPr>
          <w:i/>
        </w:rPr>
        <w:t>La Forêt de Sénart ou la Partie de chasse de Henri </w:t>
      </w:r>
      <w:r w:rsidR="00F943E7">
        <w:rPr>
          <w:i/>
          <w:smallCaps/>
        </w:rPr>
        <w:t>IV</w:t>
      </w:r>
      <w:r>
        <w:t>, opéra-comique de Castil-Blaze (Odéon, 14</w:t>
      </w:r>
      <w:r w:rsidR="00F943E7">
        <w:t xml:space="preserve"> janvier </w:t>
      </w:r>
      <w:r>
        <w:t>1826).</w:t>
      </w:r>
    </w:p>
  </w:footnote>
  <w:footnote w:id="12">
    <w:p w14:paraId="1B437C31" w14:textId="6D9ADDBC" w:rsidR="00DE584F" w:rsidRDefault="00DE584F" w:rsidP="006777BB">
      <w:pPr>
        <w:pStyle w:val="Notedebasdepage"/>
      </w:pPr>
      <w:r>
        <w:rPr>
          <w:vertAlign w:val="superscript"/>
        </w:rPr>
        <w:footnoteRef/>
      </w:r>
      <w:r>
        <w:t xml:space="preserve"> Sophie </w:t>
      </w:r>
      <w:r w:rsidRPr="00523E84">
        <w:t>Mentzel</w:t>
      </w:r>
      <w:r>
        <w:t xml:space="preserve">, </w:t>
      </w:r>
      <w:r>
        <w:rPr>
          <w:i/>
        </w:rPr>
        <w:t>Trônes vacillants. La représentation de la royauté sur la scène romantique, 1820-1840</w:t>
      </w:r>
      <w:r>
        <w:t xml:space="preserve">, thèse de Littérature française, </w:t>
      </w:r>
      <w:r w:rsidR="00E7711B">
        <w:t>U</w:t>
      </w:r>
      <w:r>
        <w:t>niversité de Nantes, 2016, p. 84. Voir aussi la section « Les Bourbons en déshabillé », p. 529-537.</w:t>
      </w:r>
    </w:p>
  </w:footnote>
  <w:footnote w:id="13">
    <w:p w14:paraId="070025F7" w14:textId="77777777" w:rsidR="00DE584F" w:rsidRDefault="00DE584F" w:rsidP="006777BB">
      <w:pPr>
        <w:pStyle w:val="Notedebasdepage"/>
      </w:pPr>
      <w:r>
        <w:rPr>
          <w:vertAlign w:val="superscript"/>
        </w:rPr>
        <w:footnoteRef/>
      </w:r>
      <w:r>
        <w:t xml:space="preserve"> Alexandre </w:t>
      </w:r>
      <w:r w:rsidRPr="00523E84">
        <w:t>Duval</w:t>
      </w:r>
      <w:r>
        <w:t xml:space="preserve">, </w:t>
      </w:r>
      <w:r>
        <w:rPr>
          <w:i/>
        </w:rPr>
        <w:t>Œuvres complètes d’Alexandre Duval</w:t>
      </w:r>
      <w:r>
        <w:t>, Paris, Barba, 1822, t. I, p. </w:t>
      </w:r>
      <w:r w:rsidRPr="00CF239B">
        <w:t>xx</w:t>
      </w:r>
      <w:r>
        <w:t>.</w:t>
      </w:r>
    </w:p>
  </w:footnote>
  <w:footnote w:id="14">
    <w:p w14:paraId="2BBD371E" w14:textId="77777777" w:rsidR="00677699" w:rsidRDefault="00677699" w:rsidP="006777BB">
      <w:pPr>
        <w:pStyle w:val="Notedebasdepage"/>
      </w:pPr>
      <w:r>
        <w:rPr>
          <w:vertAlign w:val="superscript"/>
        </w:rPr>
        <w:footnoteRef/>
      </w:r>
      <w:r>
        <w:t xml:space="preserve"> Louis Népomucène </w:t>
      </w:r>
      <w:r w:rsidRPr="00523E84">
        <w:t>Lemercier</w:t>
      </w:r>
      <w:r>
        <w:t xml:space="preserve">, </w:t>
      </w:r>
      <w:r>
        <w:rPr>
          <w:i/>
        </w:rPr>
        <w:t>Comédies historiques</w:t>
      </w:r>
      <w:r>
        <w:t>, Paris, Ambroise Dupont et C</w:t>
      </w:r>
      <w:r>
        <w:rPr>
          <w:vertAlign w:val="superscript"/>
        </w:rPr>
        <w:t>ie</w:t>
      </w:r>
      <w:r>
        <w:t>, 1828.</w:t>
      </w:r>
    </w:p>
  </w:footnote>
  <w:footnote w:id="15">
    <w:p w14:paraId="14F85131" w14:textId="77777777" w:rsidR="00DE584F" w:rsidRDefault="00DE584F" w:rsidP="006777BB">
      <w:pPr>
        <w:pStyle w:val="Notedebasdepage"/>
      </w:pPr>
      <w:r>
        <w:rPr>
          <w:vertAlign w:val="superscript"/>
        </w:rPr>
        <w:footnoteRef/>
      </w:r>
      <w:r>
        <w:t xml:space="preserve"> Georges Zaragoza attribue à Beaumarchais le rôle de « précurseur » ou maillon entre l’esthétique classique et l’esthétique romantique en fait d’utilisation de l’espace. Voir Georges </w:t>
      </w:r>
      <w:r w:rsidRPr="00523E84">
        <w:t>Zaragoza</w:t>
      </w:r>
      <w:r>
        <w:t xml:space="preserve">, </w:t>
      </w:r>
      <w:r>
        <w:rPr>
          <w:i/>
        </w:rPr>
        <w:t>Faire jouer l’espace dans le théâtre romantique européen</w:t>
      </w:r>
      <w:r>
        <w:t>,</w:t>
      </w:r>
      <w:r>
        <w:rPr>
          <w:i/>
        </w:rPr>
        <w:t xml:space="preserve"> op. cit.</w:t>
      </w:r>
      <w:r>
        <w:t>,</w:t>
      </w:r>
      <w:r>
        <w:rPr>
          <w:i/>
        </w:rPr>
        <w:t xml:space="preserve"> </w:t>
      </w:r>
      <w:r>
        <w:t>p. 34-36</w:t>
      </w:r>
      <w:r>
        <w:rPr>
          <w:i/>
        </w:rPr>
        <w:t>.</w:t>
      </w:r>
    </w:p>
  </w:footnote>
  <w:footnote w:id="16">
    <w:p w14:paraId="154F8FBB" w14:textId="69397100" w:rsidR="00DE584F" w:rsidRDefault="00DE584F" w:rsidP="006777BB">
      <w:pPr>
        <w:pStyle w:val="Notedebasdepage"/>
      </w:pPr>
      <w:r>
        <w:rPr>
          <w:vertAlign w:val="superscript"/>
        </w:rPr>
        <w:footnoteRef/>
      </w:r>
      <w:r>
        <w:t xml:space="preserve"> Jacques </w:t>
      </w:r>
      <w:r w:rsidRPr="00523E84">
        <w:t>Scherer</w:t>
      </w:r>
      <w:r>
        <w:t xml:space="preserve">, </w:t>
      </w:r>
      <w:r>
        <w:rPr>
          <w:i/>
        </w:rPr>
        <w:t>La Dramaturgie de Beaumarchais</w:t>
      </w:r>
      <w:r>
        <w:t>, Paris, Nizet, 1954, chap. 5</w:t>
      </w:r>
      <w:r w:rsidR="00E7711B">
        <w:t>,</w:t>
      </w:r>
      <w:r>
        <w:t xml:space="preserve"> « Les instruments de tension ».</w:t>
      </w:r>
    </w:p>
  </w:footnote>
  <w:footnote w:id="17">
    <w:p w14:paraId="2849C4FD" w14:textId="77777777" w:rsidR="00DE584F" w:rsidRDefault="00DE584F" w:rsidP="006777BB">
      <w:pPr>
        <w:pStyle w:val="Notedebasdepage"/>
      </w:pPr>
      <w:r>
        <w:rPr>
          <w:vertAlign w:val="superscript"/>
        </w:rPr>
        <w:footnoteRef/>
      </w:r>
      <w:r>
        <w:t xml:space="preserve"> </w:t>
      </w:r>
      <w:r w:rsidRPr="00523E84">
        <w:t>Beaumarchais</w:t>
      </w:r>
      <w:r>
        <w:t xml:space="preserve">, </w:t>
      </w:r>
      <w:r>
        <w:rPr>
          <w:i/>
        </w:rPr>
        <w:t>Le Mariage de Figaro</w:t>
      </w:r>
      <w:r>
        <w:t xml:space="preserve"> (1778 et 1784), Pierre Larthomas</w:t>
      </w:r>
      <w:r w:rsidR="008F2BD7">
        <w:t xml:space="preserve"> (éd.)</w:t>
      </w:r>
      <w:r>
        <w:t xml:space="preserve">, </w:t>
      </w:r>
      <w:r>
        <w:rPr>
          <w:i/>
        </w:rPr>
        <w:t>Œuvres</w:t>
      </w:r>
      <w:r>
        <w:t xml:space="preserve">, Paris, Gallimard, « Bibliothèque de la Pléiade », 1988, </w:t>
      </w:r>
      <w:r w:rsidR="008F2BD7">
        <w:t xml:space="preserve">II, 10-20, </w:t>
      </w:r>
      <w:r>
        <w:t>p. 411-420.</w:t>
      </w:r>
    </w:p>
  </w:footnote>
  <w:footnote w:id="18">
    <w:p w14:paraId="3116DF66" w14:textId="77777777" w:rsidR="00DE584F" w:rsidRDefault="00DE584F" w:rsidP="006777BB">
      <w:pPr>
        <w:pStyle w:val="Notedebasdepage"/>
      </w:pPr>
      <w:r>
        <w:rPr>
          <w:vertAlign w:val="superscript"/>
        </w:rPr>
        <w:footnoteRef/>
      </w:r>
      <w:r>
        <w:t xml:space="preserve"> </w:t>
      </w:r>
      <w:r w:rsidRPr="00523E84">
        <w:t>Dumas</w:t>
      </w:r>
      <w:r>
        <w:t xml:space="preserve">, </w:t>
      </w:r>
      <w:r>
        <w:rPr>
          <w:i/>
        </w:rPr>
        <w:t>Les Grands Hommes en robe de chambre</w:t>
      </w:r>
      <w:r>
        <w:t>,</w:t>
      </w:r>
      <w:r>
        <w:rPr>
          <w:i/>
        </w:rPr>
        <w:t xml:space="preserve"> op. cit</w:t>
      </w:r>
      <w:r>
        <w:t>., t. II, p. 78.</w:t>
      </w:r>
    </w:p>
  </w:footnote>
  <w:footnote w:id="19">
    <w:p w14:paraId="55851C74" w14:textId="77777777" w:rsidR="00DE584F" w:rsidRDefault="00DE584F" w:rsidP="006777BB">
      <w:pPr>
        <w:pStyle w:val="Notedebasdepage"/>
      </w:pPr>
      <w:r>
        <w:rPr>
          <w:vertAlign w:val="superscript"/>
        </w:rPr>
        <w:footnoteRef/>
      </w:r>
      <w:r>
        <w:t xml:space="preserve"> </w:t>
      </w:r>
      <w:r w:rsidRPr="00523E84">
        <w:t>Dumas</w:t>
      </w:r>
      <w:r>
        <w:t xml:space="preserve">, </w:t>
      </w:r>
      <w:r>
        <w:rPr>
          <w:i/>
        </w:rPr>
        <w:t>Henri III et sa cour</w:t>
      </w:r>
      <w:r>
        <w:t xml:space="preserve"> </w:t>
      </w:r>
      <w:r w:rsidR="008F2BD7">
        <w:t>[</w:t>
      </w:r>
      <w:r>
        <w:t>1829</w:t>
      </w:r>
      <w:r w:rsidR="008F2BD7">
        <w:t>]</w:t>
      </w:r>
      <w:r>
        <w:t>, Sylvain Ledda</w:t>
      </w:r>
      <w:r w:rsidR="008F2BD7">
        <w:t xml:space="preserve"> (éd.)</w:t>
      </w:r>
      <w:r>
        <w:t xml:space="preserve">, Paris, Flammarion, « GF », 2016, </w:t>
      </w:r>
      <w:r w:rsidR="008F2BD7">
        <w:t xml:space="preserve">V, 2-3, </w:t>
      </w:r>
      <w:r>
        <w:t>p. 162-164.</w:t>
      </w:r>
    </w:p>
  </w:footnote>
  <w:footnote w:id="20">
    <w:p w14:paraId="6EA16428" w14:textId="77777777" w:rsidR="00DE584F" w:rsidRDefault="00DE584F" w:rsidP="006777BB">
      <w:pPr>
        <w:pStyle w:val="Notedebasdepage"/>
      </w:pPr>
      <w:r>
        <w:rPr>
          <w:vertAlign w:val="superscript"/>
        </w:rPr>
        <w:footnoteRef/>
      </w:r>
      <w:r>
        <w:t xml:space="preserve"> Voir Vincenzo </w:t>
      </w:r>
      <w:r w:rsidRPr="008F2BD7">
        <w:t>De Santis</w:t>
      </w:r>
      <w:r>
        <w:t xml:space="preserve">, </w:t>
      </w:r>
      <w:r>
        <w:rPr>
          <w:i/>
        </w:rPr>
        <w:t>Le Théâtre de Louis Lemercier, entre Lumières et romantisme</w:t>
      </w:r>
      <w:r>
        <w:t>, Paris, Classiques Garnier, « L’Europe des Lumières », 2015, p. 191-221.</w:t>
      </w:r>
    </w:p>
  </w:footnote>
  <w:footnote w:id="21">
    <w:p w14:paraId="408C4074" w14:textId="77777777" w:rsidR="00DE584F" w:rsidRDefault="00DE584F" w:rsidP="006777BB">
      <w:pPr>
        <w:pStyle w:val="Notedebasdepage"/>
      </w:pPr>
      <w:r>
        <w:rPr>
          <w:vertAlign w:val="superscript"/>
        </w:rPr>
        <w:footnoteRef/>
      </w:r>
      <w:r>
        <w:t xml:space="preserve"> L</w:t>
      </w:r>
      <w:r w:rsidR="00EE1825">
        <w:t xml:space="preserve">ouis Népomucène </w:t>
      </w:r>
      <w:r w:rsidRPr="006C6FE3">
        <w:t>Lemercier</w:t>
      </w:r>
      <w:r>
        <w:t xml:space="preserve">, </w:t>
      </w:r>
      <w:r>
        <w:rPr>
          <w:i/>
        </w:rPr>
        <w:t>Comédies historiques</w:t>
      </w:r>
      <w:r w:rsidRPr="00EE1825">
        <w:t>,</w:t>
      </w:r>
      <w:r>
        <w:rPr>
          <w:i/>
        </w:rPr>
        <w:t xml:space="preserve"> op. cit.</w:t>
      </w:r>
      <w:r>
        <w:t>, p. </w:t>
      </w:r>
      <w:r w:rsidRPr="00EE1825">
        <w:t>iii</w:t>
      </w:r>
      <w:r>
        <w:t>.</w:t>
      </w:r>
    </w:p>
  </w:footnote>
  <w:footnote w:id="22">
    <w:p w14:paraId="5F916799" w14:textId="5A5189AC" w:rsidR="00DE584F" w:rsidRDefault="00DE584F" w:rsidP="006777BB">
      <w:pPr>
        <w:pStyle w:val="Notedebasdepage"/>
      </w:pPr>
      <w:r>
        <w:rPr>
          <w:vertAlign w:val="superscript"/>
        </w:rPr>
        <w:footnoteRef/>
      </w:r>
      <w:r>
        <w:t xml:space="preserve"> Jacques-Marie </w:t>
      </w:r>
      <w:r w:rsidRPr="006C6FE3">
        <w:t>Boutet</w:t>
      </w:r>
      <w:r>
        <w:t xml:space="preserve"> de </w:t>
      </w:r>
      <w:r w:rsidRPr="006C6FE3">
        <w:t>Monvel</w:t>
      </w:r>
      <w:r>
        <w:t xml:space="preserve">, </w:t>
      </w:r>
      <w:r>
        <w:rPr>
          <w:i/>
        </w:rPr>
        <w:t>Le Chevalier sans peur et sans reproche ou les Amours de Bayard</w:t>
      </w:r>
      <w:r>
        <w:t xml:space="preserve">, </w:t>
      </w:r>
      <w:r w:rsidR="00B072FB">
        <w:t xml:space="preserve">dans </w:t>
      </w:r>
      <w:r>
        <w:t>Roselyne Laplace</w:t>
      </w:r>
      <w:r w:rsidR="00B072FB">
        <w:t xml:space="preserve"> (éd.)</w:t>
      </w:r>
      <w:r>
        <w:t xml:space="preserve">, </w:t>
      </w:r>
      <w:r>
        <w:rPr>
          <w:i/>
        </w:rPr>
        <w:t>Théâtre, discours politiques et réflexions diverses</w:t>
      </w:r>
      <w:r>
        <w:t xml:space="preserve">, Paris, </w:t>
      </w:r>
      <w:r w:rsidR="00E7711B">
        <w:t xml:space="preserve">Honoré </w:t>
      </w:r>
      <w:r>
        <w:t xml:space="preserve">Champion, 2001, </w:t>
      </w:r>
      <w:r w:rsidR="00B072FB">
        <w:t xml:space="preserve">I, 1, </w:t>
      </w:r>
      <w:r>
        <w:t>p. 209.</w:t>
      </w:r>
    </w:p>
  </w:footnote>
  <w:footnote w:id="23">
    <w:p w14:paraId="68404108" w14:textId="77777777" w:rsidR="00DE584F" w:rsidRDefault="00DE584F" w:rsidP="006777BB">
      <w:pPr>
        <w:pStyle w:val="Notedebasdepage"/>
      </w:pPr>
      <w:r>
        <w:rPr>
          <w:vertAlign w:val="superscript"/>
        </w:rPr>
        <w:footnoteRef/>
      </w:r>
      <w:r>
        <w:t xml:space="preserve"> Voir Odile </w:t>
      </w:r>
      <w:r w:rsidRPr="006C6FE3">
        <w:t>Krakovitch</w:t>
      </w:r>
      <w:r>
        <w:t>, « Les mythes du bon et du mauvais roi : Henri </w:t>
      </w:r>
      <w:r w:rsidR="006A3553">
        <w:rPr>
          <w:smallCaps/>
        </w:rPr>
        <w:t>IV</w:t>
      </w:r>
      <w:r>
        <w:t xml:space="preserve"> et François</w:t>
      </w:r>
      <w:r>
        <w:rPr>
          <w:smallCaps/>
        </w:rPr>
        <w:t> </w:t>
      </w:r>
      <w:r w:rsidR="006A3553">
        <w:rPr>
          <w:smallCaps/>
        </w:rPr>
        <w:t>I</w:t>
      </w:r>
      <w:r>
        <w:rPr>
          <w:vertAlign w:val="superscript"/>
        </w:rPr>
        <w:t>er</w:t>
      </w:r>
      <w:r>
        <w:t xml:space="preserve"> dans le théâtre de la première moitié du </w:t>
      </w:r>
      <w:r>
        <w:rPr>
          <w:smallCaps/>
        </w:rPr>
        <w:t>xix</w:t>
      </w:r>
      <w:r>
        <w:rPr>
          <w:vertAlign w:val="superscript"/>
        </w:rPr>
        <w:t>e</w:t>
      </w:r>
      <w:r w:rsidRPr="006A3553">
        <w:t> </w:t>
      </w:r>
      <w:r>
        <w:t xml:space="preserve">siècle », </w:t>
      </w:r>
      <w:r>
        <w:rPr>
          <w:i/>
        </w:rPr>
        <w:t>La Légende d’Henri IV</w:t>
      </w:r>
      <w:r>
        <w:t>, Pau, Société Henri IV, 1995, p. 215-241.</w:t>
      </w:r>
    </w:p>
  </w:footnote>
  <w:footnote w:id="24">
    <w:p w14:paraId="040BB1B1" w14:textId="77777777" w:rsidR="00DE584F" w:rsidRDefault="00DE584F" w:rsidP="006777BB">
      <w:pPr>
        <w:pStyle w:val="Notedebasdepage"/>
      </w:pPr>
      <w:r>
        <w:rPr>
          <w:vertAlign w:val="superscript"/>
        </w:rPr>
        <w:footnoteRef/>
      </w:r>
      <w:r>
        <w:t xml:space="preserve"> </w:t>
      </w:r>
      <w:r>
        <w:rPr>
          <w:i/>
        </w:rPr>
        <w:t>Courrier des spectacles</w:t>
      </w:r>
      <w:r>
        <w:t>, 15 mars 1807, p. 2.</w:t>
      </w:r>
    </w:p>
  </w:footnote>
  <w:footnote w:id="25">
    <w:p w14:paraId="4FAC8859" w14:textId="77777777" w:rsidR="00DE584F" w:rsidRDefault="00DE584F" w:rsidP="006777BB">
      <w:pPr>
        <w:pStyle w:val="Notedebasdepage"/>
      </w:pPr>
      <w:r>
        <w:rPr>
          <w:vertAlign w:val="superscript"/>
        </w:rPr>
        <w:footnoteRef/>
      </w:r>
      <w:r>
        <w:t xml:space="preserve"> </w:t>
      </w:r>
      <w:r w:rsidRPr="006C6FE3">
        <w:t>Sewrin</w:t>
      </w:r>
      <w:r>
        <w:t xml:space="preserve"> et </w:t>
      </w:r>
      <w:r w:rsidR="006A3553">
        <w:t xml:space="preserve">René de </w:t>
      </w:r>
      <w:r w:rsidRPr="006C6FE3">
        <w:t>Chazet</w:t>
      </w:r>
      <w:r>
        <w:t xml:space="preserve">, </w:t>
      </w:r>
      <w:r>
        <w:rPr>
          <w:i/>
        </w:rPr>
        <w:t>François I</w:t>
      </w:r>
      <w:r>
        <w:rPr>
          <w:i/>
          <w:vertAlign w:val="superscript"/>
        </w:rPr>
        <w:t>er</w:t>
      </w:r>
      <w:r>
        <w:rPr>
          <w:i/>
        </w:rPr>
        <w:t>, ou la Fête mystérieuse</w:t>
      </w:r>
      <w:r>
        <w:t>, Paris, Barba, 1807.</w:t>
      </w:r>
    </w:p>
  </w:footnote>
  <w:footnote w:id="26">
    <w:p w14:paraId="28F7AF40" w14:textId="16FD6F68" w:rsidR="00DE584F" w:rsidRDefault="00DE584F" w:rsidP="006777BB">
      <w:pPr>
        <w:pStyle w:val="Notedebasdepage"/>
      </w:pPr>
      <w:r>
        <w:rPr>
          <w:vertAlign w:val="superscript"/>
        </w:rPr>
        <w:footnoteRef/>
      </w:r>
      <w:r>
        <w:t xml:space="preserve"> Voir Anne </w:t>
      </w:r>
      <w:r w:rsidRPr="006C6FE3">
        <w:t>Ubersfeld</w:t>
      </w:r>
      <w:r>
        <w:t xml:space="preserve">, « L’espace du drame romantique », Isabelle </w:t>
      </w:r>
      <w:r w:rsidRPr="006C6FE3">
        <w:t>Moindrot</w:t>
      </w:r>
      <w:r>
        <w:t xml:space="preserve"> (dir.), </w:t>
      </w:r>
      <w:r>
        <w:rPr>
          <w:i/>
        </w:rPr>
        <w:t>Le Spectaculaire dans les arts de la scène, du romantisme à la Belle-Époque</w:t>
      </w:r>
      <w:r>
        <w:t>, Paris, CNRS Éditions, « Arts du spectacle », 2006, p. 16-23.</w:t>
      </w:r>
    </w:p>
  </w:footnote>
  <w:footnote w:id="27">
    <w:p w14:paraId="410AF9D3" w14:textId="77777777" w:rsidR="00DE584F" w:rsidRDefault="00DE584F" w:rsidP="006777BB">
      <w:pPr>
        <w:pStyle w:val="Notedebasdepage"/>
      </w:pPr>
      <w:r>
        <w:rPr>
          <w:vertAlign w:val="superscript"/>
        </w:rPr>
        <w:footnoteRef/>
      </w:r>
      <w:r>
        <w:t xml:space="preserve"> Victor </w:t>
      </w:r>
      <w:r w:rsidRPr="00EA5E2F">
        <w:t>Hugo</w:t>
      </w:r>
      <w:r>
        <w:t xml:space="preserve">, </w:t>
      </w:r>
      <w:r>
        <w:rPr>
          <w:i/>
        </w:rPr>
        <w:t>Le Roi s’amuse</w:t>
      </w:r>
      <w:r>
        <w:t xml:space="preserve"> </w:t>
      </w:r>
      <w:r w:rsidR="00F56787">
        <w:t>[</w:t>
      </w:r>
      <w:r>
        <w:t>1832</w:t>
      </w:r>
      <w:r w:rsidR="00F56787">
        <w:t>]</w:t>
      </w:r>
      <w:r>
        <w:t>, J</w:t>
      </w:r>
      <w:r w:rsidR="00F56787">
        <w:t>ean-Jacques</w:t>
      </w:r>
      <w:r>
        <w:t xml:space="preserve"> Thierry et Josette Mélèze</w:t>
      </w:r>
      <w:r w:rsidR="00F56787">
        <w:t xml:space="preserve"> (éd.)</w:t>
      </w:r>
      <w:r>
        <w:t xml:space="preserve">, </w:t>
      </w:r>
      <w:r>
        <w:rPr>
          <w:i/>
        </w:rPr>
        <w:t>Théâtre complet</w:t>
      </w:r>
      <w:r>
        <w:t>, Paris, Gallimard, « Bibliothèque de la Pléiade », 1963, t. I, p. 1372.</w:t>
      </w:r>
    </w:p>
  </w:footnote>
  <w:footnote w:id="28">
    <w:p w14:paraId="5D1EE9BE" w14:textId="77777777" w:rsidR="00DE584F" w:rsidRDefault="00DE584F" w:rsidP="006777BB">
      <w:pPr>
        <w:pStyle w:val="Notedebasdepage"/>
      </w:pPr>
      <w:r>
        <w:rPr>
          <w:vertAlign w:val="superscript"/>
        </w:rPr>
        <w:footnoteRef/>
      </w:r>
      <w:r>
        <w:t xml:space="preserve"> Anne </w:t>
      </w:r>
      <w:r w:rsidRPr="00EA5E2F">
        <w:t>Ubersfeld</w:t>
      </w:r>
      <w:r>
        <w:t xml:space="preserve">, </w:t>
      </w:r>
      <w:r>
        <w:rPr>
          <w:i/>
        </w:rPr>
        <w:t>Le Roi et le Bouffon : étude sur le théâtre de Hugo de 1830 à 1839</w:t>
      </w:r>
      <w:r w:rsidR="0051716C">
        <w:rPr>
          <w:i/>
        </w:rPr>
        <w:t xml:space="preserve"> </w:t>
      </w:r>
      <w:r w:rsidR="0051716C">
        <w:t>[1974]</w:t>
      </w:r>
      <w:r>
        <w:t>, Paris, J. Corti, 2001, p. 636.</w:t>
      </w:r>
    </w:p>
  </w:footnote>
  <w:footnote w:id="29">
    <w:p w14:paraId="05FA12EA" w14:textId="77777777" w:rsidR="00DE584F" w:rsidRDefault="00DE584F" w:rsidP="006777BB">
      <w:pPr>
        <w:pStyle w:val="Notedebasdepage"/>
      </w:pPr>
      <w:r>
        <w:rPr>
          <w:vertAlign w:val="superscript"/>
        </w:rPr>
        <w:footnoteRef/>
      </w:r>
      <w:r>
        <w:t xml:space="preserve"> Sylvain </w:t>
      </w:r>
      <w:r w:rsidRPr="00EA5E2F">
        <w:t>Ledda</w:t>
      </w:r>
      <w:r>
        <w:t xml:space="preserve">, « Notice » de </w:t>
      </w:r>
      <w:r>
        <w:rPr>
          <w:i/>
        </w:rPr>
        <w:t>Henri </w:t>
      </w:r>
      <w:r w:rsidR="0051716C">
        <w:rPr>
          <w:i/>
          <w:smallCaps/>
        </w:rPr>
        <w:t>III</w:t>
      </w:r>
      <w:r>
        <w:rPr>
          <w:i/>
        </w:rPr>
        <w:t xml:space="preserve"> et sa cour</w:t>
      </w:r>
      <w:r>
        <w:t xml:space="preserve">, </w:t>
      </w:r>
      <w:r w:rsidR="0051716C" w:rsidRPr="0051716C">
        <w:rPr>
          <w:i/>
        </w:rPr>
        <w:t>op. cit.</w:t>
      </w:r>
      <w:r>
        <w:t>, p. 45.</w:t>
      </w:r>
    </w:p>
  </w:footnote>
  <w:footnote w:id="30">
    <w:p w14:paraId="65B45C45" w14:textId="77777777" w:rsidR="00DE584F" w:rsidRDefault="00DE584F" w:rsidP="006777BB">
      <w:pPr>
        <w:pStyle w:val="Notedebasdepage"/>
      </w:pPr>
      <w:r>
        <w:rPr>
          <w:vertAlign w:val="superscript"/>
        </w:rPr>
        <w:footnoteRef/>
      </w:r>
      <w:r>
        <w:t xml:space="preserve"> Sur la veine pamphlétaire, pornographique ou carnavalesque du théâtre de la Révolution, voir mon ouvrage </w:t>
      </w:r>
      <w:r>
        <w:rPr>
          <w:i/>
        </w:rPr>
        <w:t>Un théâtre pour la Nation. L’histoire en scène (1765-1806)</w:t>
      </w:r>
      <w:r>
        <w:t>, Lyon, PUL, « Théâtre et société », 2022, p. 163-169.</w:t>
      </w:r>
    </w:p>
  </w:footnote>
  <w:footnote w:id="31">
    <w:p w14:paraId="5344A4EC" w14:textId="77777777" w:rsidR="00EA5E2F" w:rsidRDefault="00EA5E2F" w:rsidP="006777BB">
      <w:pPr>
        <w:pStyle w:val="Notedebasdepage"/>
      </w:pPr>
      <w:r>
        <w:rPr>
          <w:vertAlign w:val="superscript"/>
        </w:rPr>
        <w:footnoteRef/>
      </w:r>
      <w:r>
        <w:t xml:space="preserve"> A</w:t>
      </w:r>
      <w:r w:rsidR="0051716C">
        <w:t xml:space="preserve">lexandre </w:t>
      </w:r>
      <w:r w:rsidRPr="0051716C">
        <w:t>Duval</w:t>
      </w:r>
      <w:r>
        <w:rPr>
          <w:smallCaps/>
        </w:rPr>
        <w:t xml:space="preserve"> </w:t>
      </w:r>
      <w:r>
        <w:t>et J</w:t>
      </w:r>
      <w:r w:rsidR="0051716C">
        <w:t xml:space="preserve">acques Marie </w:t>
      </w:r>
      <w:r w:rsidRPr="00EA5E2F">
        <w:t>Boutet</w:t>
      </w:r>
      <w:r>
        <w:t xml:space="preserve"> d</w:t>
      </w:r>
      <w:r w:rsidR="0051716C">
        <w:t>it</w:t>
      </w:r>
      <w:r>
        <w:t xml:space="preserve"> </w:t>
      </w:r>
      <w:r w:rsidRPr="00EA5E2F">
        <w:t>Monvel</w:t>
      </w:r>
      <w:r>
        <w:t xml:space="preserve">, </w:t>
      </w:r>
      <w:r>
        <w:rPr>
          <w:i/>
        </w:rPr>
        <w:t>La Jeunesse du duc de Richelieu, ou le Lovelace français</w:t>
      </w:r>
      <w:r>
        <w:t>, Paris, Barba, [an V], n. p. (didascalie liminaire). J’ajoute entre crochets les actes correspondants.</w:t>
      </w:r>
    </w:p>
  </w:footnote>
  <w:footnote w:id="32">
    <w:p w14:paraId="0B77D41E" w14:textId="77777777" w:rsidR="00DE584F" w:rsidRDefault="00DE584F" w:rsidP="006777BB">
      <w:pPr>
        <w:pStyle w:val="Notedebasdepage"/>
      </w:pPr>
      <w:r>
        <w:rPr>
          <w:vertAlign w:val="superscript"/>
        </w:rPr>
        <w:footnoteRef/>
      </w:r>
      <w:r>
        <w:t xml:space="preserve"> </w:t>
      </w:r>
      <w:r>
        <w:rPr>
          <w:i/>
        </w:rPr>
        <w:t>Ibid</w:t>
      </w:r>
      <w:r>
        <w:t xml:space="preserve">., </w:t>
      </w:r>
      <w:r w:rsidR="0051716C">
        <w:t xml:space="preserve">II, 5, </w:t>
      </w:r>
      <w:r>
        <w:t>p. 34.</w:t>
      </w:r>
    </w:p>
  </w:footnote>
  <w:footnote w:id="33">
    <w:p w14:paraId="0F114956" w14:textId="77777777" w:rsidR="00DE584F" w:rsidRDefault="00DE584F" w:rsidP="006777BB">
      <w:pPr>
        <w:pStyle w:val="Notedebasdepage"/>
      </w:pPr>
      <w:r>
        <w:rPr>
          <w:vertAlign w:val="superscript"/>
        </w:rPr>
        <w:footnoteRef/>
      </w:r>
      <w:r>
        <w:t xml:space="preserve"> </w:t>
      </w:r>
      <w:r w:rsidRPr="00EA5E2F">
        <w:t>Dumas</w:t>
      </w:r>
      <w:r>
        <w:t xml:space="preserve">, </w:t>
      </w:r>
      <w:r>
        <w:rPr>
          <w:i/>
        </w:rPr>
        <w:t>Henri </w:t>
      </w:r>
      <w:r w:rsidR="0051716C">
        <w:rPr>
          <w:i/>
          <w:smallCaps/>
        </w:rPr>
        <w:t>III</w:t>
      </w:r>
      <w:r>
        <w:rPr>
          <w:i/>
        </w:rPr>
        <w:t xml:space="preserve"> et sa cour</w:t>
      </w:r>
      <w:r>
        <w:t xml:space="preserve">, </w:t>
      </w:r>
      <w:r w:rsidR="0051716C" w:rsidRPr="0051716C">
        <w:rPr>
          <w:i/>
        </w:rPr>
        <w:t>op. cit.</w:t>
      </w:r>
      <w:r>
        <w:t>, I,</w:t>
      </w:r>
      <w:r w:rsidR="0051716C">
        <w:t xml:space="preserve"> </w:t>
      </w:r>
      <w:r>
        <w:t>1, p. 66 et 72-73.</w:t>
      </w:r>
    </w:p>
  </w:footnote>
  <w:footnote w:id="34">
    <w:p w14:paraId="253711D4" w14:textId="77777777" w:rsidR="00DE584F" w:rsidRDefault="00DE584F" w:rsidP="006777BB">
      <w:pPr>
        <w:pStyle w:val="Notedebasdepage"/>
      </w:pPr>
      <w:r>
        <w:rPr>
          <w:vertAlign w:val="superscript"/>
        </w:rPr>
        <w:footnoteRef/>
      </w:r>
      <w:r>
        <w:t xml:space="preserve"> Victor </w:t>
      </w:r>
      <w:r w:rsidRPr="00C60775">
        <w:t>Hugo</w:t>
      </w:r>
      <w:r>
        <w:t xml:space="preserve">, </w:t>
      </w:r>
      <w:r>
        <w:rPr>
          <w:i/>
        </w:rPr>
        <w:t>Angelo, tyran de Padoue</w:t>
      </w:r>
      <w:r>
        <w:t xml:space="preserve"> </w:t>
      </w:r>
      <w:r w:rsidR="00C60775">
        <w:t>[</w:t>
      </w:r>
      <w:r>
        <w:t>1835</w:t>
      </w:r>
      <w:r w:rsidR="00C60775">
        <w:t>]</w:t>
      </w:r>
      <w:r>
        <w:t>, Olivier Bara</w:t>
      </w:r>
      <w:r w:rsidR="00C60775">
        <w:t xml:space="preserve"> (éd.)</w:t>
      </w:r>
      <w:r>
        <w:t>, Paris, Gallimard, « Folio théâtre », 2022, p. 80. Dafne est déjà sortie de scène.</w:t>
      </w:r>
    </w:p>
  </w:footnote>
  <w:footnote w:id="35">
    <w:p w14:paraId="4CB3C496" w14:textId="051B7AFB" w:rsidR="00DE584F" w:rsidRDefault="00DE584F" w:rsidP="006777BB">
      <w:pPr>
        <w:pStyle w:val="Notedebasdepage"/>
      </w:pPr>
      <w:r>
        <w:rPr>
          <w:vertAlign w:val="superscript"/>
        </w:rPr>
        <w:footnoteRef/>
      </w:r>
      <w:r>
        <w:t xml:space="preserve"> </w:t>
      </w:r>
      <w:r w:rsidRPr="00C60775">
        <w:t>Lemercier</w:t>
      </w:r>
      <w:r>
        <w:t xml:space="preserve">, « Avant-propos » des </w:t>
      </w:r>
      <w:r>
        <w:rPr>
          <w:i/>
        </w:rPr>
        <w:t>Comédies historiques</w:t>
      </w:r>
      <w:r w:rsidRPr="00C60775">
        <w:t xml:space="preserve">, </w:t>
      </w:r>
      <w:r>
        <w:rPr>
          <w:i/>
        </w:rPr>
        <w:t>op. cit</w:t>
      </w:r>
      <w:r>
        <w:t>., p. </w:t>
      </w:r>
      <w:r w:rsidRPr="00C60775">
        <w:t>viii</w:t>
      </w:r>
      <w:r>
        <w:t>.</w:t>
      </w:r>
    </w:p>
  </w:footnote>
  <w:footnote w:id="36">
    <w:p w14:paraId="27898EC7" w14:textId="77777777" w:rsidR="00DE584F" w:rsidRDefault="00DE584F" w:rsidP="006777BB">
      <w:pPr>
        <w:pStyle w:val="Notedebasdepage"/>
      </w:pPr>
      <w:r>
        <w:rPr>
          <w:vertAlign w:val="superscript"/>
        </w:rPr>
        <w:footnoteRef/>
      </w:r>
      <w:r>
        <w:t xml:space="preserve"> Voir Didier </w:t>
      </w:r>
      <w:r w:rsidRPr="00C60775">
        <w:t>Alexandre</w:t>
      </w:r>
      <w:r>
        <w:t xml:space="preserve">, « Florence extra muros : le traitement de l’espace dans </w:t>
      </w:r>
      <w:r>
        <w:rPr>
          <w:i/>
        </w:rPr>
        <w:t>Lorenzaccio</w:t>
      </w:r>
      <w:r>
        <w:t xml:space="preserve"> », </w:t>
      </w:r>
      <w:r>
        <w:rPr>
          <w:i/>
        </w:rPr>
        <w:t>Littératures</w:t>
      </w:r>
      <w:r>
        <w:t>, n</w:t>
      </w:r>
      <w:r w:rsidR="00C60775" w:rsidRPr="00C60775">
        <w:rPr>
          <w:vertAlign w:val="superscript"/>
        </w:rPr>
        <w:t>o</w:t>
      </w:r>
      <w:r>
        <w:t> 23, 1990, p. 117-134.</w:t>
      </w:r>
    </w:p>
  </w:footnote>
  <w:footnote w:id="37">
    <w:p w14:paraId="63372B6D" w14:textId="13A79CEF" w:rsidR="00DE584F" w:rsidRDefault="00DE584F" w:rsidP="006777BB">
      <w:pPr>
        <w:pStyle w:val="Notedebasdepage"/>
      </w:pPr>
      <w:r>
        <w:rPr>
          <w:vertAlign w:val="superscript"/>
        </w:rPr>
        <w:footnoteRef/>
      </w:r>
      <w:r>
        <w:t xml:space="preserve"> Voir Thibaut </w:t>
      </w:r>
      <w:r w:rsidRPr="00C60775">
        <w:t>Julian</w:t>
      </w:r>
      <w:r>
        <w:t>, « Louis </w:t>
      </w:r>
      <w:r w:rsidR="00C60775">
        <w:rPr>
          <w:smallCaps/>
        </w:rPr>
        <w:t>XIII</w:t>
      </w:r>
      <w:r>
        <w:rPr>
          <w:smallCaps/>
        </w:rPr>
        <w:t xml:space="preserve"> </w:t>
      </w:r>
      <w:r>
        <w:t xml:space="preserve">et Richelieu au théâtre sous Napoléon, ou Napoléon au théâtre sous Louis XIII et Richelieu », Laurent </w:t>
      </w:r>
      <w:r w:rsidRPr="00C60775">
        <w:t>Angard</w:t>
      </w:r>
      <w:r>
        <w:t xml:space="preserve">, Guillaume </w:t>
      </w:r>
      <w:r w:rsidRPr="00C60775">
        <w:t>Cousin</w:t>
      </w:r>
      <w:r>
        <w:t xml:space="preserve"> </w:t>
      </w:r>
      <w:r w:rsidR="00C60775">
        <w:t>et</w:t>
      </w:r>
      <w:r>
        <w:t xml:space="preserve"> Blandine </w:t>
      </w:r>
      <w:r w:rsidRPr="00C60775">
        <w:t>Poirier</w:t>
      </w:r>
      <w:r w:rsidR="00C60775">
        <w:t xml:space="preserve"> </w:t>
      </w:r>
      <w:r>
        <w:t xml:space="preserve">(dir.), </w:t>
      </w:r>
      <w:r>
        <w:rPr>
          <w:i/>
        </w:rPr>
        <w:t xml:space="preserve">Le Lys recomposé. La représentation des pouvoirs sous l’Ancien Régime dans la littérature fictionnelle du </w:t>
      </w:r>
      <w:r>
        <w:rPr>
          <w:i/>
          <w:smallCaps/>
        </w:rPr>
        <w:t>xix</w:t>
      </w:r>
      <w:r>
        <w:rPr>
          <w:i/>
          <w:vertAlign w:val="superscript"/>
        </w:rPr>
        <w:t>e</w:t>
      </w:r>
      <w:r>
        <w:rPr>
          <w:i/>
        </w:rPr>
        <w:t> siècle (1800-1850)</w:t>
      </w:r>
      <w:r>
        <w:t>, Publications numériques du CÉRÉ</w:t>
      </w:r>
      <w:r w:rsidR="00C60775">
        <w:t>D</w:t>
      </w:r>
      <w:r>
        <w:t xml:space="preserve">I, 2019, </w:t>
      </w:r>
      <w:hyperlink r:id="rId2">
        <w:r>
          <w:rPr>
            <w:color w:val="467886"/>
            <w:u w:val="single"/>
          </w:rPr>
          <w:t>http://publis-shs.univ-rouen.fr/ceredi/index.php?id=680</w:t>
        </w:r>
      </w:hyperlink>
      <w:r w:rsidRPr="00C60775">
        <w:t>.</w:t>
      </w:r>
    </w:p>
  </w:footnote>
  <w:footnote w:id="38">
    <w:p w14:paraId="5689EB35" w14:textId="0A49AD74" w:rsidR="00DE584F" w:rsidRDefault="00DE584F" w:rsidP="006777BB">
      <w:pPr>
        <w:pStyle w:val="Notedebasdepage"/>
      </w:pPr>
      <w:r>
        <w:rPr>
          <w:vertAlign w:val="superscript"/>
        </w:rPr>
        <w:footnoteRef/>
      </w:r>
      <w:r>
        <w:t xml:space="preserve"> </w:t>
      </w:r>
      <w:r w:rsidRPr="00C60775">
        <w:t>Lemercier</w:t>
      </w:r>
      <w:r>
        <w:t xml:space="preserve">, </w:t>
      </w:r>
      <w:r>
        <w:rPr>
          <w:i/>
        </w:rPr>
        <w:t>Richelieu ou la Journée des dupes</w:t>
      </w:r>
      <w:r w:rsidRPr="00C60775">
        <w:t>,</w:t>
      </w:r>
      <w:r>
        <w:rPr>
          <w:i/>
        </w:rPr>
        <w:t xml:space="preserve"> op</w:t>
      </w:r>
      <w:r>
        <w:t>.</w:t>
      </w:r>
      <w:r w:rsidR="00C60775">
        <w:t> </w:t>
      </w:r>
      <w:r>
        <w:rPr>
          <w:i/>
        </w:rPr>
        <w:t>cit</w:t>
      </w:r>
      <w:r>
        <w:t>., I, 7</w:t>
      </w:r>
      <w:r w:rsidR="00C60775">
        <w:t>,</w:t>
      </w:r>
      <w:r>
        <w:t xml:space="preserve"> p. 196 : « Autour du Val-de-Grâce, où se glissent, le soir, / Des agents que, dit-on, la reine daigne voir. / Je n’espionne pas, Dieu m’en garde ! j’épie. / Je sers le cardinal, partant c’est œuvre pie. »</w:t>
      </w:r>
    </w:p>
  </w:footnote>
  <w:footnote w:id="39">
    <w:p w14:paraId="04113EB4" w14:textId="478FEC71" w:rsidR="00DE584F" w:rsidRDefault="00DE584F" w:rsidP="006777BB">
      <w:pPr>
        <w:pStyle w:val="Notedebasdepage"/>
      </w:pPr>
      <w:r>
        <w:rPr>
          <w:vertAlign w:val="superscript"/>
        </w:rPr>
        <w:footnoteRef/>
      </w:r>
      <w:r>
        <w:t xml:space="preserve"> </w:t>
      </w:r>
      <w:r w:rsidRPr="00C60775">
        <w:t>Lemercier</w:t>
      </w:r>
      <w:r>
        <w:t xml:space="preserve">, </w:t>
      </w:r>
      <w:r>
        <w:rPr>
          <w:i/>
        </w:rPr>
        <w:t>Pinto, ou la Journée d’une conspiration</w:t>
      </w:r>
      <w:r>
        <w:t>, V</w:t>
      </w:r>
      <w:r w:rsidR="00C60775">
        <w:t>incenzo</w:t>
      </w:r>
      <w:r>
        <w:t xml:space="preserve"> De Santis</w:t>
      </w:r>
      <w:r w:rsidR="00C60775">
        <w:t xml:space="preserve"> (éd.)</w:t>
      </w:r>
      <w:r>
        <w:t xml:space="preserve">, dans </w:t>
      </w:r>
      <w:r>
        <w:rPr>
          <w:i/>
        </w:rPr>
        <w:t>Le Théâtre de Louis Lemercier, entre Lumières et romantisme</w:t>
      </w:r>
      <w:r>
        <w:t xml:space="preserve">, </w:t>
      </w:r>
      <w:r>
        <w:rPr>
          <w:i/>
        </w:rPr>
        <w:t>op. cit</w:t>
      </w:r>
      <w:r>
        <w:t>., p. 511 (fin de l’acte I).</w:t>
      </w:r>
    </w:p>
  </w:footnote>
  <w:footnote w:id="40">
    <w:p w14:paraId="249F28D4" w14:textId="77777777" w:rsidR="00DE584F" w:rsidRDefault="00DE584F" w:rsidP="006777BB">
      <w:pPr>
        <w:pStyle w:val="Notedebasdepage"/>
      </w:pPr>
      <w:r>
        <w:rPr>
          <w:vertAlign w:val="superscript"/>
        </w:rPr>
        <w:footnoteRef/>
      </w:r>
      <w:r>
        <w:t xml:space="preserve"> </w:t>
      </w:r>
      <w:r>
        <w:rPr>
          <w:i/>
        </w:rPr>
        <w:t>Ibid</w:t>
      </w:r>
      <w:r>
        <w:t>.,</w:t>
      </w:r>
      <w:r w:rsidR="00C53EC2" w:rsidRPr="00C53EC2">
        <w:t xml:space="preserve"> </w:t>
      </w:r>
      <w:r w:rsidR="00C53EC2">
        <w:t>II, 5,</w:t>
      </w:r>
      <w:r>
        <w:t xml:space="preserve"> p. 521.</w:t>
      </w:r>
    </w:p>
  </w:footnote>
  <w:footnote w:id="41">
    <w:p w14:paraId="08EE11A7" w14:textId="77777777" w:rsidR="00DE584F" w:rsidRDefault="00DE584F" w:rsidP="006777BB">
      <w:pPr>
        <w:pStyle w:val="Notedebasdepage"/>
      </w:pPr>
      <w:r>
        <w:rPr>
          <w:vertAlign w:val="superscript"/>
        </w:rPr>
        <w:footnoteRef/>
      </w:r>
      <w:r>
        <w:t xml:space="preserve"> Au sens mécanique ici, défini dans le </w:t>
      </w:r>
      <w:r>
        <w:rPr>
          <w:i/>
        </w:rPr>
        <w:t>Dictionnaire de l’Académie française</w:t>
      </w:r>
      <w:r>
        <w:t xml:space="preserve"> (3</w:t>
      </w:r>
      <w:r>
        <w:rPr>
          <w:vertAlign w:val="superscript"/>
        </w:rPr>
        <w:t>e</w:t>
      </w:r>
      <w:r w:rsidRPr="00D04DC2">
        <w:t> </w:t>
      </w:r>
      <w:r>
        <w:t xml:space="preserve">édition, 1740) : « On appelle, dans quelques Arts mécaniques, </w:t>
      </w:r>
      <w:r>
        <w:rPr>
          <w:i/>
        </w:rPr>
        <w:t>Secrets</w:t>
      </w:r>
      <w:r>
        <w:t xml:space="preserve">, Certains ressorts particuliers qui servent à divers usages. </w:t>
      </w:r>
      <w:r>
        <w:rPr>
          <w:i/>
        </w:rPr>
        <w:t>On ne peut ouvrir ce coffre-fort, si l’on n’en sait le secret. Il y a un secret qui fait qu’une arquebuse tire deux, trois coups. </w:t>
      </w:r>
      <w:r>
        <w:t xml:space="preserve">/ On appelle aussi, </w:t>
      </w:r>
      <w:r>
        <w:rPr>
          <w:i/>
        </w:rPr>
        <w:t>Secret</w:t>
      </w:r>
      <w:r>
        <w:t>, Une cache qui est pratiquée dans un coffre-fort, dans un cabinet » (https://www.dictionnaire-academie.fr/article/A3S0340).</w:t>
      </w:r>
    </w:p>
  </w:footnote>
  <w:footnote w:id="42">
    <w:p w14:paraId="3027F5D5" w14:textId="77777777" w:rsidR="00DE584F" w:rsidRDefault="00DE584F" w:rsidP="006777BB">
      <w:pPr>
        <w:pStyle w:val="Notedebasdepage"/>
      </w:pPr>
      <w:r>
        <w:rPr>
          <w:vertAlign w:val="superscript"/>
        </w:rPr>
        <w:footnoteRef/>
      </w:r>
      <w:r>
        <w:t xml:space="preserve"> </w:t>
      </w:r>
      <w:r w:rsidRPr="0057604E">
        <w:t>Beaumarchais</w:t>
      </w:r>
      <w:r>
        <w:t xml:space="preserve">, </w:t>
      </w:r>
      <w:r>
        <w:rPr>
          <w:i/>
        </w:rPr>
        <w:t>La Mère coupable</w:t>
      </w:r>
      <w:r>
        <w:t xml:space="preserve"> </w:t>
      </w:r>
      <w:r w:rsidR="00134983">
        <w:t>[</w:t>
      </w:r>
      <w:r>
        <w:t>1792</w:t>
      </w:r>
      <w:r w:rsidR="00134983">
        <w:t>]</w:t>
      </w:r>
      <w:r>
        <w:t xml:space="preserve">, </w:t>
      </w:r>
      <w:r w:rsidR="00134983">
        <w:t>dans</w:t>
      </w:r>
      <w:r>
        <w:t xml:space="preserve"> </w:t>
      </w:r>
      <w:r>
        <w:rPr>
          <w:i/>
        </w:rPr>
        <w:t>Œuvres</w:t>
      </w:r>
      <w:r>
        <w:t xml:space="preserve">, </w:t>
      </w:r>
      <w:r w:rsidR="00134983" w:rsidRPr="00134983">
        <w:rPr>
          <w:i/>
        </w:rPr>
        <w:t>op. cit.</w:t>
      </w:r>
      <w:r>
        <w:t xml:space="preserve">, </w:t>
      </w:r>
      <w:r w:rsidR="00134983">
        <w:t xml:space="preserve">I, 8, </w:t>
      </w:r>
      <w:r>
        <w:t>p. 615-616.</w:t>
      </w:r>
    </w:p>
  </w:footnote>
  <w:footnote w:id="43">
    <w:p w14:paraId="080EAEC5" w14:textId="77777777" w:rsidR="00DE584F" w:rsidRDefault="00DE584F" w:rsidP="006777BB">
      <w:pPr>
        <w:pStyle w:val="Notedebasdepage"/>
      </w:pPr>
      <w:r>
        <w:rPr>
          <w:vertAlign w:val="superscript"/>
        </w:rPr>
        <w:footnoteRef/>
      </w:r>
      <w:r>
        <w:t xml:space="preserve"> Tel est le genre indiqué sur la page de garde. Mais Duval, dans sa « Notice » introductive, explique avoir conçu une tragédie sur le modèle étranger : « cet ouvrage, </w:t>
      </w:r>
      <w:r>
        <w:rPr>
          <w:i/>
        </w:rPr>
        <w:t>drame</w:t>
      </w:r>
      <w:r>
        <w:t xml:space="preserve"> ou </w:t>
      </w:r>
      <w:r>
        <w:rPr>
          <w:i/>
        </w:rPr>
        <w:t>tragédie</w:t>
      </w:r>
      <w:r>
        <w:t xml:space="preserve">, comme on voudra le nommer, fut longtemps l’objet de mes rêves […] » </w:t>
      </w:r>
      <w:r w:rsidR="00B1423D">
        <w:t>(</w:t>
      </w:r>
      <w:r>
        <w:t>A</w:t>
      </w:r>
      <w:r w:rsidR="00B1423D">
        <w:t xml:space="preserve">lexandre </w:t>
      </w:r>
      <w:r w:rsidRPr="0057604E">
        <w:t>Duval</w:t>
      </w:r>
      <w:r>
        <w:t xml:space="preserve">, </w:t>
      </w:r>
      <w:r>
        <w:rPr>
          <w:i/>
        </w:rPr>
        <w:t>Struensé ou le ministre d’État</w:t>
      </w:r>
      <w:r>
        <w:t xml:space="preserve">, dans </w:t>
      </w:r>
      <w:r>
        <w:rPr>
          <w:i/>
        </w:rPr>
        <w:t>Œuvres complètes d’Alexandre Duval</w:t>
      </w:r>
      <w:r>
        <w:t xml:space="preserve">, </w:t>
      </w:r>
      <w:r w:rsidR="00B1423D" w:rsidRPr="00B1423D">
        <w:rPr>
          <w:i/>
        </w:rPr>
        <w:t>op. cit.</w:t>
      </w:r>
      <w:r>
        <w:t>, t. IV, p. 106</w:t>
      </w:r>
      <w:r w:rsidR="00B1423D">
        <w:t>)</w:t>
      </w:r>
      <w:r>
        <w:t>.</w:t>
      </w:r>
    </w:p>
  </w:footnote>
  <w:footnote w:id="44">
    <w:p w14:paraId="36536C7F" w14:textId="77777777" w:rsidR="00DE584F" w:rsidRDefault="00DE584F" w:rsidP="006777BB">
      <w:pPr>
        <w:pStyle w:val="Notedebasdepage"/>
      </w:pPr>
      <w:r>
        <w:rPr>
          <w:vertAlign w:val="superscript"/>
        </w:rPr>
        <w:footnoteRef/>
      </w:r>
      <w:r>
        <w:t xml:space="preserve"> Le même sujet sera repris par </w:t>
      </w:r>
      <w:r w:rsidRPr="0057604E">
        <w:t>Gaillardet</w:t>
      </w:r>
      <w:r>
        <w:t xml:space="preserve"> dans </w:t>
      </w:r>
      <w:r>
        <w:rPr>
          <w:i/>
        </w:rPr>
        <w:t>Struensée ou le médecin de la reine</w:t>
      </w:r>
      <w:r>
        <w:t>, Paris, Barba, 1833.</w:t>
      </w:r>
    </w:p>
  </w:footnote>
  <w:footnote w:id="45">
    <w:p w14:paraId="39760F11" w14:textId="77777777" w:rsidR="00DE584F" w:rsidRDefault="00DE584F" w:rsidP="006777BB">
      <w:pPr>
        <w:pStyle w:val="Notedebasdepage"/>
      </w:pPr>
      <w:r>
        <w:rPr>
          <w:vertAlign w:val="superscript"/>
        </w:rPr>
        <w:footnoteRef/>
      </w:r>
      <w:r>
        <w:t xml:space="preserve"> A</w:t>
      </w:r>
      <w:r w:rsidR="00B1423D">
        <w:t xml:space="preserve">lexandre </w:t>
      </w:r>
      <w:r w:rsidRPr="0057604E">
        <w:t>Duval</w:t>
      </w:r>
      <w:r>
        <w:t xml:space="preserve">, </w:t>
      </w:r>
      <w:r>
        <w:rPr>
          <w:i/>
        </w:rPr>
        <w:t>Struensé ou le ministre d’État</w:t>
      </w:r>
      <w:r>
        <w:t xml:space="preserve">, </w:t>
      </w:r>
      <w:r w:rsidR="00B100CF" w:rsidRPr="00B100CF">
        <w:rPr>
          <w:i/>
        </w:rPr>
        <w:t>op. cit.</w:t>
      </w:r>
      <w:r>
        <w:t>, p. 173 : « Enfin, madame, comme mère de votre époux, j’ai le droit de savoir des secrets qui intéressent son honneur. C’est à ce titre sacré que je vous demande la lecture de cette lettre » (III, 9)</w:t>
      </w:r>
      <w:r w:rsidR="00B100CF">
        <w:t>.</w:t>
      </w:r>
    </w:p>
  </w:footnote>
  <w:footnote w:id="46">
    <w:p w14:paraId="012CCB3B" w14:textId="77777777" w:rsidR="00DE584F" w:rsidRDefault="00DE584F" w:rsidP="006777BB">
      <w:pPr>
        <w:pStyle w:val="Notedebasdepage"/>
      </w:pPr>
      <w:r>
        <w:rPr>
          <w:vertAlign w:val="superscript"/>
        </w:rPr>
        <w:footnoteRef/>
      </w:r>
      <w:r>
        <w:t xml:space="preserve"> Voir Jean-Marc </w:t>
      </w:r>
      <w:r w:rsidRPr="00F440A5">
        <w:t>Hovasse</w:t>
      </w:r>
      <w:r w:rsidR="00F440A5">
        <w:t xml:space="preserve"> </w:t>
      </w:r>
      <w:r>
        <w:t xml:space="preserve">(dir.), </w:t>
      </w:r>
      <w:r>
        <w:rPr>
          <w:i/>
        </w:rPr>
        <w:t>Correspondance et théâtre</w:t>
      </w:r>
      <w:r>
        <w:t xml:space="preserve">, Rennes, PUR, « Interférences », 2012, notamment l’étude d’Éric </w:t>
      </w:r>
      <w:r w:rsidRPr="00F440A5">
        <w:t>Francalanza</w:t>
      </w:r>
      <w:r>
        <w:t>, « La lettre dans le théâtre de Marivaux », p. 275-291.</w:t>
      </w:r>
    </w:p>
  </w:footnote>
  <w:footnote w:id="47">
    <w:p w14:paraId="2E7D57EC" w14:textId="77777777" w:rsidR="00DE584F" w:rsidRDefault="00DE584F" w:rsidP="006777BB">
      <w:pPr>
        <w:pStyle w:val="Notedebasdepage"/>
      </w:pPr>
      <w:r>
        <w:rPr>
          <w:vertAlign w:val="superscript"/>
        </w:rPr>
        <w:footnoteRef/>
      </w:r>
      <w:r>
        <w:t xml:space="preserve"> </w:t>
      </w:r>
      <w:r w:rsidRPr="00F440A5">
        <w:t>Hugo</w:t>
      </w:r>
      <w:r>
        <w:t xml:space="preserve">, </w:t>
      </w:r>
      <w:r>
        <w:rPr>
          <w:i/>
        </w:rPr>
        <w:t>Ruy Blas</w:t>
      </w:r>
      <w:r>
        <w:t xml:space="preserve"> </w:t>
      </w:r>
      <w:r w:rsidR="00F440A5">
        <w:t>[</w:t>
      </w:r>
      <w:r>
        <w:t>1838</w:t>
      </w:r>
      <w:r w:rsidR="00F440A5">
        <w:t>]</w:t>
      </w:r>
      <w:r>
        <w:t xml:space="preserve">, </w:t>
      </w:r>
      <w:r w:rsidR="00F440A5">
        <w:t>dans</w:t>
      </w:r>
      <w:r>
        <w:t xml:space="preserve"> </w:t>
      </w:r>
      <w:r>
        <w:rPr>
          <w:i/>
        </w:rPr>
        <w:t>Théâtre complet</w:t>
      </w:r>
      <w:r>
        <w:t xml:space="preserve">, </w:t>
      </w:r>
      <w:r w:rsidR="00F440A5" w:rsidRPr="00F440A5">
        <w:rPr>
          <w:i/>
        </w:rPr>
        <w:t>op. cit.</w:t>
      </w:r>
      <w:r>
        <w:t xml:space="preserve">, </w:t>
      </w:r>
      <w:r w:rsidR="00F440A5">
        <w:t xml:space="preserve">IV, 1, </w:t>
      </w:r>
      <w:r>
        <w:t>p. 1600.</w:t>
      </w:r>
    </w:p>
  </w:footnote>
  <w:footnote w:id="48">
    <w:p w14:paraId="19A2C923" w14:textId="203C407D" w:rsidR="00DE584F" w:rsidRDefault="00DE584F" w:rsidP="006777BB">
      <w:pPr>
        <w:pStyle w:val="Notedebasdepage"/>
      </w:pPr>
      <w:r>
        <w:rPr>
          <w:vertAlign w:val="superscript"/>
        </w:rPr>
        <w:footnoteRef/>
      </w:r>
      <w:r>
        <w:t xml:space="preserve"> Florence </w:t>
      </w:r>
      <w:r w:rsidRPr="00F440A5">
        <w:t>Naugrette</w:t>
      </w:r>
      <w:r>
        <w:t xml:space="preserve">, « Pantomime et tableau », Florence </w:t>
      </w:r>
      <w:r w:rsidRPr="00F440A5">
        <w:t>Naugrette</w:t>
      </w:r>
      <w:r>
        <w:t xml:space="preserve"> et Guy </w:t>
      </w:r>
      <w:r w:rsidRPr="00F440A5">
        <w:t>Rosa</w:t>
      </w:r>
      <w:r w:rsidR="00F440A5">
        <w:t xml:space="preserve"> </w:t>
      </w:r>
      <w:r>
        <w:t xml:space="preserve">(dir.), </w:t>
      </w:r>
      <w:r>
        <w:rPr>
          <w:i/>
        </w:rPr>
        <w:t>Victor Hugo et la langue</w:t>
      </w:r>
      <w:r>
        <w:t>, Rosny-sous-Bois, Bréal, 2005, p. 429-450 (435).</w:t>
      </w:r>
    </w:p>
  </w:footnote>
  <w:footnote w:id="49">
    <w:p w14:paraId="150AFEE0" w14:textId="77777777" w:rsidR="00DE584F" w:rsidRDefault="00DE584F" w:rsidP="006777BB">
      <w:pPr>
        <w:pStyle w:val="Notedebasdepage"/>
      </w:pPr>
      <w:r>
        <w:rPr>
          <w:vertAlign w:val="superscript"/>
        </w:rPr>
        <w:footnoteRef/>
      </w:r>
      <w:r>
        <w:t xml:space="preserve"> </w:t>
      </w:r>
      <w:r>
        <w:rPr>
          <w:i/>
        </w:rPr>
        <w:t>Ibid</w:t>
      </w:r>
      <w:r>
        <w:t>., p. 442.</w:t>
      </w:r>
    </w:p>
  </w:footnote>
  <w:footnote w:id="50">
    <w:p w14:paraId="61E08737" w14:textId="776E98D1" w:rsidR="00DE584F" w:rsidRDefault="00DE584F" w:rsidP="006777BB">
      <w:pPr>
        <w:pStyle w:val="Notedebasdepage"/>
      </w:pPr>
      <w:r>
        <w:rPr>
          <w:vertAlign w:val="superscript"/>
        </w:rPr>
        <w:footnoteRef/>
      </w:r>
      <w:r w:rsidR="00F440A5">
        <w:t xml:space="preserve"> </w:t>
      </w:r>
      <w:r w:rsidRPr="00F440A5">
        <w:t>Lemercier</w:t>
      </w:r>
      <w:r>
        <w:t xml:space="preserve">, </w:t>
      </w:r>
      <w:r>
        <w:rPr>
          <w:i/>
        </w:rPr>
        <w:t>Pinto</w:t>
      </w:r>
      <w:r>
        <w:t xml:space="preserve">, </w:t>
      </w:r>
      <w:r w:rsidR="00F440A5" w:rsidRPr="00F440A5">
        <w:rPr>
          <w:i/>
        </w:rPr>
        <w:t>op. cit.</w:t>
      </w:r>
      <w:r>
        <w:t xml:space="preserve">, </w:t>
      </w:r>
      <w:r w:rsidR="00F440A5">
        <w:t xml:space="preserve">V, 10-13, </w:t>
      </w:r>
      <w:r>
        <w:t>p. 614 et 619.</w:t>
      </w:r>
    </w:p>
  </w:footnote>
  <w:footnote w:id="51">
    <w:p w14:paraId="7DB03523" w14:textId="77777777" w:rsidR="00DE584F" w:rsidRDefault="00DE584F" w:rsidP="006777BB">
      <w:pPr>
        <w:pStyle w:val="Notedebasdepage"/>
      </w:pPr>
      <w:r>
        <w:rPr>
          <w:vertAlign w:val="superscript"/>
        </w:rPr>
        <w:footnoteRef/>
      </w:r>
      <w:r>
        <w:t xml:space="preserve"> </w:t>
      </w:r>
      <w:r>
        <w:rPr>
          <w:i/>
        </w:rPr>
        <w:t>Ibid</w:t>
      </w:r>
      <w:r>
        <w:t>., p. 622.</w:t>
      </w:r>
    </w:p>
  </w:footnote>
  <w:footnote w:id="52">
    <w:p w14:paraId="6BF3744D" w14:textId="68E98E19" w:rsidR="00DE584F" w:rsidRDefault="00DE584F" w:rsidP="006777BB">
      <w:pPr>
        <w:pStyle w:val="Notedebasdepage"/>
      </w:pPr>
      <w:r>
        <w:rPr>
          <w:vertAlign w:val="superscript"/>
        </w:rPr>
        <w:footnoteRef/>
      </w:r>
      <w:r>
        <w:t xml:space="preserve"> Inversement, dans la « troisième journée » d’</w:t>
      </w:r>
      <w:r>
        <w:rPr>
          <w:i/>
        </w:rPr>
        <w:t>Angelo, tyran de Padoue</w:t>
      </w:r>
      <w:r>
        <w:t>, le lit devient le signe métonymique de la mort de Catarina commanditée par son mari, qui déclare : « Mon lit souillé se change en tombe » (</w:t>
      </w:r>
      <w:r w:rsidR="009B284F" w:rsidRPr="009B284F">
        <w:rPr>
          <w:i/>
        </w:rPr>
        <w:t>op. cit.</w:t>
      </w:r>
      <w:r>
        <w:t>, p. 144). Sa femme découvre peu après le funèbre appareil : « </w:t>
      </w:r>
      <w:r>
        <w:rPr>
          <w:i/>
        </w:rPr>
        <w:t>Elle tire le rideau et recule avec horreur. À la place du lit il y a un billot couvert d’un drap noir et une hache</w:t>
      </w:r>
      <w:r>
        <w:t> » (p. 152). Mais Tisbe, sa rivale, la sauve en substituant un narcotique au poison, et la recueille dans son propre lit où elle se réveille au dénouement, alors que Tisbe s’est empoisonnée.</w:t>
      </w:r>
    </w:p>
  </w:footnote>
  <w:footnote w:id="53">
    <w:p w14:paraId="75C1A016" w14:textId="77777777" w:rsidR="00DE584F" w:rsidRDefault="00DE584F" w:rsidP="006777BB">
      <w:pPr>
        <w:pStyle w:val="Notedebasdepage"/>
      </w:pPr>
      <w:r>
        <w:rPr>
          <w:vertAlign w:val="superscript"/>
        </w:rPr>
        <w:footnoteRef/>
      </w:r>
      <w:r>
        <w:t xml:space="preserve"> </w:t>
      </w:r>
      <w:r w:rsidRPr="000674F2">
        <w:t>Hugo</w:t>
      </w:r>
      <w:r>
        <w:t xml:space="preserve">, </w:t>
      </w:r>
      <w:r>
        <w:rPr>
          <w:i/>
        </w:rPr>
        <w:t>Le Roi s’amuse</w:t>
      </w:r>
      <w:r>
        <w:t xml:space="preserve">, </w:t>
      </w:r>
      <w:r w:rsidR="000674F2" w:rsidRPr="000674F2">
        <w:rPr>
          <w:i/>
        </w:rPr>
        <w:t>op. cit.</w:t>
      </w:r>
      <w:r>
        <w:t>, p. 1410.</w:t>
      </w:r>
    </w:p>
  </w:footnote>
  <w:footnote w:id="54">
    <w:p w14:paraId="20275E69" w14:textId="51A13447" w:rsidR="00DE584F" w:rsidRPr="004A6115" w:rsidRDefault="00DE584F" w:rsidP="006777BB">
      <w:pPr>
        <w:pStyle w:val="Notedebasdepage"/>
        <w:rPr>
          <w:lang w:val="de-DE"/>
        </w:rPr>
      </w:pPr>
      <w:r>
        <w:rPr>
          <w:vertAlign w:val="superscript"/>
        </w:rPr>
        <w:footnoteRef/>
      </w:r>
      <w:r w:rsidRPr="004A6115">
        <w:rPr>
          <w:lang w:val="de-DE"/>
        </w:rPr>
        <w:t xml:space="preserve"> </w:t>
      </w:r>
      <w:r w:rsidRPr="004A6115">
        <w:rPr>
          <w:i/>
          <w:lang w:val="de-DE"/>
        </w:rPr>
        <w:t>Ibid</w:t>
      </w:r>
      <w:r w:rsidRPr="004A6115">
        <w:rPr>
          <w:lang w:val="de-DE"/>
        </w:rPr>
        <w:t xml:space="preserve">., </w:t>
      </w:r>
      <w:r w:rsidRPr="00F733FC">
        <w:rPr>
          <w:lang w:val="de-DE"/>
        </w:rPr>
        <w:t>p. 1419 (III, 3)</w:t>
      </w:r>
      <w:r w:rsidR="00F733FC">
        <w:rPr>
          <w:lang w:val="de-DE"/>
        </w:rPr>
        <w:t>.</w:t>
      </w:r>
    </w:p>
  </w:footnote>
  <w:footnote w:id="55">
    <w:p w14:paraId="215DA3B6" w14:textId="77777777" w:rsidR="00DE584F" w:rsidRPr="004A6115" w:rsidRDefault="00DE584F" w:rsidP="006777BB">
      <w:pPr>
        <w:pStyle w:val="Notedebasdepage"/>
        <w:rPr>
          <w:lang w:val="de-DE"/>
        </w:rPr>
      </w:pPr>
      <w:r>
        <w:rPr>
          <w:vertAlign w:val="superscript"/>
        </w:rPr>
        <w:footnoteRef/>
      </w:r>
      <w:r w:rsidRPr="004A6115">
        <w:rPr>
          <w:lang w:val="de-DE"/>
        </w:rPr>
        <w:t xml:space="preserve"> </w:t>
      </w:r>
      <w:r w:rsidRPr="004A6115">
        <w:rPr>
          <w:i/>
          <w:lang w:val="de-DE"/>
        </w:rPr>
        <w:t>Ibid</w:t>
      </w:r>
      <w:r w:rsidRPr="004A6115">
        <w:rPr>
          <w:lang w:val="de-DE"/>
        </w:rPr>
        <w:t xml:space="preserve">., </w:t>
      </w:r>
      <w:r w:rsidR="000674F2" w:rsidRPr="004A6115">
        <w:rPr>
          <w:lang w:val="de-DE"/>
        </w:rPr>
        <w:t>III,</w:t>
      </w:r>
      <w:r w:rsidR="000674F2">
        <w:rPr>
          <w:lang w:val="de-DE"/>
        </w:rPr>
        <w:t xml:space="preserve"> </w:t>
      </w:r>
      <w:r w:rsidR="000674F2" w:rsidRPr="004A6115">
        <w:rPr>
          <w:lang w:val="de-DE"/>
        </w:rPr>
        <w:t>4</w:t>
      </w:r>
      <w:r w:rsidR="000674F2">
        <w:rPr>
          <w:lang w:val="de-DE"/>
        </w:rPr>
        <w:t xml:space="preserve">, </w:t>
      </w:r>
      <w:r w:rsidRPr="004A6115">
        <w:rPr>
          <w:lang w:val="de-DE"/>
        </w:rPr>
        <w:t>p. 1435.</w:t>
      </w:r>
    </w:p>
  </w:footnote>
  <w:footnote w:id="56">
    <w:p w14:paraId="205E2E1F" w14:textId="77777777" w:rsidR="00DE584F" w:rsidRDefault="00DE584F" w:rsidP="006777BB">
      <w:pPr>
        <w:pStyle w:val="Notedebasdepage"/>
      </w:pPr>
      <w:r>
        <w:rPr>
          <w:vertAlign w:val="superscript"/>
        </w:rPr>
        <w:footnoteRef/>
      </w:r>
      <w:r w:rsidRPr="000674F2">
        <w:rPr>
          <w:lang w:val="de-DE"/>
        </w:rPr>
        <w:t xml:space="preserve"> </w:t>
      </w:r>
      <w:r w:rsidRPr="000674F2">
        <w:rPr>
          <w:i/>
          <w:lang w:val="de-DE"/>
        </w:rPr>
        <w:t>Ibid</w:t>
      </w:r>
      <w:r w:rsidRPr="000674F2">
        <w:rPr>
          <w:lang w:val="de-DE"/>
        </w:rPr>
        <w:t xml:space="preserve">., </w:t>
      </w:r>
      <w:r w:rsidR="000674F2" w:rsidRPr="000674F2">
        <w:rPr>
          <w:lang w:val="de-DE"/>
        </w:rPr>
        <w:t>IV,</w:t>
      </w:r>
      <w:r w:rsidR="000674F2">
        <w:rPr>
          <w:lang w:val="de-DE"/>
        </w:rPr>
        <w:t xml:space="preserve"> </w:t>
      </w:r>
      <w:r w:rsidR="000674F2" w:rsidRPr="000674F2">
        <w:rPr>
          <w:lang w:val="de-DE"/>
        </w:rPr>
        <w:t>2</w:t>
      </w:r>
      <w:r w:rsidR="000674F2">
        <w:rPr>
          <w:lang w:val="de-DE"/>
        </w:rPr>
        <w:t xml:space="preserve">, </w:t>
      </w:r>
      <w:r w:rsidRPr="000674F2">
        <w:rPr>
          <w:lang w:val="de-DE"/>
        </w:rPr>
        <w:t>p. </w:t>
      </w:r>
      <w:r>
        <w:t>1444-1445. Le dispositif scopique est précisé par la didascalie : « </w:t>
      </w:r>
      <w:r>
        <w:rPr>
          <w:i/>
        </w:rPr>
        <w:t xml:space="preserve">Le roi, vêtu en simple officier, paraît dans la salle basse de l’hôtellerie. Il entre par une petite porte qui communique avec quelque chambre voisine. </w:t>
      </w:r>
      <w:r>
        <w:t xml:space="preserve">[…] </w:t>
      </w:r>
      <w:r>
        <w:rPr>
          <w:i/>
        </w:rPr>
        <w:t xml:space="preserve"> Pendant toute la scène qui suit, </w:t>
      </w:r>
      <w:r>
        <w:t>[</w:t>
      </w:r>
      <w:r>
        <w:rPr>
          <w:i/>
        </w:rPr>
        <w:t>Blanche</w:t>
      </w:r>
      <w:r>
        <w:t>]</w:t>
      </w:r>
      <w:r>
        <w:rPr>
          <w:i/>
        </w:rPr>
        <w:t xml:space="preserve"> demeure collée à la crevasse du mur, regardant, écoutant tout ce qui se passe dans l’intérieur de la salle, inattentive à tout le reste, agitée par moments d’un tremblement convulsif </w:t>
      </w:r>
      <w:r>
        <w:t>» (p. 1441)</w:t>
      </w:r>
      <w:r w:rsidR="000674F2">
        <w:t>.</w:t>
      </w:r>
    </w:p>
  </w:footnote>
  <w:footnote w:id="57">
    <w:p w14:paraId="581C2D28" w14:textId="77777777" w:rsidR="00842018" w:rsidRDefault="00842018" w:rsidP="006777BB">
      <w:pPr>
        <w:pStyle w:val="Notedebasdepage"/>
      </w:pPr>
      <w:r>
        <w:rPr>
          <w:vertAlign w:val="superscript"/>
        </w:rPr>
        <w:footnoteRef/>
      </w:r>
      <w:r>
        <w:t xml:space="preserve"> A</w:t>
      </w:r>
      <w:r w:rsidR="003D365E">
        <w:t xml:space="preserve">nne </w:t>
      </w:r>
      <w:r w:rsidRPr="003D365E">
        <w:t>Ubersfeld</w:t>
      </w:r>
      <w:r>
        <w:t xml:space="preserve">, </w:t>
      </w:r>
      <w:r>
        <w:rPr>
          <w:i/>
        </w:rPr>
        <w:t>Le Roi et le Bouffon</w:t>
      </w:r>
      <w:r w:rsidRPr="003D365E">
        <w:t>,</w:t>
      </w:r>
      <w:r>
        <w:rPr>
          <w:i/>
        </w:rPr>
        <w:t xml:space="preserve"> op.</w:t>
      </w:r>
      <w:r w:rsidR="003D365E">
        <w:rPr>
          <w:i/>
        </w:rPr>
        <w:t> </w:t>
      </w:r>
      <w:r>
        <w:rPr>
          <w:i/>
        </w:rPr>
        <w:t>cit</w:t>
      </w:r>
      <w:r>
        <w:t>., p. 637-640.</w:t>
      </w:r>
    </w:p>
  </w:footnote>
  <w:footnote w:id="58">
    <w:p w14:paraId="4BFD45D3" w14:textId="77777777" w:rsidR="00DE584F" w:rsidRDefault="00DE584F" w:rsidP="006777BB">
      <w:pPr>
        <w:pStyle w:val="Notedebasdepage"/>
      </w:pPr>
      <w:r>
        <w:rPr>
          <w:vertAlign w:val="superscript"/>
        </w:rPr>
        <w:footnoteRef/>
      </w:r>
      <w:r>
        <w:t xml:space="preserve"> Voir sur ce point la thèse de S</w:t>
      </w:r>
      <w:r w:rsidR="003D365E">
        <w:t xml:space="preserve">ophie </w:t>
      </w:r>
      <w:r w:rsidRPr="003D365E">
        <w:t>Mentzel</w:t>
      </w:r>
      <w:r>
        <w:t xml:space="preserve">, </w:t>
      </w:r>
      <w:r>
        <w:rPr>
          <w:i/>
        </w:rPr>
        <w:t>Trônes vacillants</w:t>
      </w:r>
      <w:r w:rsidRPr="003D365E">
        <w:t>,</w:t>
      </w:r>
      <w:r>
        <w:rPr>
          <w:i/>
        </w:rPr>
        <w:t xml:space="preserve"> op. cit</w:t>
      </w:r>
      <w:r>
        <w:t xml:space="preserve">., </w:t>
      </w:r>
      <w:r>
        <w:rPr>
          <w:i/>
        </w:rPr>
        <w:t>passim</w:t>
      </w:r>
      <w:r>
        <w:t>.</w:t>
      </w:r>
    </w:p>
  </w:footnote>
  <w:footnote w:id="59">
    <w:p w14:paraId="4E6C97E1" w14:textId="62FD3ECE" w:rsidR="00DE584F" w:rsidRDefault="00DE584F" w:rsidP="006777BB">
      <w:pPr>
        <w:pStyle w:val="Notedebasdepage"/>
      </w:pPr>
      <w:r>
        <w:rPr>
          <w:vertAlign w:val="superscript"/>
        </w:rPr>
        <w:footnoteRef/>
      </w:r>
      <w:r>
        <w:t xml:space="preserve"> Voir notamment Florence </w:t>
      </w:r>
      <w:r w:rsidRPr="003D365E">
        <w:t>Naugrette</w:t>
      </w:r>
      <w:r>
        <w:t xml:space="preserve">, </w:t>
      </w:r>
      <w:r>
        <w:rPr>
          <w:i/>
        </w:rPr>
        <w:t>Le Théâtre romantique. Histoire, écriture, mise en scène</w:t>
      </w:r>
      <w:r>
        <w:t>, Paris, Seuil, 2001, chap. 1</w:t>
      </w:r>
      <w:r w:rsidR="00E7711B">
        <w:t>,</w:t>
      </w:r>
      <w:r>
        <w:t xml:space="preserve"> « Les origines du drame romantique ».</w:t>
      </w:r>
    </w:p>
  </w:footnote>
  <w:footnote w:id="60">
    <w:p w14:paraId="370B5F9E" w14:textId="77777777" w:rsidR="00DE584F" w:rsidRDefault="00DE584F" w:rsidP="006777BB">
      <w:pPr>
        <w:pStyle w:val="Notedebasdepage"/>
      </w:pPr>
      <w:r>
        <w:rPr>
          <w:vertAlign w:val="superscript"/>
        </w:rPr>
        <w:footnoteRef/>
      </w:r>
      <w:r>
        <w:t xml:space="preserve"> D’après la partition générique établie par Hugo au début de la préface de </w:t>
      </w:r>
      <w:r>
        <w:rPr>
          <w:i/>
        </w:rPr>
        <w:t>Ruy Blas</w:t>
      </w:r>
      <w:r w:rsidRPr="003D365E">
        <w:t>,</w:t>
      </w:r>
      <w:r>
        <w:rPr>
          <w:i/>
        </w:rPr>
        <w:t xml:space="preserve"> op. cit</w:t>
      </w:r>
      <w:r>
        <w:t>., p. 1489.</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C7269262"/>
    <w:lvl w:ilvl="0">
      <w:start w:val="1"/>
      <w:numFmt w:val="bullet"/>
      <w:pStyle w:val="Listepuces"/>
      <w:lvlText w:val=""/>
      <w:lvlJc w:val="left"/>
      <w:pPr>
        <w:tabs>
          <w:tab w:val="num" w:pos="360"/>
        </w:tabs>
        <w:ind w:left="360" w:hanging="360"/>
      </w:pPr>
      <w:rPr>
        <w:rFonts w:ascii="Symbol" w:hAnsi="Symbol" w:hint="default"/>
      </w:rPr>
    </w:lvl>
  </w:abstractNum>
  <w:abstractNum w:abstractNumId="1" w15:restartNumberingAfterBreak="0">
    <w:nsid w:val="0CFF4CF5"/>
    <w:multiLevelType w:val="hybridMultilevel"/>
    <w:tmpl w:val="53C06C08"/>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15:restartNumberingAfterBreak="0">
    <w:nsid w:val="236463B6"/>
    <w:multiLevelType w:val="hybridMultilevel"/>
    <w:tmpl w:val="F6B05388"/>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 w15:restartNumberingAfterBreak="0">
    <w:nsid w:val="28870EB6"/>
    <w:multiLevelType w:val="hybridMultilevel"/>
    <w:tmpl w:val="16309BA2"/>
    <w:lvl w:ilvl="0" w:tplc="17323098">
      <w:start w:val="1"/>
      <w:numFmt w:val="bullet"/>
      <w:lvlText w:val=""/>
      <w:lvlJc w:val="left"/>
      <w:pPr>
        <w:ind w:left="785" w:hanging="360"/>
      </w:pPr>
      <w:rPr>
        <w:rFonts w:ascii="Wingdings" w:hAnsi="Wingdings" w:hint="default"/>
      </w:rPr>
    </w:lvl>
    <w:lvl w:ilvl="1" w:tplc="FC1450B8">
      <w:start w:val="1"/>
      <w:numFmt w:val="bullet"/>
      <w:lvlText w:val="o"/>
      <w:lvlJc w:val="left"/>
      <w:pPr>
        <w:ind w:left="1440" w:hanging="360"/>
      </w:pPr>
      <w:rPr>
        <w:rFonts w:ascii="Courier New" w:hAnsi="Courier New" w:hint="default"/>
      </w:rPr>
    </w:lvl>
    <w:lvl w:ilvl="2" w:tplc="EE442888">
      <w:start w:val="1"/>
      <w:numFmt w:val="bullet"/>
      <w:lvlText w:val=""/>
      <w:lvlJc w:val="left"/>
      <w:pPr>
        <w:ind w:left="2160" w:hanging="360"/>
      </w:pPr>
      <w:rPr>
        <w:rFonts w:ascii="Wingdings" w:hAnsi="Wingdings" w:hint="default"/>
      </w:rPr>
    </w:lvl>
    <w:lvl w:ilvl="3" w:tplc="E5302968">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2A955FB0"/>
    <w:multiLevelType w:val="hybridMultilevel"/>
    <w:tmpl w:val="4BF0AE8E"/>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 w15:restartNumberingAfterBreak="0">
    <w:nsid w:val="4BBA7330"/>
    <w:multiLevelType w:val="hybridMultilevel"/>
    <w:tmpl w:val="7C8A2F26"/>
    <w:lvl w:ilvl="0" w:tplc="E9A853A0">
      <w:start w:val="1"/>
      <w:numFmt w:val="decimal"/>
      <w:lvlRestart w:val="0"/>
      <w:lvlText w:val="%1."/>
      <w:lvlJc w:val="left"/>
      <w:pPr>
        <w:ind w:left="720" w:hanging="363"/>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 w15:restartNumberingAfterBreak="0">
    <w:nsid w:val="51EA364B"/>
    <w:multiLevelType w:val="hybridMultilevel"/>
    <w:tmpl w:val="571E7F60"/>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 w15:restartNumberingAfterBreak="0">
    <w:nsid w:val="63F61794"/>
    <w:multiLevelType w:val="hybridMultilevel"/>
    <w:tmpl w:val="9814AE36"/>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 w15:restartNumberingAfterBreak="0">
    <w:nsid w:val="66D5472B"/>
    <w:multiLevelType w:val="hybridMultilevel"/>
    <w:tmpl w:val="20000614"/>
    <w:lvl w:ilvl="0" w:tplc="E9A853A0">
      <w:start w:val="1"/>
      <w:numFmt w:val="decimal"/>
      <w:lvlRestart w:val="0"/>
      <w:lvlText w:val="%1."/>
      <w:lvlJc w:val="left"/>
      <w:pPr>
        <w:ind w:left="720" w:hanging="363"/>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9" w15:restartNumberingAfterBreak="0">
    <w:nsid w:val="6C5E2D70"/>
    <w:multiLevelType w:val="hybridMultilevel"/>
    <w:tmpl w:val="5B042AEA"/>
    <w:lvl w:ilvl="0" w:tplc="A62C5900">
      <w:start w:val="1"/>
      <w:numFmt w:val="decimal"/>
      <w:lvlText w:val="%1."/>
      <w:lvlJc w:val="left"/>
      <w:pPr>
        <w:ind w:left="720" w:hanging="360"/>
      </w:pPr>
    </w:lvl>
    <w:lvl w:ilvl="1" w:tplc="964093E8">
      <w:start w:val="1"/>
      <w:numFmt w:val="lowerLetter"/>
      <w:lvlText w:val="%2."/>
      <w:lvlJc w:val="left"/>
      <w:pPr>
        <w:ind w:left="1440" w:hanging="360"/>
      </w:pPr>
    </w:lvl>
    <w:lvl w:ilvl="2" w:tplc="A368370E">
      <w:start w:val="1"/>
      <w:numFmt w:val="lowerRoman"/>
      <w:lvlText w:val="%3."/>
      <w:lvlJc w:val="right"/>
      <w:pPr>
        <w:ind w:left="2340" w:hanging="360"/>
      </w:pPr>
    </w:lvl>
    <w:lvl w:ilvl="3" w:tplc="3D101BC8">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abstractNumId w:val="9"/>
  </w:num>
  <w:num w:numId="2">
    <w:abstractNumId w:val="3"/>
  </w:num>
  <w:num w:numId="3">
    <w:abstractNumId w:val="7"/>
  </w:num>
  <w:num w:numId="4">
    <w:abstractNumId w:val="2"/>
  </w:num>
  <w:num w:numId="5">
    <w:abstractNumId w:val="0"/>
  </w:num>
  <w:num w:numId="6">
    <w:abstractNumId w:val="6"/>
  </w:num>
  <w:num w:numId="7">
    <w:abstractNumId w:val="5"/>
  </w:num>
  <w:num w:numId="8">
    <w:abstractNumId w:val="8"/>
  </w:num>
  <w:num w:numId="9">
    <w:abstractNumId w:val="1"/>
  </w:num>
  <w:num w:numId="1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zoom w:percent="120"/>
  <w:attachedTemplate r:id="rId1"/>
  <w:linkStyles/>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584F"/>
    <w:rsid w:val="00001C1A"/>
    <w:rsid w:val="00035D6E"/>
    <w:rsid w:val="00054CD3"/>
    <w:rsid w:val="000674F2"/>
    <w:rsid w:val="000A0EA2"/>
    <w:rsid w:val="00117E47"/>
    <w:rsid w:val="00133E10"/>
    <w:rsid w:val="00134983"/>
    <w:rsid w:val="00201E29"/>
    <w:rsid w:val="00215E77"/>
    <w:rsid w:val="00294B91"/>
    <w:rsid w:val="002B3AC0"/>
    <w:rsid w:val="002C508B"/>
    <w:rsid w:val="003B74AE"/>
    <w:rsid w:val="003C4DB4"/>
    <w:rsid w:val="003D365E"/>
    <w:rsid w:val="003D6429"/>
    <w:rsid w:val="003E5699"/>
    <w:rsid w:val="004627B7"/>
    <w:rsid w:val="00474425"/>
    <w:rsid w:val="004858FF"/>
    <w:rsid w:val="004A5E0D"/>
    <w:rsid w:val="004C6A76"/>
    <w:rsid w:val="0051716C"/>
    <w:rsid w:val="00523E84"/>
    <w:rsid w:val="0057604E"/>
    <w:rsid w:val="005A3F17"/>
    <w:rsid w:val="005D57AB"/>
    <w:rsid w:val="005E3C36"/>
    <w:rsid w:val="00655263"/>
    <w:rsid w:val="00677699"/>
    <w:rsid w:val="006777BB"/>
    <w:rsid w:val="006A3553"/>
    <w:rsid w:val="006C6FE3"/>
    <w:rsid w:val="006E6492"/>
    <w:rsid w:val="00764DAC"/>
    <w:rsid w:val="00842018"/>
    <w:rsid w:val="00883529"/>
    <w:rsid w:val="00890A2F"/>
    <w:rsid w:val="008A698A"/>
    <w:rsid w:val="008B75FC"/>
    <w:rsid w:val="008F2BD7"/>
    <w:rsid w:val="00907CB4"/>
    <w:rsid w:val="00943379"/>
    <w:rsid w:val="00963CE2"/>
    <w:rsid w:val="009B284F"/>
    <w:rsid w:val="009E559C"/>
    <w:rsid w:val="00A36E3F"/>
    <w:rsid w:val="00AC04DF"/>
    <w:rsid w:val="00B072FB"/>
    <w:rsid w:val="00B100CF"/>
    <w:rsid w:val="00B11794"/>
    <w:rsid w:val="00B1423D"/>
    <w:rsid w:val="00C53EC2"/>
    <w:rsid w:val="00C60775"/>
    <w:rsid w:val="00C87DE2"/>
    <w:rsid w:val="00CF239B"/>
    <w:rsid w:val="00D04DC2"/>
    <w:rsid w:val="00D625D8"/>
    <w:rsid w:val="00DE584F"/>
    <w:rsid w:val="00E36E0E"/>
    <w:rsid w:val="00E7711B"/>
    <w:rsid w:val="00E94C04"/>
    <w:rsid w:val="00EA5E2F"/>
    <w:rsid w:val="00EE1825"/>
    <w:rsid w:val="00EF7316"/>
    <w:rsid w:val="00F21D57"/>
    <w:rsid w:val="00F440A5"/>
    <w:rsid w:val="00F4657A"/>
    <w:rsid w:val="00F56787"/>
    <w:rsid w:val="00F6737F"/>
    <w:rsid w:val="00F67B2D"/>
    <w:rsid w:val="00F73191"/>
    <w:rsid w:val="00F733FC"/>
    <w:rsid w:val="00F75DF0"/>
    <w:rsid w:val="00F943E7"/>
    <w:rsid w:val="00FB3B4B"/>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A3C76A"/>
  <w15:chartTrackingRefBased/>
  <w15:docId w15:val="{2407B914-1B47-4F85-89BC-97682FC458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B3B4B"/>
    <w:pPr>
      <w:suppressAutoHyphens/>
      <w:spacing w:before="60" w:after="120" w:line="360" w:lineRule="auto"/>
      <w:jc w:val="both"/>
    </w:pPr>
    <w:rPr>
      <w:rFonts w:ascii="Calibri Light" w:eastAsia="MS Mincho" w:hAnsi="Calibri Light" w:cs="Calibri Light"/>
      <w:lang w:eastAsia="ar-SA"/>
    </w:rPr>
  </w:style>
  <w:style w:type="paragraph" w:styleId="Titre1">
    <w:name w:val="heading 1"/>
    <w:next w:val="Normal"/>
    <w:link w:val="Titre1Car"/>
    <w:qFormat/>
    <w:rsid w:val="00FB3B4B"/>
    <w:pPr>
      <w:keepNext/>
      <w:widowControl w:val="0"/>
      <w:suppressAutoHyphens/>
      <w:spacing w:after="320" w:line="240" w:lineRule="auto"/>
      <w:outlineLvl w:val="0"/>
    </w:pPr>
    <w:rPr>
      <w:rFonts w:ascii="Calibri" w:eastAsia="SimSun" w:hAnsi="Calibri" w:cs="Arial"/>
      <w:kern w:val="1"/>
      <w:sz w:val="40"/>
      <w:szCs w:val="32"/>
      <w:lang w:eastAsia="ar-LB" w:bidi="ar-LB"/>
    </w:rPr>
  </w:style>
  <w:style w:type="paragraph" w:styleId="Titre2">
    <w:name w:val="heading 2"/>
    <w:next w:val="Normal"/>
    <w:link w:val="Titre2Car"/>
    <w:qFormat/>
    <w:rsid w:val="00FB3B4B"/>
    <w:pPr>
      <w:keepNext/>
      <w:widowControl w:val="0"/>
      <w:suppressAutoHyphens/>
      <w:spacing w:before="240" w:after="240" w:line="240" w:lineRule="auto"/>
      <w:outlineLvl w:val="1"/>
    </w:pPr>
    <w:rPr>
      <w:rFonts w:ascii="Calibri" w:eastAsia="SimSun" w:hAnsi="Calibri" w:cs="Arial"/>
      <w:sz w:val="36"/>
      <w:szCs w:val="28"/>
      <w:lang w:eastAsia="ar-LB" w:bidi="ar-LB"/>
    </w:rPr>
  </w:style>
  <w:style w:type="paragraph" w:styleId="Titre3">
    <w:name w:val="heading 3"/>
    <w:next w:val="Normal"/>
    <w:link w:val="Titre3Car"/>
    <w:qFormat/>
    <w:rsid w:val="00FB3B4B"/>
    <w:pPr>
      <w:keepNext/>
      <w:widowControl w:val="0"/>
      <w:suppressAutoHyphens/>
      <w:spacing w:before="240" w:after="240" w:line="240" w:lineRule="auto"/>
      <w:outlineLvl w:val="2"/>
    </w:pPr>
    <w:rPr>
      <w:rFonts w:ascii="Calibri" w:eastAsia="SimSun" w:hAnsi="Calibri" w:cs="Calibri"/>
      <w:sz w:val="32"/>
      <w:szCs w:val="32"/>
      <w:lang w:eastAsia="ar-LB" w:bidi="ar-LB"/>
    </w:rPr>
  </w:style>
  <w:style w:type="paragraph" w:styleId="Titre4">
    <w:name w:val="heading 4"/>
    <w:next w:val="Normal"/>
    <w:link w:val="Titre4Car"/>
    <w:qFormat/>
    <w:rsid w:val="00FB3B4B"/>
    <w:pPr>
      <w:keepNext/>
      <w:widowControl w:val="0"/>
      <w:suppressAutoHyphens/>
      <w:spacing w:before="240" w:after="240" w:line="240" w:lineRule="auto"/>
      <w:outlineLvl w:val="3"/>
    </w:pPr>
    <w:rPr>
      <w:rFonts w:ascii="Calibri" w:eastAsia="SimSun" w:hAnsi="Calibri" w:cs="Baghdad"/>
      <w:sz w:val="28"/>
      <w:szCs w:val="28"/>
      <w:lang w:eastAsia="ar-LB" w:bidi="ar-LB"/>
    </w:rPr>
  </w:style>
  <w:style w:type="paragraph" w:styleId="Titre5">
    <w:name w:val="heading 5"/>
    <w:basedOn w:val="Normal"/>
    <w:next w:val="Normal"/>
    <w:link w:val="Titre5Car"/>
    <w:qFormat/>
    <w:rsid w:val="00FB3B4B"/>
    <w:pPr>
      <w:spacing w:before="240" w:after="240" w:line="240" w:lineRule="auto"/>
      <w:jc w:val="left"/>
      <w:outlineLvl w:val="4"/>
    </w:pPr>
    <w:rPr>
      <w:rFonts w:ascii="Calibri" w:hAnsi="Calibri"/>
      <w:sz w:val="24"/>
      <w:szCs w:val="26"/>
    </w:rPr>
  </w:style>
  <w:style w:type="paragraph" w:styleId="Titre6">
    <w:name w:val="heading 6"/>
    <w:basedOn w:val="Normal"/>
    <w:next w:val="Normal"/>
    <w:link w:val="Titre6Car"/>
    <w:uiPriority w:val="9"/>
    <w:unhideWhenUsed/>
    <w:qFormat/>
    <w:rsid w:val="00FB3B4B"/>
    <w:pPr>
      <w:spacing w:before="240" w:after="240" w:line="240" w:lineRule="auto"/>
      <w:outlineLvl w:val="5"/>
    </w:pPr>
    <w:rPr>
      <w:rFonts w:ascii="Calibri" w:hAnsi="Calibri" w:cs="Times New Roman"/>
      <w:bCs/>
    </w:rPr>
  </w:style>
  <w:style w:type="paragraph" w:styleId="Titre7">
    <w:name w:val="heading 7"/>
    <w:basedOn w:val="Normal"/>
    <w:next w:val="Normal"/>
    <w:link w:val="Titre7Car"/>
    <w:uiPriority w:val="9"/>
    <w:unhideWhenUsed/>
    <w:qFormat/>
    <w:rsid w:val="00FB3B4B"/>
    <w:pPr>
      <w:spacing w:line="240" w:lineRule="auto"/>
      <w:outlineLvl w:val="6"/>
    </w:pPr>
    <w:rPr>
      <w:rFonts w:ascii="Calibri" w:hAnsi="Calibri" w:cs="Times New Roman"/>
    </w:rPr>
  </w:style>
  <w:style w:type="paragraph" w:styleId="Titre8">
    <w:name w:val="heading 8"/>
    <w:basedOn w:val="Normal"/>
    <w:next w:val="Normal"/>
    <w:link w:val="Titre8Car"/>
    <w:uiPriority w:val="9"/>
    <w:unhideWhenUsed/>
    <w:qFormat/>
    <w:rsid w:val="00FB3B4B"/>
    <w:pPr>
      <w:spacing w:line="240" w:lineRule="auto"/>
      <w:outlineLvl w:val="7"/>
    </w:pPr>
    <w:rPr>
      <w:rFonts w:ascii="Calibri" w:hAnsi="Calibri" w:cs="Times New Roman"/>
      <w:i/>
      <w:iCs/>
    </w:rPr>
  </w:style>
  <w:style w:type="paragraph" w:styleId="Titre9">
    <w:name w:val="heading 9"/>
    <w:basedOn w:val="Normal"/>
    <w:next w:val="Normal"/>
    <w:link w:val="Titre9Car"/>
    <w:uiPriority w:val="9"/>
    <w:unhideWhenUsed/>
    <w:qFormat/>
    <w:rsid w:val="00FB3B4B"/>
    <w:pPr>
      <w:spacing w:line="240" w:lineRule="auto"/>
      <w:outlineLvl w:val="8"/>
    </w:pPr>
    <w:rPr>
      <w:rFonts w:eastAsia="MS Gothic" w:cs="Times New Roman"/>
      <w:i/>
    </w:rPr>
  </w:style>
  <w:style w:type="character" w:default="1" w:styleId="Policepardfaut">
    <w:name w:val="Default Paragraph Font"/>
    <w:uiPriority w:val="1"/>
    <w:semiHidden/>
    <w:unhideWhenUsed/>
    <w:rsid w:val="00FB3B4B"/>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rsid w:val="00FB3B4B"/>
  </w:style>
  <w:style w:type="character" w:customStyle="1" w:styleId="Titre1Car">
    <w:name w:val="Titre 1 Car"/>
    <w:link w:val="Titre1"/>
    <w:rsid w:val="00FB3B4B"/>
    <w:rPr>
      <w:rFonts w:ascii="Calibri" w:eastAsia="SimSun" w:hAnsi="Calibri" w:cs="Arial"/>
      <w:kern w:val="1"/>
      <w:sz w:val="40"/>
      <w:szCs w:val="32"/>
      <w:lang w:eastAsia="ar-LB" w:bidi="ar-LB"/>
    </w:rPr>
  </w:style>
  <w:style w:type="character" w:customStyle="1" w:styleId="Titre2Car">
    <w:name w:val="Titre 2 Car"/>
    <w:link w:val="Titre2"/>
    <w:rsid w:val="00FB3B4B"/>
    <w:rPr>
      <w:rFonts w:ascii="Calibri" w:eastAsia="SimSun" w:hAnsi="Calibri" w:cs="Arial"/>
      <w:sz w:val="36"/>
      <w:szCs w:val="28"/>
      <w:lang w:eastAsia="ar-LB" w:bidi="ar-LB"/>
    </w:rPr>
  </w:style>
  <w:style w:type="character" w:customStyle="1" w:styleId="Titre3Car">
    <w:name w:val="Titre 3 Car"/>
    <w:link w:val="Titre3"/>
    <w:rsid w:val="00FB3B4B"/>
    <w:rPr>
      <w:rFonts w:ascii="Calibri" w:eastAsia="SimSun" w:hAnsi="Calibri" w:cs="Calibri"/>
      <w:sz w:val="32"/>
      <w:szCs w:val="32"/>
      <w:lang w:eastAsia="ar-LB" w:bidi="ar-LB"/>
    </w:rPr>
  </w:style>
  <w:style w:type="character" w:customStyle="1" w:styleId="Titre4Car">
    <w:name w:val="Titre 4 Car"/>
    <w:link w:val="Titre4"/>
    <w:rsid w:val="00FB3B4B"/>
    <w:rPr>
      <w:rFonts w:ascii="Calibri" w:eastAsia="SimSun" w:hAnsi="Calibri" w:cs="Baghdad"/>
      <w:sz w:val="28"/>
      <w:szCs w:val="28"/>
      <w:lang w:eastAsia="ar-LB" w:bidi="ar-LB"/>
    </w:rPr>
  </w:style>
  <w:style w:type="character" w:customStyle="1" w:styleId="Titre5Car">
    <w:name w:val="Titre 5 Car"/>
    <w:link w:val="Titre5"/>
    <w:rsid w:val="00FB3B4B"/>
    <w:rPr>
      <w:rFonts w:ascii="Calibri" w:eastAsia="MS Mincho" w:hAnsi="Calibri" w:cs="Calibri Light"/>
      <w:sz w:val="24"/>
      <w:szCs w:val="26"/>
      <w:lang w:eastAsia="ar-SA"/>
    </w:rPr>
  </w:style>
  <w:style w:type="character" w:customStyle="1" w:styleId="Titre6Car">
    <w:name w:val="Titre 6 Car"/>
    <w:link w:val="Titre6"/>
    <w:uiPriority w:val="9"/>
    <w:rsid w:val="00FB3B4B"/>
    <w:rPr>
      <w:rFonts w:ascii="Calibri" w:eastAsia="MS Mincho" w:hAnsi="Calibri" w:cs="Times New Roman"/>
      <w:bCs/>
      <w:lang w:eastAsia="ar-SA"/>
    </w:rPr>
  </w:style>
  <w:style w:type="character" w:customStyle="1" w:styleId="Titre7Car">
    <w:name w:val="Titre 7 Car"/>
    <w:link w:val="Titre7"/>
    <w:uiPriority w:val="9"/>
    <w:rsid w:val="00FB3B4B"/>
    <w:rPr>
      <w:rFonts w:ascii="Calibri" w:eastAsia="MS Mincho" w:hAnsi="Calibri" w:cs="Times New Roman"/>
      <w:lang w:eastAsia="ar-SA"/>
    </w:rPr>
  </w:style>
  <w:style w:type="character" w:customStyle="1" w:styleId="Titre8Car">
    <w:name w:val="Titre 8 Car"/>
    <w:link w:val="Titre8"/>
    <w:uiPriority w:val="9"/>
    <w:rsid w:val="00FB3B4B"/>
    <w:rPr>
      <w:rFonts w:ascii="Calibri" w:eastAsia="MS Mincho" w:hAnsi="Calibri" w:cs="Times New Roman"/>
      <w:i/>
      <w:iCs/>
      <w:lang w:eastAsia="ar-SA"/>
    </w:rPr>
  </w:style>
  <w:style w:type="character" w:customStyle="1" w:styleId="Titre9Car">
    <w:name w:val="Titre 9 Car"/>
    <w:link w:val="Titre9"/>
    <w:uiPriority w:val="9"/>
    <w:rsid w:val="00FB3B4B"/>
    <w:rPr>
      <w:rFonts w:ascii="Calibri Light" w:eastAsia="MS Gothic" w:hAnsi="Calibri Light" w:cs="Times New Roman"/>
      <w:i/>
      <w:lang w:eastAsia="ar-SA"/>
    </w:rPr>
  </w:style>
  <w:style w:type="paragraph" w:styleId="Notedebasdepage">
    <w:name w:val="footnote text"/>
    <w:basedOn w:val="Normal"/>
    <w:link w:val="NotedebasdepageCar"/>
    <w:rsid w:val="00FB3B4B"/>
    <w:pPr>
      <w:spacing w:line="240" w:lineRule="auto"/>
    </w:pPr>
    <w:rPr>
      <w:sz w:val="20"/>
    </w:rPr>
  </w:style>
  <w:style w:type="character" w:customStyle="1" w:styleId="NotedebasdepageCar">
    <w:name w:val="Note de bas de page Car"/>
    <w:link w:val="Notedebasdepage"/>
    <w:rsid w:val="00FB3B4B"/>
    <w:rPr>
      <w:rFonts w:ascii="Calibri Light" w:eastAsia="MS Mincho" w:hAnsi="Calibri Light" w:cs="Calibri Light"/>
      <w:sz w:val="20"/>
      <w:lang w:eastAsia="ar-SA"/>
    </w:rPr>
  </w:style>
  <w:style w:type="paragraph" w:styleId="Notedefin">
    <w:name w:val="endnote text"/>
    <w:basedOn w:val="Normal"/>
    <w:link w:val="NotedefinCar"/>
    <w:rsid w:val="00FB3B4B"/>
  </w:style>
  <w:style w:type="character" w:customStyle="1" w:styleId="NotedefinCar">
    <w:name w:val="Note de fin Car"/>
    <w:link w:val="Notedefin"/>
    <w:rsid w:val="00FB3B4B"/>
    <w:rPr>
      <w:rFonts w:ascii="Calibri Light" w:eastAsia="MS Mincho" w:hAnsi="Calibri Light" w:cs="Calibri Light"/>
      <w:lang w:eastAsia="ar-SA"/>
    </w:rPr>
  </w:style>
  <w:style w:type="paragraph" w:customStyle="1" w:styleId="Titre2-sous-rubrique">
    <w:name w:val="Titre 2-sous-rubrique"/>
    <w:rsid w:val="00FB3B4B"/>
    <w:pPr>
      <w:spacing w:before="360" w:after="240" w:line="240" w:lineRule="auto"/>
    </w:pPr>
    <w:rPr>
      <w:rFonts w:ascii="Calibri" w:eastAsia="SimSun" w:hAnsi="Calibri" w:cs="Cambria"/>
      <w:bCs/>
      <w:sz w:val="36"/>
      <w:szCs w:val="28"/>
      <w:lang w:eastAsia="ar-SA"/>
    </w:rPr>
  </w:style>
  <w:style w:type="character" w:customStyle="1" w:styleId="TEIquote-inline">
    <w:name w:val="TEI_quote-inline"/>
    <w:uiPriority w:val="1"/>
    <w:qFormat/>
    <w:rsid w:val="00FB3B4B"/>
    <w:rPr>
      <w:i w:val="0"/>
      <w:color w:val="A8D08D" w:themeColor="accent6" w:themeTint="99"/>
    </w:rPr>
  </w:style>
  <w:style w:type="paragraph" w:styleId="Titre">
    <w:name w:val="Title"/>
    <w:basedOn w:val="Normal"/>
    <w:next w:val="Normal"/>
    <w:link w:val="TitreCar"/>
    <w:autoRedefine/>
    <w:uiPriority w:val="10"/>
    <w:qFormat/>
    <w:rsid w:val="00FB3B4B"/>
    <w:rPr>
      <w:rFonts w:asciiTheme="minorHAnsi" w:eastAsiaTheme="majorEastAsia" w:hAnsiTheme="minorHAnsi" w:cstheme="majorBidi"/>
      <w:spacing w:val="-10"/>
      <w:sz w:val="56"/>
      <w:szCs w:val="56"/>
    </w:rPr>
  </w:style>
  <w:style w:type="character" w:customStyle="1" w:styleId="TitreCar">
    <w:name w:val="Titre Car"/>
    <w:basedOn w:val="Policepardfaut"/>
    <w:link w:val="Titre"/>
    <w:uiPriority w:val="10"/>
    <w:rsid w:val="00FB3B4B"/>
    <w:rPr>
      <w:rFonts w:eastAsiaTheme="majorEastAsia" w:cstheme="majorBidi"/>
      <w:spacing w:val="-10"/>
      <w:sz w:val="56"/>
      <w:szCs w:val="56"/>
      <w:lang w:eastAsia="ar-SA"/>
    </w:rPr>
  </w:style>
  <w:style w:type="paragraph" w:styleId="Sous-titre">
    <w:name w:val="Subtitle"/>
    <w:basedOn w:val="Normal"/>
    <w:next w:val="Normal"/>
    <w:link w:val="Sous-titreCar"/>
    <w:uiPriority w:val="11"/>
    <w:qFormat/>
    <w:rsid w:val="00FB3B4B"/>
    <w:pPr>
      <w:numPr>
        <w:ilvl w:val="1"/>
      </w:numPr>
    </w:pPr>
    <w:rPr>
      <w:rFonts w:asciiTheme="majorHAnsi" w:eastAsiaTheme="majorEastAsia" w:hAnsiTheme="majorHAnsi" w:cstheme="majorBidi"/>
    </w:rPr>
  </w:style>
  <w:style w:type="character" w:customStyle="1" w:styleId="Sous-titreCar">
    <w:name w:val="Sous-titre Car"/>
    <w:basedOn w:val="Policepardfaut"/>
    <w:link w:val="Sous-titre"/>
    <w:uiPriority w:val="11"/>
    <w:rsid w:val="00FB3B4B"/>
    <w:rPr>
      <w:rFonts w:asciiTheme="majorHAnsi" w:eastAsiaTheme="majorEastAsia" w:hAnsiTheme="majorHAnsi" w:cstheme="majorBidi"/>
      <w:lang w:eastAsia="ar-SA"/>
    </w:rPr>
  </w:style>
  <w:style w:type="paragraph" w:styleId="Citation">
    <w:name w:val="Quote"/>
    <w:basedOn w:val="Normal"/>
    <w:next w:val="Normal"/>
    <w:link w:val="CitationCar"/>
    <w:uiPriority w:val="29"/>
    <w:qFormat/>
    <w:rsid w:val="00FB3B4B"/>
    <w:pPr>
      <w:spacing w:before="160"/>
      <w:ind w:left="720" w:right="720"/>
    </w:pPr>
    <w:rPr>
      <w:i/>
      <w:iCs/>
      <w:color w:val="404040" w:themeColor="text1" w:themeTint="BF"/>
    </w:rPr>
  </w:style>
  <w:style w:type="character" w:customStyle="1" w:styleId="CitationCar">
    <w:name w:val="Citation Car"/>
    <w:basedOn w:val="Policepardfaut"/>
    <w:link w:val="Citation"/>
    <w:uiPriority w:val="29"/>
    <w:rsid w:val="00FB3B4B"/>
    <w:rPr>
      <w:rFonts w:ascii="Calibri Light" w:eastAsia="MS Mincho" w:hAnsi="Calibri Light" w:cs="Calibri Light"/>
      <w:i/>
      <w:iCs/>
      <w:color w:val="404040" w:themeColor="text1" w:themeTint="BF"/>
      <w:lang w:eastAsia="ar-SA"/>
    </w:rPr>
  </w:style>
  <w:style w:type="paragraph" w:styleId="Citationintense">
    <w:name w:val="Intense Quote"/>
    <w:basedOn w:val="Normal"/>
    <w:next w:val="Normal"/>
    <w:link w:val="CitationintenseCar"/>
    <w:uiPriority w:val="30"/>
    <w:qFormat/>
    <w:rsid w:val="00FB3B4B"/>
    <w:pPr>
      <w:pBdr>
        <w:left w:val="single" w:sz="18" w:space="12" w:color="4472C4" w:themeColor="accent1"/>
      </w:pBdr>
      <w:spacing w:before="100" w:beforeAutospacing="1" w:line="300" w:lineRule="auto"/>
      <w:ind w:left="1224" w:right="1224"/>
    </w:pPr>
    <w:rPr>
      <w:rFonts w:asciiTheme="majorHAnsi" w:eastAsiaTheme="majorEastAsia" w:hAnsiTheme="majorHAnsi" w:cstheme="majorBidi"/>
      <w:color w:val="4472C4" w:themeColor="accent1"/>
      <w:sz w:val="28"/>
      <w:szCs w:val="28"/>
    </w:rPr>
  </w:style>
  <w:style w:type="character" w:customStyle="1" w:styleId="CitationintenseCar">
    <w:name w:val="Citation intense Car"/>
    <w:basedOn w:val="Policepardfaut"/>
    <w:link w:val="Citationintense"/>
    <w:uiPriority w:val="30"/>
    <w:rsid w:val="00FB3B4B"/>
    <w:rPr>
      <w:rFonts w:asciiTheme="majorHAnsi" w:eastAsiaTheme="majorEastAsia" w:hAnsiTheme="majorHAnsi" w:cstheme="majorBidi"/>
      <w:color w:val="4472C4" w:themeColor="accent1"/>
      <w:sz w:val="28"/>
      <w:szCs w:val="28"/>
      <w:lang w:eastAsia="ar-SA"/>
    </w:rPr>
  </w:style>
  <w:style w:type="character" w:styleId="Appelnotedebasdep">
    <w:name w:val="footnote reference"/>
    <w:basedOn w:val="Policepardfaut"/>
    <w:uiPriority w:val="99"/>
    <w:semiHidden/>
    <w:unhideWhenUsed/>
    <w:rsid w:val="00FB3B4B"/>
    <w:rPr>
      <w:vertAlign w:val="superscript"/>
    </w:rPr>
  </w:style>
  <w:style w:type="character" w:styleId="Appeldenotedefin">
    <w:name w:val="endnote reference"/>
    <w:basedOn w:val="Policepardfaut"/>
    <w:uiPriority w:val="99"/>
    <w:semiHidden/>
    <w:unhideWhenUsed/>
    <w:rsid w:val="00FB3B4B"/>
    <w:rPr>
      <w:vertAlign w:val="superscript"/>
    </w:rPr>
  </w:style>
  <w:style w:type="paragraph" w:styleId="Paragraphedeliste">
    <w:name w:val="List Paragraph"/>
    <w:basedOn w:val="Normal"/>
    <w:uiPriority w:val="34"/>
    <w:qFormat/>
    <w:rsid w:val="00FB3B4B"/>
    <w:pPr>
      <w:ind w:left="720"/>
    </w:pPr>
  </w:style>
  <w:style w:type="paragraph" w:styleId="Listepuces">
    <w:name w:val="List Bullet"/>
    <w:basedOn w:val="Normal"/>
    <w:uiPriority w:val="99"/>
    <w:unhideWhenUsed/>
    <w:rsid w:val="00FB3B4B"/>
    <w:pPr>
      <w:numPr>
        <w:numId w:val="5"/>
      </w:numPr>
    </w:pPr>
  </w:style>
  <w:style w:type="paragraph" w:customStyle="1" w:styleId="Titre2-rubrique">
    <w:name w:val="Titre 2-rubrique"/>
    <w:basedOn w:val="Titre2"/>
    <w:autoRedefine/>
    <w:qFormat/>
    <w:rsid w:val="00FB3B4B"/>
    <w:pPr>
      <w:spacing w:before="300" w:after="200" w:line="300" w:lineRule="exact"/>
      <w:ind w:firstLine="284"/>
    </w:pPr>
    <w:rPr>
      <w:rFonts w:ascii="Minion Pro" w:hAnsi="Minion Pro" w:cs="Cambria"/>
      <w:b/>
      <w:sz w:val="32"/>
      <w:lang w:eastAsia="ar-SA" w:bidi="ar-SA"/>
    </w:rPr>
  </w:style>
  <w:style w:type="paragraph" w:customStyle="1" w:styleId="Titre3-notice">
    <w:name w:val="Titre 3-notice"/>
    <w:basedOn w:val="Titre3"/>
    <w:qFormat/>
    <w:rsid w:val="00FB3B4B"/>
    <w:pPr>
      <w:spacing w:before="200" w:after="0" w:line="276" w:lineRule="auto"/>
      <w:ind w:firstLine="284"/>
    </w:pPr>
    <w:rPr>
      <w:rFonts w:ascii="Minion Pro" w:hAnsi="Minion Pro"/>
      <w:sz w:val="28"/>
      <w:szCs w:val="20"/>
    </w:rPr>
  </w:style>
  <w:style w:type="paragraph" w:customStyle="1" w:styleId="TEItitlesup">
    <w:name w:val="TEI_title:sup"/>
    <w:qFormat/>
    <w:rsid w:val="00FB3B4B"/>
    <w:pPr>
      <w:spacing w:after="0" w:line="240" w:lineRule="auto"/>
    </w:pPr>
    <w:rPr>
      <w:rFonts w:eastAsia="SimSun" w:cs="Arial"/>
      <w:kern w:val="1"/>
      <w:sz w:val="32"/>
      <w:szCs w:val="32"/>
      <w:lang w:eastAsia="ar-LB" w:bidi="ar-LB"/>
    </w:rPr>
  </w:style>
  <w:style w:type="paragraph" w:customStyle="1" w:styleId="TEItitlesub">
    <w:name w:val="TEI_title:sub"/>
    <w:rsid w:val="00FB3B4B"/>
    <w:pPr>
      <w:suppressAutoHyphens/>
      <w:spacing w:before="120" w:after="120" w:line="240" w:lineRule="auto"/>
    </w:pPr>
    <w:rPr>
      <w:rFonts w:eastAsia="Times New Roman" w:cs="Arial"/>
      <w:kern w:val="1"/>
      <w:sz w:val="32"/>
      <w:szCs w:val="32"/>
      <w:lang w:eastAsia="ar-SA"/>
    </w:rPr>
  </w:style>
  <w:style w:type="paragraph" w:customStyle="1" w:styleId="TEIacknowledgment">
    <w:name w:val="TEI_acknowledgment"/>
    <w:rsid w:val="00FB3B4B"/>
    <w:pPr>
      <w:suppressAutoHyphens/>
      <w:spacing w:before="120" w:after="120" w:line="240" w:lineRule="auto"/>
      <w:ind w:left="1134"/>
      <w:jc w:val="right"/>
    </w:pPr>
    <w:rPr>
      <w:rFonts w:ascii="Calibri Light" w:eastAsia="Times New Roman" w:hAnsi="Calibri Light" w:cs="Times"/>
      <w:kern w:val="1"/>
      <w:szCs w:val="32"/>
      <w:lang w:eastAsia="ar-SA"/>
    </w:rPr>
  </w:style>
  <w:style w:type="paragraph" w:customStyle="1" w:styleId="TEIparagraphbreak">
    <w:name w:val="TEI_paragraph_break"/>
    <w:rsid w:val="00FB3B4B"/>
    <w:pPr>
      <w:suppressAutoHyphens/>
      <w:spacing w:before="360" w:after="360" w:line="240" w:lineRule="auto"/>
      <w:jc w:val="center"/>
    </w:pPr>
    <w:rPr>
      <w:rFonts w:ascii="Calibri Light" w:eastAsia="Times New Roman" w:hAnsi="Calibri Light" w:cs="Arial"/>
      <w:kern w:val="1"/>
      <w:szCs w:val="32"/>
      <w:lang w:eastAsia="ar-SA"/>
    </w:rPr>
  </w:style>
  <w:style w:type="paragraph" w:customStyle="1" w:styleId="TEIdedication">
    <w:name w:val="TEI_dedication"/>
    <w:rsid w:val="00FB3B4B"/>
    <w:pPr>
      <w:suppressAutoHyphens/>
      <w:spacing w:before="240" w:after="240" w:line="240" w:lineRule="auto"/>
      <w:ind w:left="1134"/>
      <w:jc w:val="right"/>
    </w:pPr>
    <w:rPr>
      <w:rFonts w:ascii="Calibri Light" w:eastAsia="MS Mincho" w:hAnsi="Calibri Light" w:cs="Minion Pro"/>
      <w:szCs w:val="24"/>
      <w:lang w:eastAsia="ar-SA"/>
    </w:rPr>
  </w:style>
  <w:style w:type="paragraph" w:customStyle="1" w:styleId="TEIepigraph">
    <w:name w:val="TEI_epigraph"/>
    <w:rsid w:val="00FB3B4B"/>
    <w:pPr>
      <w:suppressAutoHyphens/>
      <w:spacing w:before="240" w:after="360" w:line="240" w:lineRule="auto"/>
      <w:ind w:right="2268"/>
      <w:jc w:val="both"/>
    </w:pPr>
    <w:rPr>
      <w:rFonts w:ascii="Calibri Light" w:eastAsia="Times New Roman" w:hAnsi="Calibri Light" w:cs="Times New Roman"/>
      <w:lang w:eastAsia="ar-SA"/>
    </w:rPr>
  </w:style>
  <w:style w:type="paragraph" w:customStyle="1" w:styleId="TEIfiguretitle">
    <w:name w:val="TEI_figure_title"/>
    <w:rsid w:val="00FB3B4B"/>
    <w:pPr>
      <w:suppressAutoHyphens/>
      <w:spacing w:before="120" w:after="120" w:line="240" w:lineRule="auto"/>
      <w:jc w:val="center"/>
    </w:pPr>
    <w:rPr>
      <w:rFonts w:asciiTheme="majorHAnsi" w:eastAsia="Times New Roman" w:hAnsiTheme="majorHAnsi" w:cs="Junicode"/>
      <w:color w:val="000000" w:themeColor="text1"/>
      <w:szCs w:val="20"/>
      <w:lang w:eastAsia="ar-SA"/>
    </w:rPr>
  </w:style>
  <w:style w:type="paragraph" w:customStyle="1" w:styleId="TEIfigurecaption">
    <w:name w:val="TEI_figure_caption"/>
    <w:rsid w:val="00FB3B4B"/>
    <w:pPr>
      <w:suppressAutoHyphens/>
      <w:spacing w:before="120" w:after="120" w:line="240" w:lineRule="auto"/>
      <w:jc w:val="center"/>
    </w:pPr>
    <w:rPr>
      <w:rFonts w:ascii="Calibri Light" w:eastAsia="Times New Roman" w:hAnsi="Calibri Light" w:cs="Junicode"/>
      <w:szCs w:val="20"/>
      <w:lang w:eastAsia="ar-SA"/>
    </w:rPr>
  </w:style>
  <w:style w:type="paragraph" w:customStyle="1" w:styleId="TEIfigurecredits">
    <w:name w:val="TEI_figure_credits"/>
    <w:qFormat/>
    <w:rsid w:val="00FB3B4B"/>
    <w:pPr>
      <w:spacing w:before="120" w:after="120" w:line="240" w:lineRule="auto"/>
      <w:jc w:val="center"/>
    </w:pPr>
    <w:rPr>
      <w:rFonts w:ascii="Calibri Light" w:eastAsia="SimSun" w:hAnsi="Calibri Light" w:cs="Arial"/>
      <w:kern w:val="1"/>
      <w:szCs w:val="32"/>
      <w:lang w:eastAsia="ar-LB" w:bidi="ar-LB"/>
    </w:rPr>
  </w:style>
  <w:style w:type="paragraph" w:customStyle="1" w:styleId="TEIcell">
    <w:name w:val="TEI_cell"/>
    <w:rsid w:val="00FB3B4B"/>
    <w:pPr>
      <w:suppressAutoHyphens/>
      <w:spacing w:after="0" w:line="240" w:lineRule="auto"/>
    </w:pPr>
    <w:rPr>
      <w:rFonts w:ascii="Myriad Pro" w:eastAsia="Times New Roman" w:hAnsi="Myriad Pro" w:cs="Times New Roman"/>
      <w:sz w:val="20"/>
      <w:szCs w:val="20"/>
      <w:lang w:eastAsia="ar-SA"/>
    </w:rPr>
  </w:style>
  <w:style w:type="paragraph" w:customStyle="1" w:styleId="TEIauthorityaffiliation">
    <w:name w:val="TEI_authority_affiliation"/>
    <w:qFormat/>
    <w:rsid w:val="00FB3B4B"/>
    <w:pPr>
      <w:pBdr>
        <w:right w:val="single" w:sz="4" w:space="4" w:color="auto"/>
      </w:pBdr>
      <w:spacing w:before="60" w:after="60" w:line="240" w:lineRule="auto"/>
      <w:jc w:val="right"/>
    </w:pPr>
    <w:rPr>
      <w:rFonts w:asciiTheme="majorHAnsi" w:eastAsia="MS Mincho" w:hAnsiTheme="majorHAnsi" w:cs="Cambria"/>
      <w:szCs w:val="26"/>
      <w:lang w:eastAsia="ar-SA"/>
    </w:rPr>
  </w:style>
  <w:style w:type="paragraph" w:customStyle="1" w:styleId="TEIauthoritymail">
    <w:name w:val="TEI_authority_mail"/>
    <w:rsid w:val="00FB3B4B"/>
    <w:pPr>
      <w:pBdr>
        <w:right w:val="single" w:sz="4" w:space="4" w:color="auto"/>
      </w:pBdr>
      <w:suppressAutoHyphens/>
      <w:spacing w:after="0" w:line="240" w:lineRule="auto"/>
      <w:jc w:val="right"/>
    </w:pPr>
    <w:rPr>
      <w:rFonts w:asciiTheme="majorHAnsi" w:eastAsia="Times New Roman" w:hAnsiTheme="majorHAnsi" w:cs="Arial"/>
      <w:kern w:val="1"/>
      <w:sz w:val="21"/>
      <w:szCs w:val="32"/>
      <w:lang w:eastAsia="ar-SA"/>
    </w:rPr>
  </w:style>
  <w:style w:type="paragraph" w:customStyle="1" w:styleId="TEIkeywords">
    <w:name w:val="TEI_keywords"/>
    <w:rsid w:val="00FB3B4B"/>
    <w:pPr>
      <w:suppressAutoHyphens/>
      <w:spacing w:before="240" w:after="120" w:line="240" w:lineRule="auto"/>
      <w:ind w:left="284"/>
    </w:pPr>
    <w:rPr>
      <w:rFonts w:asciiTheme="majorHAnsi" w:eastAsia="Times New Roman" w:hAnsiTheme="majorHAnsi" w:cs="Minion Pro"/>
      <w:szCs w:val="20"/>
      <w:lang w:eastAsia="ar-SA"/>
    </w:rPr>
  </w:style>
  <w:style w:type="paragraph" w:customStyle="1" w:styleId="TEIabstract">
    <w:name w:val="TEI_abstract"/>
    <w:rsid w:val="00FB3B4B"/>
    <w:pPr>
      <w:suppressAutoHyphens/>
      <w:spacing w:before="240" w:after="240" w:line="240" w:lineRule="auto"/>
      <w:ind w:left="284"/>
    </w:pPr>
    <w:rPr>
      <w:rFonts w:asciiTheme="majorHAnsi" w:eastAsia="Times New Roman" w:hAnsiTheme="majorHAnsi" w:cs="Minion Pro"/>
      <w:szCs w:val="20"/>
      <w:lang w:eastAsia="ar-SA"/>
    </w:rPr>
  </w:style>
  <w:style w:type="paragraph" w:customStyle="1" w:styleId="TEIparagraphlead">
    <w:name w:val="TEI_paragraph_lead"/>
    <w:link w:val="TEIparagraphleadCar"/>
    <w:qFormat/>
    <w:rsid w:val="00FB3B4B"/>
    <w:pPr>
      <w:spacing w:before="360" w:after="360" w:line="360" w:lineRule="auto"/>
      <w:jc w:val="both"/>
    </w:pPr>
    <w:rPr>
      <w:rFonts w:ascii="Calibri Light" w:eastAsia="SimSun" w:hAnsi="Calibri Light" w:cs="Arial"/>
      <w:color w:val="000000" w:themeColor="text1"/>
      <w:kern w:val="1"/>
      <w:szCs w:val="32"/>
      <w:lang w:eastAsia="ar-LB" w:bidi="ar-LB"/>
    </w:rPr>
  </w:style>
  <w:style w:type="paragraph" w:customStyle="1" w:styleId="TEIcode">
    <w:name w:val="TEI_code"/>
    <w:rsid w:val="00FB3B4B"/>
    <w:pPr>
      <w:suppressAutoHyphens/>
      <w:spacing w:before="240" w:after="240" w:line="240" w:lineRule="auto"/>
      <w:ind w:left="567" w:right="1134"/>
    </w:pPr>
    <w:rPr>
      <w:rFonts w:ascii="Courier" w:eastAsia="Times New Roman" w:hAnsi="Courier" w:cs="Times"/>
      <w:color w:val="000000" w:themeColor="text1"/>
      <w:kern w:val="1"/>
      <w:sz w:val="21"/>
      <w:szCs w:val="32"/>
      <w:lang w:eastAsia="ar-SA"/>
    </w:rPr>
  </w:style>
  <w:style w:type="paragraph" w:customStyle="1" w:styleId="TEIdidascaly">
    <w:name w:val="TEI_didascaly"/>
    <w:rsid w:val="00FB3B4B"/>
    <w:pPr>
      <w:suppressAutoHyphens/>
      <w:adjustRightInd w:val="0"/>
      <w:spacing w:before="120" w:after="60" w:line="360" w:lineRule="auto"/>
      <w:ind w:left="567"/>
    </w:pPr>
    <w:rPr>
      <w:rFonts w:ascii="Calibri Light" w:eastAsia="Times New Roman" w:hAnsi="Calibri Light" w:cs="Junicode"/>
      <w:szCs w:val="20"/>
      <w:lang w:eastAsia="ar-SA"/>
    </w:rPr>
  </w:style>
  <w:style w:type="paragraph" w:customStyle="1" w:styleId="TEIparagraphconsecutive">
    <w:name w:val="TEI_paragraph_consecutive"/>
    <w:basedOn w:val="Normal"/>
    <w:qFormat/>
    <w:rsid w:val="00FB3B4B"/>
  </w:style>
  <w:style w:type="paragraph" w:customStyle="1" w:styleId="TEIaut">
    <w:name w:val="TEI_aut:"/>
    <w:autoRedefine/>
    <w:rsid w:val="00FB3B4B"/>
    <w:pPr>
      <w:pBdr>
        <w:right w:val="single" w:sz="4" w:space="4" w:color="auto"/>
      </w:pBdr>
      <w:suppressAutoHyphens/>
      <w:spacing w:before="240" w:after="0" w:line="240" w:lineRule="auto"/>
      <w:jc w:val="right"/>
    </w:pPr>
    <w:rPr>
      <w:rFonts w:asciiTheme="majorHAnsi" w:eastAsia="Times New Roman" w:hAnsiTheme="majorHAnsi" w:cs="Arial MT"/>
      <w:szCs w:val="20"/>
      <w:lang w:eastAsia="ar-SA"/>
    </w:rPr>
  </w:style>
  <w:style w:type="character" w:customStyle="1" w:styleId="TEIaut-inline">
    <w:name w:val="TEI_aut-inline:"/>
    <w:basedOn w:val="Policepardfaut"/>
    <w:uiPriority w:val="1"/>
    <w:qFormat/>
    <w:rsid w:val="00FB3B4B"/>
    <w:rPr>
      <w:color w:val="C00000"/>
    </w:rPr>
  </w:style>
  <w:style w:type="character" w:customStyle="1" w:styleId="TEIedt-inline">
    <w:name w:val="TEI_edt-inline:"/>
    <w:basedOn w:val="Policepardfaut"/>
    <w:rsid w:val="00FB3B4B"/>
    <w:rPr>
      <w:color w:val="9CC2E5" w:themeColor="accent5" w:themeTint="99"/>
    </w:rPr>
  </w:style>
  <w:style w:type="paragraph" w:customStyle="1" w:styleId="TEIauts">
    <w:name w:val="TEI_auts"/>
    <w:qFormat/>
    <w:rsid w:val="00FB3B4B"/>
    <w:pPr>
      <w:pBdr>
        <w:right w:val="single" w:sz="4" w:space="4" w:color="auto"/>
      </w:pBdr>
      <w:spacing w:before="60" w:after="60" w:line="240" w:lineRule="auto"/>
      <w:jc w:val="right"/>
    </w:pPr>
    <w:rPr>
      <w:rFonts w:ascii="Calibri" w:eastAsia="Times New Roman" w:hAnsi="Calibri" w:cs="Arial MT"/>
      <w:color w:val="000000" w:themeColor="text1"/>
      <w:sz w:val="24"/>
      <w:szCs w:val="20"/>
      <w:lang w:eastAsia="ar-SA"/>
    </w:rPr>
  </w:style>
  <w:style w:type="paragraph" w:customStyle="1" w:styleId="TEIauthorities">
    <w:name w:val="TEI_authorities"/>
    <w:qFormat/>
    <w:rsid w:val="00FB3B4B"/>
    <w:pPr>
      <w:pBdr>
        <w:right w:val="single" w:sz="4" w:space="4" w:color="auto"/>
      </w:pBdr>
      <w:spacing w:before="60" w:after="60" w:line="240" w:lineRule="auto"/>
      <w:jc w:val="right"/>
    </w:pPr>
    <w:rPr>
      <w:rFonts w:ascii="Calibri" w:eastAsia="Times New Roman" w:hAnsi="Calibri" w:cs="Arial MT"/>
      <w:color w:val="000000" w:themeColor="text1"/>
      <w:sz w:val="24"/>
      <w:szCs w:val="20"/>
      <w:lang w:eastAsia="ar-SA"/>
    </w:rPr>
  </w:style>
  <w:style w:type="character" w:customStyle="1" w:styleId="TEIneutral-inline">
    <w:name w:val="TEI_neutral-inline"/>
    <w:uiPriority w:val="1"/>
    <w:qFormat/>
    <w:rsid w:val="00FB3B4B"/>
    <w:rPr>
      <w:color w:val="808080"/>
    </w:rPr>
  </w:style>
  <w:style w:type="character" w:customStyle="1" w:styleId="TEIaffiliation-inline">
    <w:name w:val="TEI_affiliation-inline"/>
    <w:basedOn w:val="Policepardfaut"/>
    <w:uiPriority w:val="1"/>
    <w:qFormat/>
    <w:rsid w:val="00FB3B4B"/>
    <w:rPr>
      <w:color w:val="4AACC6"/>
      <w:bdr w:val="none" w:sz="0" w:space="0" w:color="auto"/>
      <w:shd w:val="clear" w:color="auto" w:fill="auto"/>
    </w:rPr>
  </w:style>
  <w:style w:type="paragraph" w:customStyle="1" w:styleId="TEIauthoritybiography">
    <w:name w:val="TEI_authority_biography"/>
    <w:link w:val="TEIauthoritybiographyCar"/>
    <w:qFormat/>
    <w:rsid w:val="00FB3B4B"/>
    <w:pPr>
      <w:pBdr>
        <w:right w:val="single" w:sz="4" w:space="4" w:color="auto"/>
      </w:pBdr>
      <w:spacing w:before="120" w:after="120" w:line="264" w:lineRule="auto"/>
      <w:jc w:val="right"/>
    </w:pPr>
    <w:rPr>
      <w:rFonts w:asciiTheme="majorHAnsi" w:eastAsia="MS Mincho" w:hAnsiTheme="majorHAnsi" w:cs="Calibri Light"/>
      <w:sz w:val="21"/>
      <w:szCs w:val="26"/>
      <w:lang w:eastAsia="ar-SA"/>
    </w:rPr>
  </w:style>
  <w:style w:type="paragraph" w:customStyle="1" w:styleId="TEIfunder">
    <w:name w:val="TEI_funder"/>
    <w:qFormat/>
    <w:rsid w:val="00FB3B4B"/>
    <w:pPr>
      <w:spacing w:after="120" w:line="240" w:lineRule="auto"/>
    </w:pPr>
    <w:rPr>
      <w:rFonts w:asciiTheme="majorHAnsi" w:eastAsia="Times New Roman" w:hAnsiTheme="majorHAnsi" w:cs="Minion Pro"/>
      <w:szCs w:val="26"/>
      <w:lang w:eastAsia="ar-SA"/>
    </w:rPr>
  </w:style>
  <w:style w:type="paragraph" w:customStyle="1" w:styleId="TEIdatereception">
    <w:name w:val="TEI_date_reception"/>
    <w:qFormat/>
    <w:rsid w:val="00FB3B4B"/>
    <w:pPr>
      <w:spacing w:after="120" w:line="264" w:lineRule="auto"/>
    </w:pPr>
    <w:rPr>
      <w:rFonts w:asciiTheme="majorHAnsi" w:eastAsia="Times New Roman" w:hAnsiTheme="majorHAnsi" w:cs="Minion Pro"/>
      <w:szCs w:val="26"/>
      <w:lang w:eastAsia="ar-SA"/>
    </w:rPr>
  </w:style>
  <w:style w:type="paragraph" w:customStyle="1" w:styleId="TEIdateacceptance">
    <w:name w:val="TEI_date_acceptance"/>
    <w:qFormat/>
    <w:rsid w:val="00FB3B4B"/>
    <w:pPr>
      <w:spacing w:after="120" w:line="264" w:lineRule="auto"/>
    </w:pPr>
    <w:rPr>
      <w:rFonts w:asciiTheme="majorHAnsi" w:eastAsia="Times New Roman" w:hAnsiTheme="majorHAnsi" w:cs="Minion Pro"/>
      <w:szCs w:val="26"/>
      <w:lang w:eastAsia="ar-SA"/>
    </w:rPr>
  </w:style>
  <w:style w:type="paragraph" w:customStyle="1" w:styleId="TEInote">
    <w:name w:val="TEI_note:"/>
    <w:qFormat/>
    <w:rsid w:val="00FB3B4B"/>
    <w:pPr>
      <w:spacing w:after="120" w:line="264" w:lineRule="auto"/>
    </w:pPr>
    <w:rPr>
      <w:rFonts w:ascii="Calibri Light" w:eastAsia="MS Mincho" w:hAnsi="Calibri Light" w:cs="Calibri Light"/>
      <w:szCs w:val="26"/>
      <w:lang w:eastAsia="ar-SA"/>
    </w:rPr>
  </w:style>
  <w:style w:type="character" w:customStyle="1" w:styleId="TEIcode-inline">
    <w:name w:val="TEI_code-inline"/>
    <w:uiPriority w:val="1"/>
    <w:qFormat/>
    <w:rsid w:val="00FB3B4B"/>
    <w:rPr>
      <w:rFonts w:ascii="Consolas" w:hAnsi="Consolas"/>
      <w:color w:val="7B7B7B" w:themeColor="accent3" w:themeShade="BF"/>
    </w:rPr>
  </w:style>
  <w:style w:type="paragraph" w:customStyle="1" w:styleId="TEIlinguisticgloss">
    <w:name w:val="TEI_linguistic_gloss"/>
    <w:autoRedefine/>
    <w:qFormat/>
    <w:rsid w:val="00FB3B4B"/>
    <w:pPr>
      <w:spacing w:after="120" w:line="264" w:lineRule="auto"/>
      <w:ind w:left="1701" w:hanging="1701"/>
    </w:pPr>
    <w:rPr>
      <w:rFonts w:asciiTheme="majorHAnsi" w:eastAsia="MS Mincho" w:hAnsiTheme="majorHAnsi" w:cs="Calibri Light"/>
      <w:noProof/>
      <w:sz w:val="20"/>
      <w:lang w:eastAsia="ar-SA"/>
    </w:rPr>
  </w:style>
  <w:style w:type="paragraph" w:customStyle="1" w:styleId="TEIlinguisticexample">
    <w:name w:val="TEI_linguistic_example"/>
    <w:autoRedefine/>
    <w:qFormat/>
    <w:rsid w:val="00FB3B4B"/>
    <w:pPr>
      <w:spacing w:after="120" w:line="264" w:lineRule="auto"/>
    </w:pPr>
    <w:rPr>
      <w:rFonts w:asciiTheme="majorHAnsi" w:eastAsia="MS Mincho" w:hAnsiTheme="majorHAnsi" w:cs="Calibri Light"/>
      <w:sz w:val="20"/>
      <w:lang w:eastAsia="ar-SA"/>
    </w:rPr>
  </w:style>
  <w:style w:type="paragraph" w:customStyle="1" w:styleId="TEIlinguistictranslation">
    <w:name w:val="TEI_linguistic_translation"/>
    <w:autoRedefine/>
    <w:qFormat/>
    <w:rsid w:val="00FB3B4B"/>
    <w:pPr>
      <w:spacing w:after="120" w:line="264" w:lineRule="auto"/>
      <w:ind w:left="1276" w:hanging="1276"/>
    </w:pPr>
    <w:rPr>
      <w:rFonts w:asciiTheme="majorHAnsi" w:eastAsia="MS Mincho" w:hAnsiTheme="majorHAnsi" w:cs="Calibri Light"/>
      <w:noProof/>
      <w:sz w:val="20"/>
      <w:lang w:eastAsia="ar-SA"/>
    </w:rPr>
  </w:style>
  <w:style w:type="paragraph" w:customStyle="1" w:styleId="TEIquote">
    <w:name w:val="TEI_quote"/>
    <w:rsid w:val="00FB3B4B"/>
    <w:pPr>
      <w:suppressAutoHyphens/>
      <w:spacing w:before="240" w:after="240" w:line="360" w:lineRule="auto"/>
      <w:ind w:left="567"/>
      <w:jc w:val="both"/>
    </w:pPr>
    <w:rPr>
      <w:rFonts w:ascii="Calibri Light" w:eastAsia="Times New Roman" w:hAnsi="Calibri Light" w:cs="Arial MT"/>
      <w:sz w:val="21"/>
      <w:szCs w:val="20"/>
      <w:lang w:eastAsia="ar-SA"/>
    </w:rPr>
  </w:style>
  <w:style w:type="paragraph" w:customStyle="1" w:styleId="TEIquote2">
    <w:name w:val="TEI_quote2"/>
    <w:rsid w:val="00FB3B4B"/>
    <w:pPr>
      <w:suppressAutoHyphens/>
      <w:spacing w:before="240" w:after="240" w:line="360" w:lineRule="auto"/>
      <w:ind w:left="567"/>
      <w:jc w:val="both"/>
    </w:pPr>
    <w:rPr>
      <w:rFonts w:ascii="Calibri Light" w:eastAsia="Times New Roman" w:hAnsi="Calibri Light" w:cs="Arial MT"/>
      <w:color w:val="000000" w:themeColor="text1"/>
      <w:sz w:val="21"/>
      <w:szCs w:val="20"/>
      <w:lang w:val="en-GB" w:eastAsia="ar-SA"/>
    </w:rPr>
  </w:style>
  <w:style w:type="paragraph" w:customStyle="1" w:styleId="TEIquotecontinuation">
    <w:name w:val="TEI_quote_continuation"/>
    <w:qFormat/>
    <w:rsid w:val="00FB3B4B"/>
    <w:pPr>
      <w:spacing w:after="120" w:line="264" w:lineRule="auto"/>
      <w:ind w:left="567"/>
    </w:pPr>
    <w:rPr>
      <w:rFonts w:ascii="Calibri Light" w:eastAsia="Times New Roman" w:hAnsi="Calibri Light" w:cs="Arial MT"/>
      <w:color w:val="000000" w:themeColor="text1"/>
      <w:sz w:val="21"/>
      <w:szCs w:val="20"/>
      <w:lang w:val="en-GB" w:eastAsia="ar-SA"/>
    </w:rPr>
  </w:style>
  <w:style w:type="paragraph" w:customStyle="1" w:styleId="TEIquotenested">
    <w:name w:val="TEI_quote_nested"/>
    <w:autoRedefine/>
    <w:qFormat/>
    <w:rsid w:val="00FB3B4B"/>
    <w:pPr>
      <w:spacing w:after="120" w:line="264" w:lineRule="auto"/>
      <w:ind w:left="1134"/>
    </w:pPr>
    <w:rPr>
      <w:rFonts w:ascii="Calibri Light" w:eastAsia="Times New Roman" w:hAnsi="Calibri Light" w:cs="Arial MT"/>
      <w:color w:val="000000" w:themeColor="text1"/>
      <w:sz w:val="21"/>
      <w:szCs w:val="20"/>
      <w:lang w:val="en-GB" w:eastAsia="ar-SA"/>
    </w:rPr>
  </w:style>
  <w:style w:type="paragraph" w:customStyle="1" w:styleId="TEIverse">
    <w:name w:val="TEI_verse"/>
    <w:qFormat/>
    <w:rsid w:val="00FB3B4B"/>
    <w:pPr>
      <w:spacing w:before="120" w:after="0" w:line="360" w:lineRule="auto"/>
      <w:ind w:left="1134"/>
      <w:contextualSpacing/>
    </w:pPr>
    <w:rPr>
      <w:rFonts w:ascii="Calibri Light" w:eastAsia="MS Mincho" w:hAnsi="Calibri Light" w:cs="Cambria"/>
      <w:szCs w:val="24"/>
      <w:lang w:eastAsia="ar-SA"/>
    </w:rPr>
  </w:style>
  <w:style w:type="paragraph" w:customStyle="1" w:styleId="TEIreplica">
    <w:name w:val="TEI_replica"/>
    <w:rsid w:val="00FB3B4B"/>
    <w:pPr>
      <w:suppressAutoHyphens/>
      <w:spacing w:after="0" w:line="240" w:lineRule="auto"/>
      <w:ind w:left="851" w:hanging="284"/>
      <w:jc w:val="both"/>
    </w:pPr>
    <w:rPr>
      <w:rFonts w:ascii="Calibri Light" w:eastAsia="Times New Roman" w:hAnsi="Calibri Light" w:cs="Junicode"/>
      <w:szCs w:val="20"/>
      <w:lang w:eastAsia="ar-SA"/>
    </w:rPr>
  </w:style>
  <w:style w:type="paragraph" w:customStyle="1" w:styleId="TEIspeaker">
    <w:name w:val="TEI_speaker"/>
    <w:qFormat/>
    <w:rsid w:val="00FB3B4B"/>
    <w:pPr>
      <w:spacing w:after="120" w:line="264" w:lineRule="auto"/>
    </w:pPr>
    <w:rPr>
      <w:rFonts w:ascii="Calibri Light" w:eastAsia="Times New Roman" w:hAnsi="Calibri Light" w:cs="Junicode"/>
      <w:szCs w:val="20"/>
      <w:lang w:eastAsia="ar-SA"/>
    </w:rPr>
  </w:style>
  <w:style w:type="character" w:customStyle="1" w:styleId="TEIspeaker-inline">
    <w:name w:val="TEI_speaker-inline"/>
    <w:rsid w:val="00FB3B4B"/>
    <w:rPr>
      <w:rFonts w:ascii="Junicode" w:hAnsi="Junicode" w:cs="Junicode"/>
      <w:color w:val="auto"/>
      <w:sz w:val="24"/>
      <w:u w:val="single"/>
    </w:rPr>
  </w:style>
  <w:style w:type="character" w:customStyle="1" w:styleId="TEIdidascaly-inline">
    <w:name w:val="TEI_didascaly-inline"/>
    <w:rsid w:val="00FB3B4B"/>
    <w:rPr>
      <w:rFonts w:ascii="Junicode" w:hAnsi="Junicode" w:cs="Junicode"/>
      <w:sz w:val="22"/>
    </w:rPr>
  </w:style>
  <w:style w:type="character" w:customStyle="1" w:styleId="TEIversenumber-inline">
    <w:name w:val="TEI_versenumber-inline"/>
    <w:uiPriority w:val="1"/>
    <w:qFormat/>
    <w:rsid w:val="00FB3B4B"/>
    <w:rPr>
      <w:color w:val="7F7F7F"/>
    </w:rPr>
  </w:style>
  <w:style w:type="paragraph" w:customStyle="1" w:styleId="TEIversifiedreplica">
    <w:name w:val="TEI_versifiedreplica"/>
    <w:basedOn w:val="Normal"/>
    <w:qFormat/>
    <w:rsid w:val="00FB3B4B"/>
  </w:style>
  <w:style w:type="paragraph" w:customStyle="1" w:styleId="TEIxiinclude">
    <w:name w:val="TEI_xi_include"/>
    <w:rsid w:val="00FB3B4B"/>
    <w:pPr>
      <w:pBdr>
        <w:top w:val="single" w:sz="4" w:space="1" w:color="auto"/>
        <w:bottom w:val="single" w:sz="4" w:space="1" w:color="auto"/>
      </w:pBdr>
      <w:suppressAutoHyphens/>
      <w:spacing w:before="240" w:after="240" w:line="240" w:lineRule="auto"/>
    </w:pPr>
    <w:rPr>
      <w:rFonts w:ascii="Calibri" w:eastAsia="MS Mincho" w:hAnsi="Calibri" w:cs="Cambria"/>
      <w:b/>
      <w:sz w:val="20"/>
      <w:szCs w:val="24"/>
      <w:lang w:eastAsia="ar-SA"/>
    </w:rPr>
  </w:style>
  <w:style w:type="paragraph" w:customStyle="1" w:styleId="TEIfloatingTextend">
    <w:name w:val="TEI_floatingText_end"/>
    <w:next w:val="Normal"/>
    <w:autoRedefine/>
    <w:qFormat/>
    <w:rsid w:val="00FB3B4B"/>
    <w:pPr>
      <w:spacing w:after="120" w:line="264" w:lineRule="auto"/>
    </w:pPr>
    <w:rPr>
      <w:rFonts w:ascii="Courier New" w:eastAsia="MS Mincho" w:hAnsi="Courier New" w:cs="Calibri Light"/>
      <w:color w:val="718EAC"/>
      <w:sz w:val="16"/>
      <w:lang w:eastAsia="ar-SA"/>
    </w:rPr>
  </w:style>
  <w:style w:type="paragraph" w:customStyle="1" w:styleId="TEIfloatingTextstart">
    <w:name w:val="TEI_floatingText_start"/>
    <w:qFormat/>
    <w:rsid w:val="00FB3B4B"/>
    <w:pPr>
      <w:spacing w:after="120" w:line="264" w:lineRule="auto"/>
    </w:pPr>
    <w:rPr>
      <w:rFonts w:ascii="Courier New" w:eastAsia="MS Mincho" w:hAnsi="Courier New" w:cs="Calibri Light"/>
      <w:color w:val="718EAC"/>
      <w:sz w:val="16"/>
      <w:lang w:eastAsia="ar-SA"/>
    </w:rPr>
  </w:style>
  <w:style w:type="paragraph" w:customStyle="1" w:styleId="TEIfigurealternative">
    <w:name w:val="TEI_figure_alternative"/>
    <w:qFormat/>
    <w:rsid w:val="00FB3B4B"/>
    <w:pPr>
      <w:spacing w:after="120" w:line="264" w:lineRule="auto"/>
    </w:pPr>
    <w:rPr>
      <w:rFonts w:ascii="Calibri Light" w:eastAsia="SimSun" w:hAnsi="Calibri Light" w:cs="Arial"/>
      <w:kern w:val="1"/>
      <w:sz w:val="21"/>
      <w:szCs w:val="32"/>
      <w:lang w:eastAsia="ar-LB" w:bidi="ar-LB"/>
    </w:rPr>
  </w:style>
  <w:style w:type="paragraph" w:customStyle="1" w:styleId="TEIformula">
    <w:name w:val="TEI_formula"/>
    <w:qFormat/>
    <w:rsid w:val="00FB3B4B"/>
    <w:pPr>
      <w:spacing w:after="120" w:line="264" w:lineRule="auto"/>
    </w:pPr>
    <w:rPr>
      <w:rFonts w:ascii="Courier New" w:eastAsia="MS Mincho" w:hAnsi="Courier New" w:cs="Cambria"/>
      <w:szCs w:val="26"/>
      <w:lang w:eastAsia="ar-SA"/>
    </w:rPr>
  </w:style>
  <w:style w:type="character" w:customStyle="1" w:styleId="TEIformula-inline">
    <w:name w:val="TEI_formula-inline"/>
    <w:basedOn w:val="Policepardfaut"/>
    <w:uiPriority w:val="1"/>
    <w:qFormat/>
    <w:rsid w:val="00FB3B4B"/>
    <w:rPr>
      <w:rFonts w:ascii="Courier New" w:hAnsi="Courier New"/>
      <w:sz w:val="22"/>
    </w:rPr>
  </w:style>
  <w:style w:type="paragraph" w:customStyle="1" w:styleId="TEIbiblreference">
    <w:name w:val="TEI_bibl_reference"/>
    <w:autoRedefine/>
    <w:qFormat/>
    <w:rsid w:val="00FB3B4B"/>
    <w:pPr>
      <w:spacing w:after="120" w:line="240" w:lineRule="auto"/>
    </w:pPr>
    <w:rPr>
      <w:rFonts w:asciiTheme="majorHAnsi" w:eastAsia="MS Mincho" w:hAnsiTheme="majorHAnsi" w:cs="Calibri Light"/>
      <w:lang w:eastAsia="ar-SA"/>
    </w:rPr>
  </w:style>
  <w:style w:type="paragraph" w:customStyle="1" w:styleId="TEIbiblstart">
    <w:name w:val="TEI_bibl_start"/>
    <w:autoRedefine/>
    <w:qFormat/>
    <w:rsid w:val="00FB3B4B"/>
    <w:pPr>
      <w:spacing w:after="120" w:line="240" w:lineRule="auto"/>
      <w:outlineLvl w:val="0"/>
    </w:pPr>
    <w:rPr>
      <w:rFonts w:eastAsia="MS Mincho" w:cs="Calibri Light"/>
      <w:sz w:val="40"/>
      <w:lang w:eastAsia="ar-SA"/>
    </w:rPr>
  </w:style>
  <w:style w:type="paragraph" w:customStyle="1" w:styleId="TEIappendixstart">
    <w:name w:val="TEI_appendix_start"/>
    <w:next w:val="Normal"/>
    <w:autoRedefine/>
    <w:qFormat/>
    <w:rsid w:val="00FB3B4B"/>
    <w:pPr>
      <w:spacing w:after="320" w:line="240" w:lineRule="auto"/>
      <w:outlineLvl w:val="0"/>
    </w:pPr>
    <w:rPr>
      <w:rFonts w:eastAsia="MS Mincho" w:cs="Calibri Light"/>
      <w:sz w:val="40"/>
      <w:lang w:eastAsia="ar-SA"/>
    </w:rPr>
  </w:style>
  <w:style w:type="paragraph" w:customStyle="1" w:styleId="TEIpagination">
    <w:name w:val="TEI_pagination"/>
    <w:next w:val="Normal"/>
    <w:autoRedefine/>
    <w:qFormat/>
    <w:rsid w:val="00FB3B4B"/>
    <w:pPr>
      <w:spacing w:after="120" w:line="264" w:lineRule="auto"/>
    </w:pPr>
    <w:rPr>
      <w:rFonts w:asciiTheme="majorHAnsi" w:eastAsia="MS Mincho" w:hAnsiTheme="majorHAnsi" w:cs="Calibri Light"/>
      <w:lang w:eastAsia="ar-SA"/>
    </w:rPr>
  </w:style>
  <w:style w:type="paragraph" w:customStyle="1" w:styleId="TEIdocumentnumber">
    <w:name w:val="TEI_document_number"/>
    <w:next w:val="Normal"/>
    <w:autoRedefine/>
    <w:qFormat/>
    <w:rsid w:val="00FB3B4B"/>
    <w:pPr>
      <w:spacing w:after="120" w:line="264" w:lineRule="auto"/>
    </w:pPr>
    <w:rPr>
      <w:rFonts w:asciiTheme="majorHAnsi" w:eastAsia="MS Mincho" w:hAnsiTheme="majorHAnsi" w:cs="Calibri Light"/>
      <w:lang w:eastAsia="ar-SA"/>
    </w:rPr>
  </w:style>
  <w:style w:type="paragraph" w:customStyle="1" w:styleId="TEIpartner">
    <w:name w:val="TEI_partner"/>
    <w:qFormat/>
    <w:rsid w:val="00FB3B4B"/>
    <w:pPr>
      <w:spacing w:after="120" w:line="360" w:lineRule="auto"/>
      <w:ind w:left="284"/>
      <w:contextualSpacing/>
    </w:pPr>
    <w:rPr>
      <w:rFonts w:ascii="Calibri" w:eastAsia="MS Mincho" w:hAnsi="Calibri" w:cs="Times New Roman"/>
      <w:szCs w:val="24"/>
      <w:lang w:val="fr-BE" w:eastAsia="ar-SA"/>
    </w:rPr>
  </w:style>
  <w:style w:type="paragraph" w:customStyle="1" w:styleId="TEIlinkeddata">
    <w:name w:val="TEI_linked_data"/>
    <w:basedOn w:val="Normal"/>
    <w:qFormat/>
    <w:rsid w:val="00FB3B4B"/>
    <w:pPr>
      <w:shd w:val="clear" w:color="auto" w:fill="F0F8FF"/>
      <w:spacing w:before="240"/>
      <w:ind w:left="284"/>
      <w:jc w:val="left"/>
    </w:pPr>
    <w:rPr>
      <w:rFonts w:cs="Times New Roman"/>
      <w:bCs/>
      <w:lang w:eastAsia="fr-FR"/>
    </w:rPr>
  </w:style>
  <w:style w:type="paragraph" w:customStyle="1" w:styleId="TEIlinkedpubli">
    <w:name w:val="TEI_linked_publi"/>
    <w:qFormat/>
    <w:rsid w:val="00FB3B4B"/>
    <w:pPr>
      <w:shd w:val="clear" w:color="auto" w:fill="F0F8FF"/>
      <w:spacing w:before="120" w:after="240" w:line="360" w:lineRule="auto"/>
      <w:ind w:left="284"/>
    </w:pPr>
    <w:rPr>
      <w:rFonts w:ascii="Calibri Light" w:eastAsia="MS Mincho" w:hAnsi="Calibri Light" w:cs="Times New Roman"/>
      <w:bCs/>
      <w:szCs w:val="24"/>
      <w:lang w:eastAsia="fr-FR"/>
    </w:rPr>
  </w:style>
  <w:style w:type="paragraph" w:customStyle="1" w:styleId="TEIlocalnote">
    <w:name w:val="TEI_localnote"/>
    <w:basedOn w:val="Notedebasdepage"/>
    <w:rsid w:val="00FB3B4B"/>
    <w:rPr>
      <w:rFonts w:eastAsia="Times New Roman" w:cs="Times New Roman"/>
      <w:color w:val="000080"/>
    </w:rPr>
  </w:style>
  <w:style w:type="paragraph" w:customStyle="1" w:styleId="TEIreviewstart">
    <w:name w:val="TEI_review_start"/>
    <w:autoRedefine/>
    <w:qFormat/>
    <w:rsid w:val="00FB3B4B"/>
    <w:pPr>
      <w:spacing w:after="120" w:line="264" w:lineRule="auto"/>
      <w:jc w:val="center"/>
    </w:pPr>
    <w:rPr>
      <w:rFonts w:ascii="Courier New" w:eastAsia="MS Mincho" w:hAnsi="Courier New" w:cs="Calibri Light"/>
      <w:color w:val="718EAC"/>
      <w:sz w:val="16"/>
      <w:lang w:eastAsia="ar-SA"/>
    </w:rPr>
  </w:style>
  <w:style w:type="paragraph" w:customStyle="1" w:styleId="TEIreviewend">
    <w:name w:val="TEI_review_end"/>
    <w:autoRedefine/>
    <w:qFormat/>
    <w:rsid w:val="00FB3B4B"/>
    <w:pPr>
      <w:spacing w:after="120" w:line="264" w:lineRule="auto"/>
      <w:jc w:val="center"/>
    </w:pPr>
    <w:rPr>
      <w:rFonts w:ascii="Courier New" w:eastAsia="MS Mincho" w:hAnsi="Courier New" w:cs="Calibri Light"/>
      <w:color w:val="718EAC"/>
      <w:sz w:val="16"/>
      <w:lang w:eastAsia="ar-SA"/>
    </w:rPr>
  </w:style>
  <w:style w:type="paragraph" w:customStyle="1" w:styleId="TEIkeywordssubjectschronology">
    <w:name w:val="TEI_keywords_subjects:chronology"/>
    <w:next w:val="Normal"/>
    <w:autoRedefine/>
    <w:qFormat/>
    <w:rsid w:val="00FB3B4B"/>
    <w:pPr>
      <w:spacing w:after="120" w:line="264" w:lineRule="auto"/>
    </w:pPr>
    <w:rPr>
      <w:rFonts w:ascii="Verdana" w:eastAsia="MS Mincho" w:hAnsi="Verdana" w:cs="Calibri Light"/>
      <w:color w:val="7030A0"/>
      <w:lang w:eastAsia="ar-SA"/>
    </w:rPr>
  </w:style>
  <w:style w:type="paragraph" w:customStyle="1" w:styleId="TEIkeywordssubjectsexcavationyear">
    <w:name w:val="TEI_keywords_subjects:excavationyear"/>
    <w:next w:val="Normal"/>
    <w:autoRedefine/>
    <w:qFormat/>
    <w:rsid w:val="00FB3B4B"/>
    <w:pPr>
      <w:spacing w:after="120" w:line="264" w:lineRule="auto"/>
    </w:pPr>
    <w:rPr>
      <w:rFonts w:ascii="Verdana" w:eastAsia="MS Mincho" w:hAnsi="Verdana" w:cs="Calibri Light"/>
      <w:color w:val="7030A0"/>
      <w:lang w:eastAsia="ar-SA"/>
    </w:rPr>
  </w:style>
  <w:style w:type="paragraph" w:customStyle="1" w:styleId="TEIkeywordssubjectsgeography">
    <w:name w:val="TEI_keywords_subjects:geography"/>
    <w:next w:val="Normal"/>
    <w:autoRedefine/>
    <w:qFormat/>
    <w:rsid w:val="00FB3B4B"/>
    <w:pPr>
      <w:spacing w:after="120" w:line="264" w:lineRule="auto"/>
    </w:pPr>
    <w:rPr>
      <w:rFonts w:ascii="Verdana" w:eastAsia="MS Mincho" w:hAnsi="Verdana" w:cs="Calibri Light"/>
      <w:color w:val="7030A0"/>
      <w:lang w:eastAsia="ar-SA"/>
    </w:rPr>
  </w:style>
  <w:style w:type="paragraph" w:customStyle="1" w:styleId="TEIkeywordssubjectspersoncited">
    <w:name w:val="TEI_keywords_subjects:personcited"/>
    <w:next w:val="Normal"/>
    <w:autoRedefine/>
    <w:qFormat/>
    <w:rsid w:val="00FB3B4B"/>
    <w:pPr>
      <w:spacing w:after="120" w:line="264" w:lineRule="auto"/>
    </w:pPr>
    <w:rPr>
      <w:rFonts w:ascii="Verdana" w:eastAsia="MS Mincho" w:hAnsi="Verdana" w:cs="Calibri Light"/>
      <w:color w:val="7030A0"/>
      <w:lang w:eastAsia="ar-SA"/>
    </w:rPr>
  </w:style>
  <w:style w:type="paragraph" w:customStyle="1" w:styleId="TEIkeywordssubjectspropernoun">
    <w:name w:val="TEI_keywords_subjects:propernoun"/>
    <w:next w:val="Normal"/>
    <w:autoRedefine/>
    <w:qFormat/>
    <w:rsid w:val="00FB3B4B"/>
    <w:pPr>
      <w:spacing w:after="120" w:line="264" w:lineRule="auto"/>
    </w:pPr>
    <w:rPr>
      <w:rFonts w:ascii="Verdana" w:eastAsia="MS Mincho" w:hAnsi="Verdana" w:cs="Calibri Light"/>
      <w:color w:val="7030A0"/>
      <w:lang w:eastAsia="ar-SA"/>
    </w:rPr>
  </w:style>
  <w:style w:type="paragraph" w:customStyle="1" w:styleId="TEIkeywordssubjectssubject">
    <w:name w:val="TEI_keywords_subjects:subject"/>
    <w:next w:val="Normal"/>
    <w:autoRedefine/>
    <w:qFormat/>
    <w:rsid w:val="00FB3B4B"/>
    <w:pPr>
      <w:spacing w:after="120" w:line="264" w:lineRule="auto"/>
    </w:pPr>
    <w:rPr>
      <w:rFonts w:ascii="Verdana" w:eastAsia="MS Mincho" w:hAnsi="Verdana" w:cs="Calibri Light"/>
      <w:color w:val="7030A0"/>
      <w:lang w:eastAsia="ar-SA"/>
    </w:rPr>
  </w:style>
  <w:style w:type="paragraph" w:customStyle="1" w:styleId="TEIkeywordssubjectswork">
    <w:name w:val="TEI_keywords_subjects:work"/>
    <w:next w:val="Normal"/>
    <w:autoRedefine/>
    <w:qFormat/>
    <w:rsid w:val="00FB3B4B"/>
    <w:pPr>
      <w:spacing w:after="120" w:line="264" w:lineRule="auto"/>
    </w:pPr>
    <w:rPr>
      <w:rFonts w:ascii="Verdana" w:eastAsia="MS Mincho" w:hAnsi="Verdana" w:cs="Calibri Light"/>
      <w:color w:val="7030A0"/>
      <w:lang w:eastAsia="ar-SA"/>
    </w:rPr>
  </w:style>
  <w:style w:type="character" w:customStyle="1" w:styleId="TEIbiblreference-inline">
    <w:name w:val="TEI_bibl_reference-inline"/>
    <w:uiPriority w:val="1"/>
    <w:qFormat/>
    <w:rsid w:val="00FB3B4B"/>
    <w:rPr>
      <w:rFonts w:asciiTheme="majorHAnsi" w:hAnsiTheme="majorHAnsi"/>
      <w:b w:val="0"/>
      <w:color w:val="auto"/>
      <w:bdr w:val="none" w:sz="0" w:space="0" w:color="auto"/>
      <w:shd w:val="clear" w:color="auto" w:fill="E7E6E6" w:themeFill="background2"/>
    </w:rPr>
  </w:style>
  <w:style w:type="paragraph" w:customStyle="1" w:styleId="TEIanswer">
    <w:name w:val="TEI_answer"/>
    <w:autoRedefine/>
    <w:qFormat/>
    <w:rsid w:val="00FB3B4B"/>
    <w:pPr>
      <w:spacing w:after="120" w:line="264" w:lineRule="auto"/>
    </w:pPr>
    <w:rPr>
      <w:rFonts w:ascii="Times New Roman" w:eastAsia="MS Mincho" w:hAnsi="Times New Roman" w:cs="Calibri Light"/>
      <w:color w:val="767171" w:themeColor="background2" w:themeShade="80"/>
      <w:lang w:eastAsia="ar-SA"/>
    </w:rPr>
  </w:style>
  <w:style w:type="paragraph" w:customStyle="1" w:styleId="TEIquestion">
    <w:name w:val="TEI_question"/>
    <w:next w:val="TEIanswer"/>
    <w:autoRedefine/>
    <w:qFormat/>
    <w:rsid w:val="00FB3B4B"/>
    <w:pPr>
      <w:spacing w:after="120" w:line="264" w:lineRule="auto"/>
    </w:pPr>
    <w:rPr>
      <w:rFonts w:ascii="Times New Roman" w:eastAsia="MS Mincho" w:hAnsi="Times New Roman" w:cs="Calibri Light"/>
      <w:b/>
      <w:color w:val="767171" w:themeColor="background2" w:themeShade="80"/>
      <w:lang w:eastAsia="ar-SA"/>
    </w:rPr>
  </w:style>
  <w:style w:type="character" w:customStyle="1" w:styleId="TEIfigurenuminline">
    <w:name w:val="TEI_figure_num_inline"/>
    <w:basedOn w:val="Policepardfaut"/>
    <w:uiPriority w:val="1"/>
    <w:qFormat/>
    <w:rsid w:val="00FB3B4B"/>
    <w:rPr>
      <w:color w:val="2E74B5" w:themeColor="accent5" w:themeShade="BF"/>
      <w:bdr w:val="none" w:sz="0" w:space="0" w:color="auto"/>
      <w:shd w:val="clear" w:color="auto" w:fill="auto"/>
    </w:rPr>
  </w:style>
  <w:style w:type="character" w:customStyle="1" w:styleId="TEIfigurecreditsinline">
    <w:name w:val="TEI_figure_credits_inline"/>
    <w:uiPriority w:val="1"/>
    <w:qFormat/>
    <w:rsid w:val="00FB3B4B"/>
    <w:rPr>
      <w:color w:val="44546A" w:themeColor="text2"/>
      <w:bdr w:val="none" w:sz="0" w:space="0" w:color="auto"/>
      <w:shd w:val="clear" w:color="auto" w:fill="auto"/>
    </w:rPr>
  </w:style>
  <w:style w:type="paragraph" w:customStyle="1" w:styleId="TEIfigureend">
    <w:name w:val="TEI_figure_end"/>
    <w:next w:val="Normal"/>
    <w:qFormat/>
    <w:rsid w:val="00FB3B4B"/>
    <w:pPr>
      <w:spacing w:after="120" w:line="264" w:lineRule="auto"/>
    </w:pPr>
    <w:rPr>
      <w:rFonts w:ascii="Courier New" w:eastAsia="MS Mincho" w:hAnsi="Courier New" w:cs="Calibri Light"/>
      <w:color w:val="718EAC"/>
      <w:sz w:val="16"/>
      <w:lang w:eastAsia="ar-SA"/>
    </w:rPr>
  </w:style>
  <w:style w:type="paragraph" w:customStyle="1" w:styleId="TEIfigurestart">
    <w:name w:val="TEI_figure_start"/>
    <w:next w:val="Normal"/>
    <w:autoRedefine/>
    <w:qFormat/>
    <w:rsid w:val="00FB3B4B"/>
    <w:pPr>
      <w:spacing w:after="120" w:line="264" w:lineRule="auto"/>
    </w:pPr>
    <w:rPr>
      <w:rFonts w:ascii="Courier New" w:eastAsia="MS Mincho" w:hAnsi="Courier New" w:cs="Calibri Light"/>
      <w:color w:val="718EAC"/>
      <w:sz w:val="16"/>
      <w:lang w:eastAsia="ar-SA"/>
    </w:rPr>
  </w:style>
  <w:style w:type="character" w:customStyle="1" w:styleId="TEIreviewedauthor-inline">
    <w:name w:val="TEI_reviewed_author-inline"/>
    <w:uiPriority w:val="1"/>
    <w:qFormat/>
    <w:rsid w:val="00FB3B4B"/>
    <w:rPr>
      <w:color w:val="2F5496" w:themeColor="accent1" w:themeShade="BF"/>
    </w:rPr>
  </w:style>
  <w:style w:type="character" w:customStyle="1" w:styleId="TEIrevieweddate-inline">
    <w:name w:val="TEI_reviewed_date-inline"/>
    <w:uiPriority w:val="1"/>
    <w:qFormat/>
    <w:rsid w:val="00FB3B4B"/>
    <w:rPr>
      <w:color w:val="C45911" w:themeColor="accent2" w:themeShade="BF"/>
    </w:rPr>
  </w:style>
  <w:style w:type="paragraph" w:customStyle="1" w:styleId="TEIreviewedreference">
    <w:name w:val="TEI_reviewed_reference"/>
    <w:autoRedefine/>
    <w:qFormat/>
    <w:rsid w:val="00FB3B4B"/>
    <w:pPr>
      <w:spacing w:after="120" w:line="264" w:lineRule="auto"/>
    </w:pPr>
    <w:rPr>
      <w:rFonts w:ascii="Courier New" w:eastAsia="MS Mincho" w:hAnsi="Courier New" w:cs="Calibri Light"/>
      <w:color w:val="7030A0"/>
      <w:lang w:eastAsia="ar-SA"/>
    </w:rPr>
  </w:style>
  <w:style w:type="character" w:customStyle="1" w:styleId="TEIreviewedtitle-inline">
    <w:name w:val="TEI_reviewed_title-inline"/>
    <w:uiPriority w:val="1"/>
    <w:qFormat/>
    <w:rsid w:val="00FB3B4B"/>
    <w:rPr>
      <w:i w:val="0"/>
      <w:color w:val="323E4F" w:themeColor="text2" w:themeShade="BF"/>
    </w:rPr>
  </w:style>
  <w:style w:type="paragraph" w:customStyle="1" w:styleId="TEIformula-mml">
    <w:name w:val="TEI_formula-mml"/>
    <w:qFormat/>
    <w:rsid w:val="00FB3B4B"/>
    <w:pPr>
      <w:spacing w:after="120" w:line="264" w:lineRule="auto"/>
    </w:pPr>
    <w:rPr>
      <w:rFonts w:ascii="Courier New" w:eastAsia="MS Mincho" w:hAnsi="Courier New" w:cs="Calibri Light"/>
      <w:sz w:val="24"/>
      <w:szCs w:val="26"/>
      <w:lang w:eastAsia="ar-SA"/>
    </w:rPr>
  </w:style>
  <w:style w:type="paragraph" w:customStyle="1" w:styleId="TEIabstractam">
    <w:name w:val="TEI_abstract|am"/>
    <w:basedOn w:val="TEIabstract"/>
    <w:link w:val="TEIabstractamCar"/>
    <w:rsid w:val="00FB3B4B"/>
    <w:rPr>
      <w:lang w:val="en-US"/>
    </w:rPr>
  </w:style>
  <w:style w:type="character" w:customStyle="1" w:styleId="TEIabstractamCar">
    <w:name w:val="TEI_abstract|am Car"/>
    <w:basedOn w:val="Policepardfaut"/>
    <w:link w:val="TEIabstractam"/>
    <w:rsid w:val="00FB3B4B"/>
    <w:rPr>
      <w:rFonts w:asciiTheme="majorHAnsi" w:eastAsia="Times New Roman" w:hAnsiTheme="majorHAnsi" w:cs="Minion Pro"/>
      <w:szCs w:val="20"/>
      <w:lang w:val="en-US" w:eastAsia="ar-SA"/>
    </w:rPr>
  </w:style>
  <w:style w:type="paragraph" w:customStyle="1" w:styleId="TEIabstracten">
    <w:name w:val="TEI_abstract|en"/>
    <w:basedOn w:val="TEIabstract"/>
    <w:link w:val="TEIabstractenCar"/>
    <w:rsid w:val="00FB3B4B"/>
    <w:rPr>
      <w:lang w:val="en-US"/>
    </w:rPr>
  </w:style>
  <w:style w:type="character" w:customStyle="1" w:styleId="TEIabstractenCar">
    <w:name w:val="TEI_abstract|en Car"/>
    <w:basedOn w:val="Policepardfaut"/>
    <w:link w:val="TEIabstracten"/>
    <w:rsid w:val="00FB3B4B"/>
    <w:rPr>
      <w:rFonts w:asciiTheme="majorHAnsi" w:eastAsia="Times New Roman" w:hAnsiTheme="majorHAnsi" w:cs="Minion Pro"/>
      <w:szCs w:val="20"/>
      <w:lang w:val="en-US" w:eastAsia="ar-SA"/>
    </w:rPr>
  </w:style>
  <w:style w:type="character" w:customStyle="1" w:styleId="TEIauthor-inlineaut">
    <w:name w:val="TEI_author-inline:aut"/>
    <w:basedOn w:val="Policepardfaut"/>
    <w:rsid w:val="00FB3B4B"/>
  </w:style>
  <w:style w:type="paragraph" w:customStyle="1" w:styleId="TEIauthoraut">
    <w:name w:val="TEI_author:aut"/>
    <w:basedOn w:val="Normal"/>
    <w:link w:val="TEIauthorautCar"/>
    <w:rsid w:val="00FB3B4B"/>
    <w:pPr>
      <w:spacing w:before="120" w:after="60"/>
      <w:jc w:val="right"/>
    </w:pPr>
  </w:style>
  <w:style w:type="character" w:customStyle="1" w:styleId="TEIauthorautCar">
    <w:name w:val="TEI_author:aut Car"/>
    <w:basedOn w:val="Policepardfaut"/>
    <w:link w:val="TEIauthoraut"/>
    <w:rsid w:val="00FB3B4B"/>
    <w:rPr>
      <w:rFonts w:ascii="Calibri Light" w:eastAsia="MS Mincho" w:hAnsi="Calibri Light" w:cs="Calibri Light"/>
      <w:lang w:eastAsia="ar-SA"/>
    </w:rPr>
  </w:style>
  <w:style w:type="paragraph" w:customStyle="1" w:styleId="TEIeditortrl">
    <w:name w:val="TEI_editor:trl"/>
    <w:basedOn w:val="Normal"/>
    <w:link w:val="TEIeditortrlCar"/>
    <w:rsid w:val="00FB3B4B"/>
    <w:pPr>
      <w:spacing w:before="240" w:after="0" w:line="240" w:lineRule="auto"/>
      <w:jc w:val="right"/>
    </w:pPr>
  </w:style>
  <w:style w:type="character" w:customStyle="1" w:styleId="TEIeditortrlCar">
    <w:name w:val="TEI_editor:trl Car"/>
    <w:basedOn w:val="Policepardfaut"/>
    <w:link w:val="TEIeditortrl"/>
    <w:rsid w:val="00FB3B4B"/>
    <w:rPr>
      <w:rFonts w:ascii="Calibri Light" w:eastAsia="MS Mincho" w:hAnsi="Calibri Light" w:cs="Calibri Light"/>
      <w:lang w:eastAsia="ar-SA"/>
    </w:rPr>
  </w:style>
  <w:style w:type="paragraph" w:customStyle="1" w:styleId="TEIkeywordsen">
    <w:name w:val="TEI_keywords|en"/>
    <w:basedOn w:val="TEIkeywords"/>
    <w:link w:val="TEIkeywordsenCar"/>
    <w:rsid w:val="00FB3B4B"/>
  </w:style>
  <w:style w:type="character" w:customStyle="1" w:styleId="TEIkeywordsenCar">
    <w:name w:val="TEI_keywords|en Car"/>
    <w:basedOn w:val="Policepardfaut"/>
    <w:link w:val="TEIkeywordsen"/>
    <w:rsid w:val="00FB3B4B"/>
    <w:rPr>
      <w:rFonts w:asciiTheme="majorHAnsi" w:eastAsia="Times New Roman" w:hAnsiTheme="majorHAnsi" w:cs="Minion Pro"/>
      <w:szCs w:val="20"/>
      <w:lang w:eastAsia="ar-SA"/>
    </w:rPr>
  </w:style>
  <w:style w:type="paragraph" w:customStyle="1" w:styleId="TEItitletrlde">
    <w:name w:val="TEI_title:trl|de"/>
    <w:basedOn w:val="Normal"/>
    <w:link w:val="TEItitletrldeCar"/>
    <w:rsid w:val="00FB3B4B"/>
  </w:style>
  <w:style w:type="character" w:customStyle="1" w:styleId="TEItitletrldeCar">
    <w:name w:val="TEI_title:trl|de Car"/>
    <w:basedOn w:val="Policepardfaut"/>
    <w:link w:val="TEItitletrlde"/>
    <w:rsid w:val="00FB3B4B"/>
    <w:rPr>
      <w:rFonts w:ascii="Calibri Light" w:eastAsia="MS Mincho" w:hAnsi="Calibri Light" w:cs="Calibri Light"/>
      <w:lang w:eastAsia="ar-SA"/>
    </w:rPr>
  </w:style>
  <w:style w:type="character" w:customStyle="1" w:styleId="TEIfunderrefinline">
    <w:name w:val="TEI_funderref_inline"/>
    <w:basedOn w:val="Policepardfaut"/>
    <w:uiPriority w:val="1"/>
    <w:qFormat/>
    <w:rsid w:val="00FB3B4B"/>
    <w:rPr>
      <w:bdr w:val="none" w:sz="0" w:space="0" w:color="auto"/>
      <w:shd w:val="clear" w:color="auto" w:fill="ACB9CA" w:themeFill="text2" w:themeFillTint="66"/>
    </w:rPr>
  </w:style>
  <w:style w:type="character" w:customStyle="1" w:styleId="TEIfundernameinline">
    <w:name w:val="TEI_fundername_inline"/>
    <w:basedOn w:val="Policepardfaut"/>
    <w:uiPriority w:val="1"/>
    <w:qFormat/>
    <w:rsid w:val="00FB3B4B"/>
    <w:rPr>
      <w:bdr w:val="none" w:sz="0" w:space="0" w:color="auto"/>
      <w:shd w:val="clear" w:color="auto" w:fill="B4C6E7" w:themeFill="accent1" w:themeFillTint="66"/>
    </w:rPr>
  </w:style>
  <w:style w:type="character" w:customStyle="1" w:styleId="TEIdatenormalised">
    <w:name w:val="TEI_date_normalised"/>
    <w:uiPriority w:val="1"/>
    <w:qFormat/>
    <w:rsid w:val="00FB3B4B"/>
    <w:rPr>
      <w:color w:val="44546A" w:themeColor="text2"/>
      <w:bdr w:val="none" w:sz="0" w:space="0" w:color="auto"/>
      <w:shd w:val="clear" w:color="auto" w:fill="E7E6E6" w:themeFill="background2"/>
    </w:rPr>
  </w:style>
  <w:style w:type="paragraph" w:customStyle="1" w:styleId="TEIfloatingTexttitle">
    <w:name w:val="TEI_floatingText_title"/>
    <w:next w:val="Normal"/>
    <w:qFormat/>
    <w:rsid w:val="00FB3B4B"/>
    <w:pPr>
      <w:spacing w:after="120" w:line="264" w:lineRule="auto"/>
    </w:pPr>
    <w:rPr>
      <w:rFonts w:ascii="Calibri" w:eastAsia="MS Mincho" w:hAnsi="Calibri" w:cs="Calibri Light"/>
      <w:b/>
      <w:color w:val="767171" w:themeColor="background2" w:themeShade="80"/>
      <w:lang w:eastAsia="ar-SA"/>
    </w:rPr>
  </w:style>
  <w:style w:type="paragraph" w:customStyle="1" w:styleId="TEIcodeend">
    <w:name w:val="TEI_code_end"/>
    <w:next w:val="Normal"/>
    <w:qFormat/>
    <w:rsid w:val="00FB3B4B"/>
    <w:pPr>
      <w:shd w:val="clear" w:color="auto" w:fill="FFFFFF" w:themeFill="background1"/>
      <w:spacing w:after="120" w:line="264" w:lineRule="auto"/>
      <w:jc w:val="center"/>
    </w:pPr>
    <w:rPr>
      <w:rFonts w:ascii="Courier New" w:eastAsia="MS Mincho" w:hAnsi="Courier New" w:cs="Calibri Light"/>
      <w:color w:val="718EAC"/>
      <w:sz w:val="16"/>
      <w:lang w:eastAsia="ar-SA"/>
    </w:rPr>
  </w:style>
  <w:style w:type="paragraph" w:customStyle="1" w:styleId="TEIcodestart">
    <w:name w:val="TEI_code_start"/>
    <w:next w:val="TEIcode"/>
    <w:qFormat/>
    <w:rsid w:val="00FB3B4B"/>
    <w:pPr>
      <w:shd w:val="clear" w:color="auto" w:fill="FFFFFF" w:themeFill="background1"/>
      <w:spacing w:after="120" w:line="264" w:lineRule="auto"/>
      <w:jc w:val="center"/>
    </w:pPr>
    <w:rPr>
      <w:rFonts w:ascii="Courier New" w:eastAsia="MS Mincho" w:hAnsi="Courier New" w:cs="Calibri Light"/>
      <w:color w:val="718EAC"/>
      <w:sz w:val="16"/>
      <w:lang w:eastAsia="ar-SA"/>
    </w:rPr>
  </w:style>
  <w:style w:type="paragraph" w:customStyle="1" w:styleId="TEIquotestart">
    <w:name w:val="TEI_quote_start"/>
    <w:qFormat/>
    <w:rsid w:val="00FB3B4B"/>
    <w:pPr>
      <w:spacing w:after="120" w:line="264" w:lineRule="auto"/>
    </w:pPr>
    <w:rPr>
      <w:rFonts w:ascii="Courier New" w:eastAsia="MS Mincho" w:hAnsi="Courier New" w:cs="Calibri Light"/>
      <w:color w:val="718EAC"/>
      <w:sz w:val="16"/>
      <w:lang w:eastAsia="ar-SA"/>
    </w:rPr>
  </w:style>
  <w:style w:type="paragraph" w:customStyle="1" w:styleId="TEIquoteend">
    <w:name w:val="TEI_quote_end"/>
    <w:qFormat/>
    <w:rsid w:val="00FB3B4B"/>
    <w:pPr>
      <w:spacing w:after="120" w:line="264" w:lineRule="auto"/>
    </w:pPr>
    <w:rPr>
      <w:rFonts w:ascii="Courier New" w:eastAsia="MS Mincho" w:hAnsi="Courier New" w:cs="Calibri Light"/>
      <w:color w:val="718EAC"/>
      <w:sz w:val="16"/>
      <w:lang w:eastAsia="ar-SA"/>
    </w:rPr>
  </w:style>
  <w:style w:type="character" w:customStyle="1" w:styleId="TEIlinguisticnum">
    <w:name w:val="TEI_linguistic_num"/>
    <w:uiPriority w:val="1"/>
    <w:qFormat/>
    <w:rsid w:val="00FB3B4B"/>
    <w:rPr>
      <w:color w:val="ED7D31" w:themeColor="accent2"/>
    </w:rPr>
  </w:style>
  <w:style w:type="paragraph" w:customStyle="1" w:styleId="TEIsectionauthor">
    <w:name w:val="TEI_section_author"/>
    <w:qFormat/>
    <w:rsid w:val="00FB3B4B"/>
    <w:pPr>
      <w:spacing w:after="120" w:line="264" w:lineRule="auto"/>
    </w:pPr>
    <w:rPr>
      <w:rFonts w:ascii="Calibri" w:eastAsia="MS Mincho" w:hAnsi="Calibri" w:cs="Calibri Light"/>
      <w:sz w:val="24"/>
      <w:szCs w:val="26"/>
      <w:lang w:eastAsia="ar-SA"/>
    </w:rPr>
  </w:style>
  <w:style w:type="paragraph" w:customStyle="1" w:styleId="TEIlinguisticend">
    <w:name w:val="TEI_linguistic_end"/>
    <w:qFormat/>
    <w:rsid w:val="00FB3B4B"/>
    <w:pPr>
      <w:spacing w:after="120" w:line="264" w:lineRule="auto"/>
    </w:pPr>
    <w:rPr>
      <w:rFonts w:ascii="Courier New" w:eastAsia="MS Mincho" w:hAnsi="Courier New" w:cs="Calibri Light"/>
      <w:noProof/>
      <w:color w:val="718EAC"/>
      <w:sz w:val="16"/>
      <w:lang w:eastAsia="ar-SA"/>
    </w:rPr>
  </w:style>
  <w:style w:type="character" w:customStyle="1" w:styleId="TEIlinguisticlang-inline">
    <w:name w:val="TEI_linguistic_lang-inline"/>
    <w:basedOn w:val="Policepardfaut"/>
    <w:uiPriority w:val="1"/>
    <w:qFormat/>
    <w:rsid w:val="00FB3B4B"/>
    <w:rPr>
      <w:noProof/>
      <w:bdr w:val="none" w:sz="0" w:space="0" w:color="auto"/>
      <w:shd w:val="clear" w:color="auto" w:fill="FFF2CC" w:themeFill="accent4" w:themeFillTint="33"/>
    </w:rPr>
  </w:style>
  <w:style w:type="paragraph" w:customStyle="1" w:styleId="TEIlinguisticstart">
    <w:name w:val="TEI_linguistic_start"/>
    <w:qFormat/>
    <w:rsid w:val="00FB3B4B"/>
    <w:pPr>
      <w:spacing w:after="120" w:line="264" w:lineRule="auto"/>
    </w:pPr>
    <w:rPr>
      <w:rFonts w:ascii="Courier New" w:eastAsia="MS Mincho" w:hAnsi="Courier New" w:cs="Calibri Light"/>
      <w:color w:val="718EAC"/>
      <w:sz w:val="16"/>
      <w:lang w:eastAsia="ar-SA"/>
    </w:rPr>
  </w:style>
  <w:style w:type="paragraph" w:customStyle="1" w:styleId="TEIarcheoIDmissionEFA">
    <w:name w:val="TEI_archeo_IDmissionEFA"/>
    <w:qFormat/>
    <w:rsid w:val="00FB3B4B"/>
    <w:pPr>
      <w:shd w:val="clear" w:color="auto" w:fill="9EBCF2"/>
      <w:spacing w:before="120" w:after="120" w:line="276" w:lineRule="auto"/>
    </w:pPr>
    <w:rPr>
      <w:rFonts w:ascii="CMU Bright Roman" w:eastAsia="MS Mincho" w:hAnsi="CMU Bright Roman" w:cs="Cambria"/>
      <w:sz w:val="24"/>
      <w:szCs w:val="24"/>
      <w:lang w:eastAsia="ar-SA"/>
    </w:rPr>
  </w:style>
  <w:style w:type="paragraph" w:customStyle="1" w:styleId="TEIarcheokeywordspactols">
    <w:name w:val="TEI_archeo_keywords:pactols"/>
    <w:basedOn w:val="Normal"/>
    <w:autoRedefine/>
    <w:qFormat/>
    <w:rsid w:val="00FB3B4B"/>
    <w:pPr>
      <w:shd w:val="clear" w:color="auto" w:fill="7D99CE"/>
    </w:pPr>
    <w:rPr>
      <w:rFonts w:ascii="CMU Bright Roman" w:hAnsi="CMU Bright Roman"/>
      <w:color w:val="404040" w:themeColor="text1" w:themeTint="BF"/>
    </w:rPr>
  </w:style>
  <w:style w:type="paragraph" w:customStyle="1" w:styleId="TEIarcheofieldworkholder">
    <w:name w:val="TEI_archeo_fieldwork_holder"/>
    <w:qFormat/>
    <w:rsid w:val="00FB3B4B"/>
    <w:pPr>
      <w:shd w:val="clear" w:color="auto" w:fill="B8CEF7"/>
      <w:spacing w:after="200" w:line="360" w:lineRule="auto"/>
    </w:pPr>
    <w:rPr>
      <w:rFonts w:ascii="CMU Bright Roman" w:eastAsia="MS Mincho" w:hAnsi="CMU Bright Roman" w:cs="Cambria"/>
      <w:color w:val="000000" w:themeColor="text1"/>
      <w:sz w:val="24"/>
      <w:szCs w:val="24"/>
      <w:lang w:eastAsia="ar-SA"/>
    </w:rPr>
  </w:style>
  <w:style w:type="paragraph" w:customStyle="1" w:styleId="TEIarcheokeywordschrono">
    <w:name w:val="TEI_archeo_keywords:chrono"/>
    <w:qFormat/>
    <w:rsid w:val="00FB3B4B"/>
    <w:pPr>
      <w:spacing w:before="120" w:after="120" w:line="240" w:lineRule="auto"/>
      <w:ind w:firstLine="340"/>
    </w:pPr>
    <w:rPr>
      <w:rFonts w:ascii="Minion Pro" w:eastAsia="MS Mincho" w:hAnsi="Minion Pro" w:cs="Cambria"/>
      <w:color w:val="BF8F00" w:themeColor="accent4" w:themeShade="BF"/>
      <w:sz w:val="20"/>
      <w:szCs w:val="24"/>
      <w:lang w:eastAsia="ar-SA"/>
    </w:rPr>
  </w:style>
  <w:style w:type="paragraph" w:customStyle="1" w:styleId="TEIarcheoauthorities">
    <w:name w:val="TEI_archeo_authorities"/>
    <w:qFormat/>
    <w:rsid w:val="00FB3B4B"/>
    <w:pPr>
      <w:spacing w:before="120" w:after="120" w:line="240" w:lineRule="auto"/>
    </w:pPr>
    <w:rPr>
      <w:rFonts w:ascii="Minion Pro" w:eastAsia="Times New Roman" w:hAnsi="Minion Pro" w:cs="Arial MT"/>
      <w:sz w:val="24"/>
      <w:szCs w:val="20"/>
      <w:lang w:eastAsia="ar-SA"/>
    </w:rPr>
  </w:style>
  <w:style w:type="paragraph" w:customStyle="1" w:styleId="TEIarcheokeywords">
    <w:name w:val="TEI_archeo_keywords"/>
    <w:basedOn w:val="Normal"/>
    <w:autoRedefine/>
    <w:qFormat/>
    <w:rsid w:val="00FB3B4B"/>
    <w:pPr>
      <w:spacing w:after="200" w:line="276" w:lineRule="auto"/>
      <w:ind w:left="284"/>
    </w:pPr>
    <w:rPr>
      <w:color w:val="404040" w:themeColor="text1" w:themeTint="BF"/>
      <w:sz w:val="20"/>
    </w:rPr>
  </w:style>
  <w:style w:type="paragraph" w:customStyle="1" w:styleId="TEIarcheofieldworknature">
    <w:name w:val="TEI_archeo_fieldwork_nature"/>
    <w:basedOn w:val="Normal"/>
    <w:autoRedefine/>
    <w:qFormat/>
    <w:rsid w:val="00FB3B4B"/>
    <w:pPr>
      <w:spacing w:after="200" w:line="276" w:lineRule="auto"/>
      <w:ind w:firstLine="284"/>
    </w:pPr>
    <w:rPr>
      <w:color w:val="538135" w:themeColor="accent6" w:themeShade="BF"/>
      <w:sz w:val="20"/>
    </w:rPr>
  </w:style>
  <w:style w:type="paragraph" w:customStyle="1" w:styleId="TEIarcheoIDpatriarche">
    <w:name w:val="TEI_archeo_IDpatriarche"/>
    <w:qFormat/>
    <w:rsid w:val="00FB3B4B"/>
    <w:pPr>
      <w:spacing w:before="120" w:after="120" w:line="276" w:lineRule="auto"/>
      <w:ind w:firstLine="340"/>
    </w:pPr>
    <w:rPr>
      <w:rFonts w:ascii="Minion Pro" w:eastAsia="MS Mincho" w:hAnsi="Minion Pro" w:cs="Cambria"/>
      <w:sz w:val="24"/>
      <w:szCs w:val="24"/>
      <w:lang w:eastAsia="ar-SA"/>
    </w:rPr>
  </w:style>
  <w:style w:type="paragraph" w:customStyle="1" w:styleId="TEIarcheofieldworkdate">
    <w:name w:val="TEI_archeo_fieldwork_date"/>
    <w:qFormat/>
    <w:rsid w:val="00FB3B4B"/>
    <w:pPr>
      <w:shd w:val="clear" w:color="auto" w:fill="9EBCF2"/>
      <w:spacing w:before="120" w:after="0" w:line="480" w:lineRule="auto"/>
    </w:pPr>
    <w:rPr>
      <w:rFonts w:ascii="CMU Bright Roman" w:eastAsia="MS Mincho" w:hAnsi="CMU Bright Roman" w:cs="Cambria"/>
      <w:sz w:val="24"/>
      <w:szCs w:val="26"/>
      <w:lang w:eastAsia="ar-SA"/>
    </w:rPr>
  </w:style>
  <w:style w:type="paragraph" w:customStyle="1" w:styleId="TEIarcheoreportlink">
    <w:name w:val="TEI_archeo_reportlink"/>
    <w:qFormat/>
    <w:rsid w:val="00FB3B4B"/>
    <w:pPr>
      <w:spacing w:before="120" w:after="120" w:line="240" w:lineRule="auto"/>
      <w:ind w:firstLine="340"/>
    </w:pPr>
    <w:rPr>
      <w:rFonts w:ascii="Minion Pro" w:eastAsia="MS Mincho" w:hAnsi="Minion Pro" w:cs="Cambria"/>
      <w:sz w:val="24"/>
      <w:szCs w:val="24"/>
      <w:lang w:eastAsia="ar-SA"/>
    </w:rPr>
  </w:style>
  <w:style w:type="paragraph" w:customStyle="1" w:styleId="TEIarcheonatauthority">
    <w:name w:val="TEI_archeo_nat_authority"/>
    <w:basedOn w:val="Normal"/>
    <w:qFormat/>
    <w:rsid w:val="00FB3B4B"/>
    <w:pPr>
      <w:shd w:val="clear" w:color="auto" w:fill="B8CEF7"/>
      <w:suppressAutoHyphens w:val="0"/>
      <w:jc w:val="left"/>
    </w:pPr>
    <w:rPr>
      <w:rFonts w:ascii="CMU Bright Roman" w:hAnsi="CMU Bright Roman"/>
      <w:szCs w:val="26"/>
      <w:lang w:val="fr-BE"/>
    </w:rPr>
  </w:style>
  <w:style w:type="paragraph" w:customStyle="1" w:styleId="TEIarcheofiledworkteam">
    <w:name w:val="TEI_archeo_filedwork_team"/>
    <w:basedOn w:val="Normal"/>
    <w:qFormat/>
    <w:rsid w:val="00FB3B4B"/>
    <w:pPr>
      <w:shd w:val="clear" w:color="auto" w:fill="B8CEF7"/>
      <w:suppressAutoHyphens w:val="0"/>
      <w:jc w:val="left"/>
    </w:pPr>
    <w:rPr>
      <w:rFonts w:ascii="CMU Bright Roman" w:eastAsia="Times New Roman" w:hAnsi="CMU Bright Roman" w:cs="Arial MT"/>
      <w:szCs w:val="20"/>
      <w:lang w:val="fr-BE"/>
    </w:rPr>
  </w:style>
  <w:style w:type="paragraph" w:customStyle="1" w:styleId="TEIarcheoIDmission">
    <w:name w:val="TEI_archeo_IDmission"/>
    <w:qFormat/>
    <w:rsid w:val="00FB3B4B"/>
    <w:pPr>
      <w:shd w:val="clear" w:color="auto" w:fill="DBDBDB" w:themeFill="accent3" w:themeFillTint="66"/>
      <w:spacing w:before="120" w:after="120" w:line="276" w:lineRule="auto"/>
    </w:pPr>
    <w:rPr>
      <w:rFonts w:ascii="CMU Bright Roman" w:eastAsia="MS Mincho" w:hAnsi="CMU Bright Roman" w:cs="Cambria"/>
      <w:sz w:val="24"/>
      <w:szCs w:val="24"/>
      <w:lang w:eastAsia="ar-SA"/>
    </w:rPr>
  </w:style>
  <w:style w:type="paragraph" w:customStyle="1" w:styleId="TEIarcheolink">
    <w:name w:val="TEI_archeo_link"/>
    <w:basedOn w:val="Normal"/>
    <w:qFormat/>
    <w:rsid w:val="00FB3B4B"/>
  </w:style>
  <w:style w:type="paragraph" w:customStyle="1" w:styleId="TEIarcheofieldworkyears">
    <w:name w:val="TEI_archeo_fieldwork_years"/>
    <w:qFormat/>
    <w:rsid w:val="00FB3B4B"/>
    <w:pPr>
      <w:spacing w:after="0" w:line="480" w:lineRule="auto"/>
      <w:ind w:left="340"/>
    </w:pPr>
    <w:rPr>
      <w:rFonts w:ascii="Minion Pro" w:eastAsia="MS Mincho" w:hAnsi="Minion Pro" w:cs="Cambria"/>
      <w:sz w:val="24"/>
      <w:szCs w:val="26"/>
      <w:lang w:eastAsia="ar-SA"/>
    </w:rPr>
  </w:style>
  <w:style w:type="character" w:customStyle="1" w:styleId="TEIarcheonamefldinline">
    <w:name w:val="TEI_archeo_name_fld_inline"/>
    <w:qFormat/>
    <w:rsid w:val="00FB3B4B"/>
    <w:rPr>
      <w:color w:val="943634"/>
    </w:rPr>
  </w:style>
  <w:style w:type="paragraph" w:customStyle="1" w:styleId="TEIarcheoauthority">
    <w:name w:val="TEI_archeo_authority"/>
    <w:qFormat/>
    <w:rsid w:val="00FB3B4B"/>
    <w:pPr>
      <w:spacing w:before="120" w:after="120" w:line="240" w:lineRule="auto"/>
    </w:pPr>
    <w:rPr>
      <w:rFonts w:ascii="Minion Pro" w:eastAsia="Times New Roman" w:hAnsi="Minion Pro" w:cs="Arial MT"/>
      <w:sz w:val="24"/>
      <w:szCs w:val="20"/>
      <w:lang w:eastAsia="ar-SA"/>
    </w:rPr>
  </w:style>
  <w:style w:type="character" w:customStyle="1" w:styleId="TEIarcheocoordinline">
    <w:name w:val="TEI_archeo_coord_inline"/>
    <w:uiPriority w:val="1"/>
    <w:qFormat/>
    <w:rsid w:val="00FB3B4B"/>
    <w:rPr>
      <w:rFonts w:ascii="Minion Pro" w:hAnsi="Minion Pro"/>
      <w:b/>
      <w:color w:val="E36C0A"/>
      <w:sz w:val="22"/>
    </w:rPr>
  </w:style>
  <w:style w:type="character" w:customStyle="1" w:styleId="TEIarcheoauthorrespinline">
    <w:name w:val="TEI_archeo_authorresp_inline"/>
    <w:uiPriority w:val="1"/>
    <w:qFormat/>
    <w:rsid w:val="00FB3B4B"/>
    <w:rPr>
      <w:color w:val="538135" w:themeColor="accent6" w:themeShade="BF"/>
    </w:rPr>
  </w:style>
  <w:style w:type="character" w:customStyle="1" w:styleId="TEIarcheoredacinline">
    <w:name w:val="TEI_archeo_redac_inline"/>
    <w:uiPriority w:val="1"/>
    <w:qFormat/>
    <w:rsid w:val="00FB3B4B"/>
    <w:rPr>
      <w:color w:val="943634"/>
    </w:rPr>
  </w:style>
  <w:style w:type="paragraph" w:customStyle="1" w:styleId="TEIarcheoIDmissionEFA0">
    <w:name w:val="TEI_archeo_IDmission:EFA"/>
    <w:qFormat/>
    <w:rsid w:val="00FB3B4B"/>
    <w:pPr>
      <w:shd w:val="clear" w:color="auto" w:fill="9EBCF2"/>
      <w:spacing w:before="120" w:after="120" w:line="276" w:lineRule="auto"/>
    </w:pPr>
    <w:rPr>
      <w:rFonts w:ascii="CMU Bright Roman" w:eastAsia="MS Mincho" w:hAnsi="CMU Bright Roman" w:cs="Cambria"/>
      <w:sz w:val="24"/>
      <w:szCs w:val="24"/>
      <w:lang w:eastAsia="ar-SA"/>
    </w:rPr>
  </w:style>
  <w:style w:type="character" w:customStyle="1" w:styleId="TEIarcheorespinline">
    <w:name w:val="TEI_archeo_resp_inline"/>
    <w:uiPriority w:val="1"/>
    <w:qFormat/>
    <w:rsid w:val="00FB3B4B"/>
    <w:rPr>
      <w:color w:val="538135" w:themeColor="accent6" w:themeShade="BF"/>
    </w:rPr>
  </w:style>
  <w:style w:type="character" w:customStyle="1" w:styleId="TEIarcheoaffiliationinline">
    <w:name w:val="TEI_archeo_affiliation_inline"/>
    <w:uiPriority w:val="1"/>
    <w:qFormat/>
    <w:rsid w:val="00FB3B4B"/>
    <w:rPr>
      <w:color w:val="943634"/>
    </w:rPr>
  </w:style>
  <w:style w:type="paragraph" w:customStyle="1" w:styleId="TEIfigure-alttext">
    <w:name w:val="TEI_figure-alttext"/>
    <w:qFormat/>
    <w:rsid w:val="00FB3B4B"/>
    <w:pPr>
      <w:spacing w:after="120" w:line="264" w:lineRule="auto"/>
    </w:pPr>
    <w:rPr>
      <w:rFonts w:asciiTheme="majorHAnsi" w:eastAsia="MS Mincho" w:hAnsiTheme="majorHAnsi" w:cs="Calibri Light"/>
      <w:i/>
      <w:color w:val="A6A6A6" w:themeColor="background1" w:themeShade="A6"/>
      <w:szCs w:val="26"/>
      <w:lang w:eastAsia="ar-SA"/>
    </w:rPr>
  </w:style>
  <w:style w:type="paragraph" w:customStyle="1" w:styleId="TEIlocalpara">
    <w:name w:val="TEI_localpara"/>
    <w:qFormat/>
    <w:rsid w:val="00FB3B4B"/>
    <w:pPr>
      <w:shd w:val="clear" w:color="auto" w:fill="FFF2CC" w:themeFill="accent4" w:themeFillTint="33"/>
      <w:spacing w:after="120" w:line="264" w:lineRule="auto"/>
    </w:pPr>
    <w:rPr>
      <w:rFonts w:asciiTheme="majorHAnsi" w:eastAsia="MS Mincho" w:hAnsiTheme="majorHAnsi" w:cs="Calibri Light"/>
      <w:szCs w:val="26"/>
      <w:lang w:eastAsia="ar-SA"/>
    </w:rPr>
  </w:style>
  <w:style w:type="character" w:customStyle="1" w:styleId="TEIlocalcar">
    <w:name w:val="TEI_localcar"/>
    <w:uiPriority w:val="1"/>
    <w:qFormat/>
    <w:rsid w:val="00FB3B4B"/>
    <w:rPr>
      <w:bdr w:val="none" w:sz="0" w:space="0" w:color="auto"/>
      <w:shd w:val="clear" w:color="auto" w:fill="FFF2CC" w:themeFill="accent4" w:themeFillTint="33"/>
    </w:rPr>
  </w:style>
  <w:style w:type="paragraph" w:customStyle="1" w:styleId="TEIfigurealttext">
    <w:name w:val="TEI_figure_alttext"/>
    <w:qFormat/>
    <w:rsid w:val="00FB3B4B"/>
    <w:pPr>
      <w:spacing w:after="120" w:line="264" w:lineRule="auto"/>
    </w:pPr>
    <w:rPr>
      <w:rFonts w:asciiTheme="majorHAnsi" w:eastAsia="MS Mincho" w:hAnsiTheme="majorHAnsi" w:cs="Calibri Light"/>
      <w:i/>
      <w:color w:val="A6A6A6" w:themeColor="background1" w:themeShade="A6"/>
      <w:szCs w:val="26"/>
      <w:lang w:eastAsia="ar-SA"/>
    </w:rPr>
  </w:style>
  <w:style w:type="character" w:customStyle="1" w:styleId="TEIauthoritybiographyCar">
    <w:name w:val="TEI_authority_biography Car"/>
    <w:basedOn w:val="Policepardfaut"/>
    <w:link w:val="TEIauthoritybiography"/>
    <w:rsid w:val="00FB3B4B"/>
    <w:rPr>
      <w:rFonts w:asciiTheme="majorHAnsi" w:eastAsia="MS Mincho" w:hAnsiTheme="majorHAnsi" w:cs="Calibri Light"/>
      <w:sz w:val="21"/>
      <w:szCs w:val="26"/>
      <w:lang w:eastAsia="ar-SA"/>
    </w:rPr>
  </w:style>
  <w:style w:type="paragraph" w:customStyle="1" w:styleId="TEIeditoredt">
    <w:name w:val="TEI_editor:edt"/>
    <w:link w:val="TEIeditoredtCar"/>
    <w:rsid w:val="00FB3B4B"/>
    <w:pPr>
      <w:spacing w:after="120" w:line="264" w:lineRule="auto"/>
      <w:jc w:val="right"/>
    </w:pPr>
    <w:rPr>
      <w:rFonts w:asciiTheme="majorHAnsi" w:eastAsia="MS Mincho" w:hAnsiTheme="majorHAnsi" w:cs="Calibri Light"/>
      <w:sz w:val="24"/>
      <w:szCs w:val="26"/>
      <w:lang w:eastAsia="ar-SA"/>
    </w:rPr>
  </w:style>
  <w:style w:type="character" w:customStyle="1" w:styleId="TEIeditoredtCar">
    <w:name w:val="TEI_editor:edt Car"/>
    <w:basedOn w:val="Policepardfaut"/>
    <w:link w:val="TEIeditoredt"/>
    <w:rsid w:val="00FB3B4B"/>
    <w:rPr>
      <w:rFonts w:asciiTheme="majorHAnsi" w:eastAsia="MS Mincho" w:hAnsiTheme="majorHAnsi" w:cs="Calibri Light"/>
      <w:sz w:val="24"/>
      <w:szCs w:val="26"/>
      <w:lang w:eastAsia="ar-SA"/>
    </w:rPr>
  </w:style>
  <w:style w:type="paragraph" w:customStyle="1" w:styleId="TEIerratum">
    <w:name w:val="TEI_erratum"/>
    <w:qFormat/>
    <w:rsid w:val="00FB3B4B"/>
    <w:pPr>
      <w:spacing w:before="120" w:after="120" w:line="264" w:lineRule="auto"/>
    </w:pPr>
    <w:rPr>
      <w:rFonts w:asciiTheme="majorHAnsi" w:eastAsia="Times New Roman" w:hAnsiTheme="majorHAnsi" w:cs="Minion Pro"/>
      <w:szCs w:val="20"/>
      <w:lang w:val="en-US" w:eastAsia="ar-SA"/>
    </w:rPr>
  </w:style>
  <w:style w:type="paragraph" w:customStyle="1" w:styleId="TEIkeywordsfr">
    <w:name w:val="TEI_keywords|fr"/>
    <w:basedOn w:val="TEIkeywords"/>
    <w:link w:val="TEIkeywordsfrCar"/>
    <w:rsid w:val="00FB3B4B"/>
    <w:rPr>
      <w:color w:val="000000" w:themeColor="text1"/>
      <w:kern w:val="1"/>
      <w:szCs w:val="32"/>
      <w:lang w:bidi="ar-LB"/>
    </w:rPr>
  </w:style>
  <w:style w:type="character" w:customStyle="1" w:styleId="TEIkeywordsfrCar">
    <w:name w:val="TEI_keywords|fr Car"/>
    <w:basedOn w:val="Policepardfaut"/>
    <w:link w:val="TEIkeywordsfr"/>
    <w:rsid w:val="00FB3B4B"/>
    <w:rPr>
      <w:rFonts w:asciiTheme="majorHAnsi" w:eastAsia="Times New Roman" w:hAnsiTheme="majorHAnsi" w:cs="Minion Pro"/>
      <w:color w:val="000000" w:themeColor="text1"/>
      <w:kern w:val="1"/>
      <w:szCs w:val="32"/>
      <w:lang w:eastAsia="ar-SA" w:bidi="ar-LB"/>
    </w:rPr>
  </w:style>
  <w:style w:type="character" w:customStyle="1" w:styleId="TEIparagraphleadCar">
    <w:name w:val="TEI_paragraph_lead Car"/>
    <w:basedOn w:val="Policepardfaut"/>
    <w:link w:val="TEIparagraphlead"/>
    <w:rsid w:val="00FB3B4B"/>
    <w:rPr>
      <w:rFonts w:ascii="Calibri Light" w:eastAsia="SimSun" w:hAnsi="Calibri Light" w:cs="Arial"/>
      <w:color w:val="000000" w:themeColor="text1"/>
      <w:kern w:val="1"/>
      <w:szCs w:val="32"/>
      <w:lang w:eastAsia="ar-LB" w:bidi="ar-LB"/>
    </w:rPr>
  </w:style>
  <w:style w:type="paragraph" w:customStyle="1" w:styleId="TEIlinguisticlabel">
    <w:name w:val="TEI_linguistic_label"/>
    <w:autoRedefine/>
    <w:qFormat/>
    <w:rsid w:val="00FB3B4B"/>
    <w:pPr>
      <w:spacing w:after="120" w:line="264" w:lineRule="auto"/>
    </w:pPr>
    <w:rPr>
      <w:rFonts w:asciiTheme="majorHAnsi" w:eastAsia="MS Mincho" w:hAnsiTheme="majorHAnsi" w:cs="Calibri Light"/>
      <w:noProof/>
      <w:sz w:val="20"/>
      <w:lang w:eastAsia="fr-FR"/>
    </w:rPr>
  </w:style>
  <w:style w:type="paragraph" w:customStyle="1" w:styleId="TEIUEtype">
    <w:name w:val="TEI_UEtype"/>
    <w:qFormat/>
    <w:rsid w:val="00FB3B4B"/>
    <w:pPr>
      <w:shd w:val="clear" w:color="auto" w:fill="718EAC"/>
      <w:spacing w:after="120" w:line="264" w:lineRule="auto"/>
    </w:pPr>
    <w:rPr>
      <w:rFonts w:ascii="Courier New" w:eastAsia="SimSun" w:hAnsi="Courier New" w:cs="Arial"/>
      <w:color w:val="000000" w:themeColor="text1"/>
      <w:kern w:val="1"/>
      <w:sz w:val="16"/>
      <w:szCs w:val="32"/>
      <w:lang w:eastAsia="ar-LB" w:bidi="ar-LB"/>
    </w:rPr>
  </w:style>
  <w:style w:type="character" w:customStyle="1" w:styleId="TEIfiguresourceinline">
    <w:name w:val="TEI_figure_source_inline"/>
    <w:basedOn w:val="Policepardfaut"/>
    <w:uiPriority w:val="1"/>
    <w:qFormat/>
    <w:rsid w:val="00FB3B4B"/>
    <w:rPr>
      <w:bdr w:val="none" w:sz="0" w:space="0" w:color="auto"/>
      <w:shd w:val="pct10" w:color="auto" w:fill="auto"/>
    </w:rPr>
  </w:style>
  <w:style w:type="paragraph" w:customStyle="1" w:styleId="TEIauthoritiesmail">
    <w:name w:val="TEI_authorities_mail"/>
    <w:qFormat/>
    <w:rsid w:val="00FB3B4B"/>
    <w:pPr>
      <w:spacing w:after="120" w:line="264" w:lineRule="auto"/>
      <w:jc w:val="right"/>
    </w:pPr>
    <w:rPr>
      <w:rFonts w:asciiTheme="majorHAnsi" w:eastAsia="MS Mincho" w:hAnsiTheme="majorHAnsi" w:cs="Calibri Light"/>
      <w:sz w:val="24"/>
      <w:szCs w:val="26"/>
      <w:lang w:eastAsia="ar-SA"/>
    </w:rPr>
  </w:style>
  <w:style w:type="character" w:customStyle="1" w:styleId="TEImaill-inline">
    <w:name w:val="TEI_maill-inline"/>
    <w:uiPriority w:val="1"/>
    <w:qFormat/>
    <w:rsid w:val="00FB3B4B"/>
    <w:rPr>
      <w:color w:val="806000" w:themeColor="accent4" w:themeShade="80"/>
    </w:rPr>
  </w:style>
  <w:style w:type="character" w:customStyle="1" w:styleId="TEImail-inline">
    <w:name w:val="TEI_mail-inline"/>
    <w:uiPriority w:val="1"/>
    <w:qFormat/>
    <w:rsid w:val="00FB3B4B"/>
    <w:rPr>
      <w:color w:val="806000" w:themeColor="accent4" w:themeShade="80"/>
    </w:rPr>
  </w:style>
  <w:style w:type="paragraph" w:customStyle="1" w:styleId="TEIauthoritiesmails">
    <w:name w:val="TEI_authorities_mails"/>
    <w:qFormat/>
    <w:rsid w:val="00FB3B4B"/>
    <w:pPr>
      <w:spacing w:after="120" w:line="264" w:lineRule="auto"/>
      <w:jc w:val="right"/>
    </w:pPr>
    <w:rPr>
      <w:rFonts w:asciiTheme="majorHAnsi" w:eastAsia="MS Mincho" w:hAnsiTheme="majorHAnsi" w:cs="Calibri Light"/>
      <w:sz w:val="24"/>
      <w:szCs w:val="26"/>
      <w:lang w:eastAsia="ar-SA"/>
    </w:rPr>
  </w:style>
  <w:style w:type="paragraph" w:customStyle="1" w:styleId="TEIsignature">
    <w:name w:val="TEI_signature"/>
    <w:next w:val="Normal"/>
    <w:qFormat/>
    <w:rsid w:val="00FB3B4B"/>
    <w:pPr>
      <w:spacing w:after="120" w:line="264" w:lineRule="auto"/>
      <w:jc w:val="right"/>
    </w:pPr>
    <w:rPr>
      <w:rFonts w:asciiTheme="majorHAnsi" w:eastAsia="MS Mincho" w:hAnsiTheme="majorHAnsi" w:cs="Calibri Light"/>
      <w:sz w:val="24"/>
      <w:szCs w:val="26"/>
      <w:lang w:eastAsia="ar-SA"/>
    </w:rPr>
  </w:style>
  <w:style w:type="paragraph" w:customStyle="1" w:styleId="TEIfigure-grpstart">
    <w:name w:val="TEI_figure-grp_start"/>
    <w:qFormat/>
    <w:rsid w:val="00FB3B4B"/>
    <w:pPr>
      <w:spacing w:after="120" w:line="264" w:lineRule="auto"/>
    </w:pPr>
    <w:rPr>
      <w:rFonts w:ascii="Courier New" w:eastAsia="MS Mincho" w:hAnsi="Courier New" w:cs="Calibri Light"/>
      <w:color w:val="718EAC"/>
      <w:sz w:val="16"/>
      <w:lang w:eastAsia="ar-SA"/>
    </w:rPr>
  </w:style>
  <w:style w:type="paragraph" w:customStyle="1" w:styleId="TEIfigure-grpend">
    <w:name w:val="TEI_figure-grp_end"/>
    <w:qFormat/>
    <w:rsid w:val="00FB3B4B"/>
    <w:pPr>
      <w:spacing w:after="120" w:line="264" w:lineRule="auto"/>
    </w:pPr>
    <w:rPr>
      <w:rFonts w:ascii="Courier New" w:eastAsia="MS Mincho" w:hAnsi="Courier New" w:cs="Calibri Light"/>
      <w:color w:val="718EAC"/>
      <w:sz w:val="16"/>
      <w:lang w:eastAsia="ar-SA"/>
    </w:rPr>
  </w:style>
  <w:style w:type="paragraph" w:customStyle="1" w:styleId="TEIarcheoCHRreportlink">
    <w:name w:val="TEI_archeoCHR_reportlink"/>
    <w:qFormat/>
    <w:rsid w:val="00FB3B4B"/>
    <w:pPr>
      <w:spacing w:before="120" w:after="120" w:line="240" w:lineRule="auto"/>
      <w:ind w:firstLine="340"/>
    </w:pPr>
    <w:rPr>
      <w:rFonts w:asciiTheme="majorHAnsi" w:eastAsia="MS Mincho" w:hAnsiTheme="majorHAnsi" w:cs="Cambria"/>
      <w:sz w:val="24"/>
      <w:szCs w:val="24"/>
      <w:lang w:eastAsia="ar-SA"/>
    </w:rPr>
  </w:style>
  <w:style w:type="paragraph" w:customStyle="1" w:styleId="TEIarcheoCHRIDpatriarche">
    <w:name w:val="TEI_archeoCHR_IDpatriarche"/>
    <w:qFormat/>
    <w:rsid w:val="00FB3B4B"/>
    <w:pPr>
      <w:spacing w:before="120" w:after="120" w:line="276" w:lineRule="auto"/>
      <w:ind w:firstLine="340"/>
    </w:pPr>
    <w:rPr>
      <w:rFonts w:asciiTheme="majorHAnsi" w:eastAsia="MS Mincho" w:hAnsiTheme="majorHAnsi" w:cs="Cambria"/>
      <w:sz w:val="24"/>
      <w:szCs w:val="24"/>
      <w:lang w:eastAsia="ar-SA"/>
    </w:rPr>
  </w:style>
  <w:style w:type="paragraph" w:customStyle="1" w:styleId="TEIarcheoCHRfieldwork-method">
    <w:name w:val="TEI_archeoCHR_fieldwork-method"/>
    <w:basedOn w:val="Normal"/>
    <w:autoRedefine/>
    <w:qFormat/>
    <w:rsid w:val="00FB3B4B"/>
    <w:pPr>
      <w:spacing w:after="200" w:line="276" w:lineRule="auto"/>
      <w:ind w:firstLine="284"/>
    </w:pPr>
    <w:rPr>
      <w:color w:val="538135" w:themeColor="accent6" w:themeShade="BF"/>
      <w:sz w:val="20"/>
    </w:rPr>
  </w:style>
  <w:style w:type="paragraph" w:customStyle="1" w:styleId="TEIarcheoARTteam">
    <w:name w:val="TEI_archeoART_team"/>
    <w:qFormat/>
    <w:rsid w:val="00FB3B4B"/>
    <w:pPr>
      <w:shd w:val="clear" w:color="auto" w:fill="9EBCF2"/>
      <w:spacing w:before="120" w:after="0" w:line="480" w:lineRule="auto"/>
    </w:pPr>
    <w:rPr>
      <w:rFonts w:ascii="CMU Bright Roman" w:eastAsia="MS Mincho" w:hAnsi="CMU Bright Roman" w:cs="Cambria"/>
      <w:sz w:val="24"/>
      <w:szCs w:val="26"/>
      <w:lang w:eastAsia="ar-SA"/>
    </w:rPr>
  </w:style>
  <w:style w:type="paragraph" w:customStyle="1" w:styleId="TEIarcheoARTnatauthority">
    <w:name w:val="TEI_archeoART_nat_authority"/>
    <w:basedOn w:val="Normal"/>
    <w:qFormat/>
    <w:rsid w:val="00FB3B4B"/>
    <w:pPr>
      <w:shd w:val="clear" w:color="auto" w:fill="B8CEF7"/>
      <w:suppressAutoHyphens w:val="0"/>
      <w:jc w:val="left"/>
    </w:pPr>
    <w:rPr>
      <w:rFonts w:ascii="CMU Bright Roman" w:hAnsi="CMU Bright Roman"/>
      <w:szCs w:val="26"/>
      <w:lang w:val="fr-BE"/>
    </w:rPr>
  </w:style>
  <w:style w:type="paragraph" w:customStyle="1" w:styleId="TEIarcheoARTdate">
    <w:name w:val="TEI_archeoART_date"/>
    <w:qFormat/>
    <w:rsid w:val="00FB3B4B"/>
    <w:pPr>
      <w:shd w:val="clear" w:color="auto" w:fill="B4C6E7" w:themeFill="accent1" w:themeFillTint="66"/>
      <w:spacing w:after="0" w:line="240" w:lineRule="auto"/>
    </w:pPr>
    <w:rPr>
      <w:rFonts w:asciiTheme="majorHAnsi" w:eastAsia="MS Mincho" w:hAnsiTheme="majorHAnsi" w:cs="Cambria"/>
      <w:sz w:val="24"/>
      <w:szCs w:val="26"/>
      <w:lang w:eastAsia="ar-SA"/>
    </w:rPr>
  </w:style>
  <w:style w:type="paragraph" w:customStyle="1" w:styleId="TEIarcheoARTIDmission">
    <w:name w:val="TEI_archeoART_IDmission"/>
    <w:qFormat/>
    <w:rsid w:val="00FB3B4B"/>
    <w:pPr>
      <w:shd w:val="clear" w:color="auto" w:fill="DBDBDB" w:themeFill="accent3" w:themeFillTint="66"/>
      <w:spacing w:before="120" w:after="120" w:line="276" w:lineRule="auto"/>
    </w:pPr>
    <w:rPr>
      <w:rFonts w:ascii="CMU Bright Roman" w:eastAsia="MS Mincho" w:hAnsi="CMU Bright Roman" w:cs="Cambria"/>
      <w:sz w:val="24"/>
      <w:szCs w:val="24"/>
      <w:lang w:eastAsia="ar-SA"/>
    </w:rPr>
  </w:style>
  <w:style w:type="paragraph" w:customStyle="1" w:styleId="TEIkeywordssubjectspactols">
    <w:name w:val="TEI_keywords_subjects:pactols"/>
    <w:autoRedefine/>
    <w:qFormat/>
    <w:rsid w:val="00FB3B4B"/>
    <w:pPr>
      <w:shd w:val="clear" w:color="auto" w:fill="7D99CE"/>
      <w:spacing w:after="120" w:line="264" w:lineRule="auto"/>
    </w:pPr>
    <w:rPr>
      <w:rFonts w:asciiTheme="majorHAnsi" w:eastAsia="MS Mincho" w:hAnsiTheme="majorHAnsi" w:cs="Calibri Light"/>
      <w:color w:val="404040" w:themeColor="text1" w:themeTint="BF"/>
      <w:lang w:eastAsia="ar-SA"/>
    </w:rPr>
  </w:style>
  <w:style w:type="paragraph" w:customStyle="1" w:styleId="TEIarcheoARTholder">
    <w:name w:val="TEI_archeoART_holder"/>
    <w:qFormat/>
    <w:rsid w:val="00FB3B4B"/>
    <w:pPr>
      <w:shd w:val="clear" w:color="auto" w:fill="B8CEF7"/>
      <w:spacing w:after="200" w:line="360" w:lineRule="auto"/>
    </w:pPr>
    <w:rPr>
      <w:rFonts w:asciiTheme="majorHAnsi" w:eastAsia="MS Mincho" w:hAnsiTheme="majorHAnsi" w:cs="Cambria"/>
      <w:color w:val="000000" w:themeColor="text1"/>
      <w:sz w:val="24"/>
      <w:szCs w:val="24"/>
      <w:lang w:eastAsia="ar-SA"/>
    </w:rPr>
  </w:style>
  <w:style w:type="paragraph" w:customStyle="1" w:styleId="TEIarcheoARTIDmissionEFA">
    <w:name w:val="TEI_archeoART_IDmission:EFA"/>
    <w:qFormat/>
    <w:rsid w:val="00FB3B4B"/>
    <w:pPr>
      <w:shd w:val="clear" w:color="auto" w:fill="DBDBDB" w:themeFill="accent3" w:themeFillTint="66"/>
      <w:spacing w:before="120" w:after="120" w:line="276" w:lineRule="auto"/>
    </w:pPr>
    <w:rPr>
      <w:rFonts w:ascii="CMU Bright Roman" w:eastAsia="MS Mincho" w:hAnsi="CMU Bright Roman" w:cs="Cambria"/>
      <w:sz w:val="24"/>
      <w:szCs w:val="24"/>
      <w:lang w:eastAsia="ar-SA"/>
    </w:rPr>
  </w:style>
  <w:style w:type="paragraph" w:customStyle="1" w:styleId="TEIarcheoCHRfieldworkyear">
    <w:name w:val="TEI_archeoCHR_fieldwork_year"/>
    <w:qFormat/>
    <w:rsid w:val="00FB3B4B"/>
    <w:pPr>
      <w:spacing w:after="0" w:line="480" w:lineRule="auto"/>
      <w:ind w:left="340"/>
    </w:pPr>
    <w:rPr>
      <w:rFonts w:asciiTheme="majorHAnsi" w:eastAsia="MS Mincho" w:hAnsiTheme="majorHAnsi" w:cs="Cambria"/>
      <w:sz w:val="24"/>
      <w:szCs w:val="26"/>
      <w:lang w:eastAsia="ar-SA"/>
    </w:rPr>
  </w:style>
  <w:style w:type="paragraph" w:customStyle="1" w:styleId="TEIarcheoCHRholder">
    <w:name w:val="TEI_archeoCHR_holder"/>
    <w:qFormat/>
    <w:rsid w:val="00FB3B4B"/>
    <w:pPr>
      <w:spacing w:after="120" w:line="264" w:lineRule="auto"/>
    </w:pPr>
    <w:rPr>
      <w:rFonts w:asciiTheme="majorHAnsi" w:eastAsia="MS Mincho" w:hAnsiTheme="majorHAnsi" w:cs="Cambria"/>
      <w:color w:val="000000" w:themeColor="text1"/>
      <w:sz w:val="24"/>
      <w:szCs w:val="24"/>
      <w:lang w:eastAsia="ar-SA"/>
    </w:rPr>
  </w:style>
  <w:style w:type="paragraph" w:customStyle="1" w:styleId="TEIarcheoCHRtype">
    <w:name w:val="TEI_archeoCHR_type"/>
    <w:qFormat/>
    <w:rsid w:val="00FB3B4B"/>
    <w:pPr>
      <w:spacing w:after="120" w:line="264" w:lineRule="auto"/>
    </w:pPr>
    <w:rPr>
      <w:rFonts w:asciiTheme="majorHAnsi" w:eastAsia="MS Mincho" w:hAnsiTheme="majorHAnsi" w:cs="Cambria"/>
      <w:color w:val="000000" w:themeColor="text1"/>
      <w:sz w:val="24"/>
      <w:szCs w:val="24"/>
      <w:lang w:eastAsia="ar-SA"/>
    </w:rPr>
  </w:style>
  <w:style w:type="paragraph" w:customStyle="1" w:styleId="TEIarcheoCHRkeywordssubjects">
    <w:name w:val="TEI_archeoCHR_keywords_subjects"/>
    <w:qFormat/>
    <w:rsid w:val="00FB3B4B"/>
    <w:pPr>
      <w:spacing w:after="120" w:line="264" w:lineRule="auto"/>
    </w:pPr>
    <w:rPr>
      <w:rFonts w:asciiTheme="majorHAnsi" w:eastAsia="MS Mincho" w:hAnsiTheme="majorHAnsi" w:cs="Cambria"/>
      <w:sz w:val="24"/>
      <w:szCs w:val="24"/>
      <w:lang w:eastAsia="ar-SA"/>
    </w:rPr>
  </w:style>
  <w:style w:type="paragraph" w:customStyle="1" w:styleId="TEIarcheoCHRkeywordssubjectschronology">
    <w:name w:val="TEI_archeoCHR_keywords_subjects:chronology"/>
    <w:qFormat/>
    <w:rsid w:val="00FB3B4B"/>
    <w:pPr>
      <w:spacing w:after="120" w:line="264" w:lineRule="auto"/>
    </w:pPr>
    <w:rPr>
      <w:rFonts w:asciiTheme="majorHAnsi" w:eastAsia="MS Mincho" w:hAnsiTheme="majorHAnsi" w:cs="Cambria"/>
      <w:sz w:val="24"/>
      <w:szCs w:val="24"/>
      <w:lang w:eastAsia="ar-SA"/>
    </w:rPr>
  </w:style>
  <w:style w:type="paragraph" w:customStyle="1" w:styleId="TEIarcheofieldworkyear">
    <w:name w:val="TEI_archeo_fieldwork_year"/>
    <w:qFormat/>
    <w:rsid w:val="00FB3B4B"/>
    <w:pPr>
      <w:spacing w:after="0" w:line="480" w:lineRule="auto"/>
      <w:ind w:left="340"/>
    </w:pPr>
    <w:rPr>
      <w:rFonts w:asciiTheme="majorHAnsi" w:eastAsia="MS Mincho" w:hAnsiTheme="majorHAnsi" w:cs="Cambria"/>
      <w:sz w:val="24"/>
      <w:szCs w:val="26"/>
      <w:lang w:eastAsia="ar-SA"/>
    </w:rPr>
  </w:style>
  <w:style w:type="paragraph" w:customStyle="1" w:styleId="TEIarcheofieldwork-method">
    <w:name w:val="TEI_archeo_fieldwork-method"/>
    <w:qFormat/>
    <w:rsid w:val="00FB3B4B"/>
    <w:pPr>
      <w:spacing w:after="120" w:line="264" w:lineRule="auto"/>
    </w:pPr>
    <w:rPr>
      <w:rFonts w:asciiTheme="majorHAnsi" w:eastAsia="MS Mincho" w:hAnsiTheme="majorHAnsi" w:cs="Cambria"/>
      <w:sz w:val="24"/>
      <w:szCs w:val="26"/>
      <w:lang w:eastAsia="ar-SA"/>
    </w:rPr>
  </w:style>
  <w:style w:type="paragraph" w:customStyle="1" w:styleId="TEIarcheofieldworkmethod">
    <w:name w:val="TEI_archeo_fieldwork_method"/>
    <w:qFormat/>
    <w:rsid w:val="00FB3B4B"/>
    <w:pPr>
      <w:spacing w:after="120" w:line="264" w:lineRule="auto"/>
    </w:pPr>
    <w:rPr>
      <w:rFonts w:asciiTheme="majorHAnsi" w:eastAsia="MS Mincho" w:hAnsiTheme="majorHAnsi" w:cs="Cambria"/>
      <w:sz w:val="24"/>
      <w:szCs w:val="26"/>
      <w:lang w:eastAsia="ar-SA"/>
    </w:rPr>
  </w:style>
  <w:style w:type="paragraph" w:customStyle="1" w:styleId="TEIarcheoCHRfieldworkmethod">
    <w:name w:val="TEI_archeoCHR_fieldwork_method"/>
    <w:qFormat/>
    <w:rsid w:val="00FB3B4B"/>
    <w:pPr>
      <w:spacing w:after="120" w:line="264" w:lineRule="auto"/>
    </w:pPr>
    <w:rPr>
      <w:rFonts w:asciiTheme="majorHAnsi" w:eastAsia="MS Mincho" w:hAnsiTheme="majorHAnsi" w:cs="Cambria"/>
      <w:sz w:val="24"/>
      <w:szCs w:val="26"/>
      <w:lang w:eastAsia="ar-SA"/>
    </w:rPr>
  </w:style>
  <w:style w:type="character" w:customStyle="1" w:styleId="TEIarcheoCHRnameedt">
    <w:name w:val="TEI_archeoCHR_name:edt"/>
    <w:uiPriority w:val="1"/>
    <w:qFormat/>
    <w:rsid w:val="00FB3B4B"/>
    <w:rPr>
      <w:bdr w:val="none" w:sz="0" w:space="0" w:color="auto"/>
      <w:shd w:val="clear" w:color="auto" w:fill="DEEAF6" w:themeFill="accent5" w:themeFillTint="33"/>
    </w:rPr>
  </w:style>
  <w:style w:type="character" w:customStyle="1" w:styleId="TEIarcheoCHRnamefld">
    <w:name w:val="TEI_archeoCHR_name:fld"/>
    <w:uiPriority w:val="1"/>
    <w:qFormat/>
    <w:rsid w:val="00FB3B4B"/>
    <w:rPr>
      <w:bdr w:val="none" w:sz="0" w:space="0" w:color="auto"/>
      <w:shd w:val="clear" w:color="auto" w:fill="9CC2E5" w:themeFill="accent5" w:themeFillTint="99"/>
    </w:rPr>
  </w:style>
  <w:style w:type="character" w:customStyle="1" w:styleId="TEIarcheoCHRnameaut">
    <w:name w:val="TEI_archeoCHR_name:aut"/>
    <w:uiPriority w:val="1"/>
    <w:qFormat/>
    <w:rsid w:val="00FB3B4B"/>
    <w:rPr>
      <w:bdr w:val="none" w:sz="0" w:space="0" w:color="auto"/>
      <w:shd w:val="clear" w:color="auto" w:fill="BFBFBF" w:themeFill="background1" w:themeFillShade="BF"/>
    </w:rPr>
  </w:style>
  <w:style w:type="character" w:customStyle="1" w:styleId="TEIarcheoCHRnameautfld">
    <w:name w:val="TEI_archeoCHR_name:aut fld"/>
    <w:uiPriority w:val="1"/>
    <w:qFormat/>
    <w:rsid w:val="00FB3B4B"/>
    <w:rPr>
      <w:bdr w:val="none" w:sz="0" w:space="0" w:color="auto"/>
      <w:shd w:val="clear" w:color="auto" w:fill="ACB9CA" w:themeFill="text2" w:themeFillTint="66"/>
    </w:rPr>
  </w:style>
  <w:style w:type="paragraph" w:customStyle="1" w:styleId="TEIarcheoCHRauthority">
    <w:name w:val="TEI_archeoCHR_authority"/>
    <w:qFormat/>
    <w:rsid w:val="00FB3B4B"/>
    <w:pPr>
      <w:spacing w:before="120" w:after="120" w:line="240" w:lineRule="auto"/>
    </w:pPr>
    <w:rPr>
      <w:rFonts w:asciiTheme="majorHAnsi" w:eastAsia="Times New Roman" w:hAnsiTheme="majorHAnsi" w:cs="Arial MT"/>
      <w:sz w:val="24"/>
      <w:szCs w:val="20"/>
      <w:lang w:eastAsia="ar-SA"/>
    </w:rPr>
  </w:style>
  <w:style w:type="character" w:customStyle="1" w:styleId="TEIarcheoCHRaffinline">
    <w:name w:val="TEI_archeoCHR_aff_inline"/>
    <w:uiPriority w:val="1"/>
    <w:qFormat/>
    <w:rsid w:val="00FB3B4B"/>
    <w:rPr>
      <w:color w:val="3B3838" w:themeColor="background2" w:themeShade="4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_rels/footnotes.xml.rels><?xml version="1.0" encoding="UTF-8" standalone="yes"?>
<Relationships xmlns="http://schemas.openxmlformats.org/package/2006/relationships"><Relationship Id="rId2" Type="http://schemas.openxmlformats.org/officeDocument/2006/relationships/hyperlink" Target="http://publis-shs.univ-rouen.fr/ceredi/index.php?id=680" TargetMode="External"/><Relationship Id="rId1" Type="http://schemas.openxmlformats.org/officeDocument/2006/relationships/hyperlink" Target="http://enccre.academie-sciences.fr/encyclopedie/article/v4-2231-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ebreana\AppData\Roaming\Microsoft\Templates\Commons-publishing-Metopes.dotm"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Commons-publishing-Metopes</Template>
  <TotalTime>220</TotalTime>
  <Pages>13</Pages>
  <Words>4448</Words>
  <Characters>24466</Characters>
  <Application>Microsoft Office Word</Application>
  <DocSecurity>0</DocSecurity>
  <Lines>203</Lines>
  <Paragraphs>57</Paragraphs>
  <ScaleCrop>false</ScaleCrop>
  <HeadingPairs>
    <vt:vector size="2" baseType="variant">
      <vt:variant>
        <vt:lpstr>Titre</vt:lpstr>
      </vt:variant>
      <vt:variant>
        <vt:i4>1</vt:i4>
      </vt:variant>
    </vt:vector>
  </HeadingPairs>
  <TitlesOfParts>
    <vt:vector size="1" baseType="lpstr">
      <vt:lpstr/>
    </vt:vector>
  </TitlesOfParts>
  <Company>Université de Rouen Normandie</Company>
  <LinksUpToDate>false</LinksUpToDate>
  <CharactersWithSpaces>28857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ANAIS LEBRETON (Personnel)</dc:creator>
  <cp:keywords/>
  <dc:description/>
  <cp:lastModifiedBy>ANAIS LEBRETON (Personnel)</cp:lastModifiedBy>
  <cp:revision>46</cp:revision>
  <dcterms:created xsi:type="dcterms:W3CDTF">2025-02-14T10:39:00Z</dcterms:created>
  <dcterms:modified xsi:type="dcterms:W3CDTF">2025-07-09T15:02:00Z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plVersion">
    <vt:lpwstr>1.0</vt:lpwstr>
  </property>
  <property fmtid="{D5CDD505-2E9C-101B-9397-08002B2CF9AE}" pid="3" name="source">
    <vt:lpwstr>Metopes</vt:lpwstr>
  </property>
  <property fmtid="{D5CDD505-2E9C-101B-9397-08002B2CF9AE}" pid="4" name="language">
    <vt:lpwstr>fr-FR</vt:lpwstr>
  </property>
  <property fmtid="{D5CDD505-2E9C-101B-9397-08002B2CF9AE}" pid="5" name="typez39">
    <vt:lpwstr>chapter</vt:lpwstr>
  </property>
</Properties>
</file>