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FD854" w14:textId="77777777" w:rsidR="000807FB" w:rsidRPr="00AB6A3C" w:rsidRDefault="000807FB" w:rsidP="00183B41">
      <w:pPr>
        <w:pStyle w:val="Titre"/>
      </w:pPr>
      <w:r w:rsidRPr="00AB6A3C">
        <w:t>Introduction</w:t>
      </w:r>
    </w:p>
    <w:p w14:paraId="2AC6CD58" w14:textId="148B49AC" w:rsidR="000807FB" w:rsidRPr="00AB6A3C" w:rsidRDefault="000807FB" w:rsidP="003D33AD">
      <w:r w:rsidRPr="00AB6A3C">
        <w:t xml:space="preserve">Ce deuxième </w:t>
      </w:r>
      <w:r>
        <w:t>volume</w:t>
      </w:r>
      <w:r w:rsidR="00721477">
        <w:t xml:space="preserve"> d’</w:t>
      </w:r>
      <w:r w:rsidRPr="00AB6A3C">
        <w:rPr>
          <w:i/>
          <w:iCs/>
        </w:rPr>
        <w:t>Héraldique et papauté, Moyen</w:t>
      </w:r>
      <w:r w:rsidR="00721477">
        <w:rPr>
          <w:i/>
          <w:iCs/>
        </w:rPr>
        <w:t> </w:t>
      </w:r>
      <w:r w:rsidRPr="00AB6A3C">
        <w:rPr>
          <w:i/>
          <w:iCs/>
        </w:rPr>
        <w:t>Âge-Temps modernes</w:t>
      </w:r>
      <w:r>
        <w:t xml:space="preserve"> est</w:t>
      </w:r>
      <w:r w:rsidRPr="00AB6A3C">
        <w:t xml:space="preserve"> issu du colloque tenu au centre Saint-Louis de Rome </w:t>
      </w:r>
      <w:r>
        <w:t xml:space="preserve">du </w:t>
      </w:r>
      <w:r w:rsidRPr="00AB6A3C">
        <w:t>7</w:t>
      </w:r>
      <w:r>
        <w:t xml:space="preserve"> au </w:t>
      </w:r>
      <w:r w:rsidRPr="00AB6A3C">
        <w:t>9</w:t>
      </w:r>
      <w:r w:rsidR="00603851">
        <w:t> </w:t>
      </w:r>
      <w:r w:rsidRPr="00AB6A3C">
        <w:t>juin 2022</w:t>
      </w:r>
      <w:r>
        <w:t>. L’époque moderne y domine. Les réflexions entamées dans le précédent volume s’y poursuivent, notamment sur les décors monumentaux, sur les cérémonies</w:t>
      </w:r>
      <w:r w:rsidR="00915E33">
        <w:t xml:space="preserve"> et</w:t>
      </w:r>
      <w:r>
        <w:t xml:space="preserve"> sur les manuscrits. De nouveaux champs d’investigation sont ouverts, entre autres</w:t>
      </w:r>
      <w:r w:rsidR="00603851">
        <w:t>,</w:t>
      </w:r>
      <w:r>
        <w:t xml:space="preserve"> sur des figures de pontifes en particulier ou sur le livre imprimé. Le recueil s’organise</w:t>
      </w:r>
      <w:r w:rsidRPr="00AB6A3C">
        <w:t xml:space="preserve"> en </w:t>
      </w:r>
      <w:r>
        <w:t>deux parties</w:t>
      </w:r>
      <w:r w:rsidR="00603851">
        <w:t xml:space="preserve"> </w:t>
      </w:r>
      <w:r>
        <w:t>égales de six articles chacune</w:t>
      </w:r>
      <w:r w:rsidR="00397049">
        <w:t> </w:t>
      </w:r>
      <w:r w:rsidR="00397049" w:rsidRPr="00AB6A3C">
        <w:t>:</w:t>
      </w:r>
      <w:r w:rsidRPr="00AB6A3C">
        <w:t xml:space="preserve"> </w:t>
      </w:r>
      <w:r>
        <w:t xml:space="preserve">l’une se consacre à des pontificats </w:t>
      </w:r>
      <w:r w:rsidR="00F262C8">
        <w:t>spécifiques</w:t>
      </w:r>
      <w:r w:rsidRPr="00AB6A3C">
        <w:t>, l</w:t>
      </w:r>
      <w:r>
        <w:t>’autre à la monumentalisation de l’héraldique</w:t>
      </w:r>
      <w:r w:rsidRPr="00AB6A3C">
        <w:t xml:space="preserve">. </w:t>
      </w:r>
    </w:p>
    <w:p w14:paraId="27C06464" w14:textId="57184C86" w:rsidR="000807FB" w:rsidRDefault="000807FB" w:rsidP="003D33AD">
      <w:r>
        <w:t>Six</w:t>
      </w:r>
      <w:r w:rsidRPr="00AB6A3C">
        <w:t xml:space="preserve"> p</w:t>
      </w:r>
      <w:r>
        <w:t>ontif</w:t>
      </w:r>
      <w:r w:rsidRPr="00AB6A3C">
        <w:t xml:space="preserve">es </w:t>
      </w:r>
      <w:r>
        <w:t>bénéficient</w:t>
      </w:r>
      <w:r w:rsidRPr="00AB6A3C">
        <w:t xml:space="preserve"> d’une étude </w:t>
      </w:r>
      <w:r>
        <w:t>monographique</w:t>
      </w:r>
      <w:r w:rsidRPr="00AB6A3C">
        <w:t>, deux pour la Renaissance, Léon</w:t>
      </w:r>
      <w:r w:rsidR="00603851">
        <w:t> </w:t>
      </w:r>
      <w:r w:rsidRPr="00AB6A3C">
        <w:t>X et Jules</w:t>
      </w:r>
      <w:r w:rsidR="00603851">
        <w:t> </w:t>
      </w:r>
      <w:r w:rsidRPr="00AB6A3C">
        <w:t xml:space="preserve">III, </w:t>
      </w:r>
      <w:r>
        <w:t>trois</w:t>
      </w:r>
      <w:r w:rsidRPr="00AB6A3C">
        <w:t xml:space="preserve"> pour le </w:t>
      </w:r>
      <w:proofErr w:type="spellStart"/>
      <w:r w:rsidR="00603851">
        <w:rPr>
          <w:smallCaps/>
        </w:rPr>
        <w:t>xvii</w:t>
      </w:r>
      <w:r w:rsidRPr="00AB6A3C">
        <w:rPr>
          <w:vertAlign w:val="superscript"/>
        </w:rPr>
        <w:t>e</w:t>
      </w:r>
      <w:proofErr w:type="spellEnd"/>
      <w:r w:rsidR="00603851">
        <w:t> </w:t>
      </w:r>
      <w:r w:rsidRPr="00AB6A3C">
        <w:t xml:space="preserve">siècle, </w:t>
      </w:r>
      <w:r>
        <w:t>Urbain</w:t>
      </w:r>
      <w:r w:rsidR="00603851">
        <w:t> </w:t>
      </w:r>
      <w:r>
        <w:t xml:space="preserve">VIII, </w:t>
      </w:r>
      <w:r w:rsidRPr="00AB6A3C">
        <w:t>Innocent</w:t>
      </w:r>
      <w:r w:rsidR="00960E9F">
        <w:t> </w:t>
      </w:r>
      <w:r w:rsidRPr="00AB6A3C">
        <w:t>X et Alexandre</w:t>
      </w:r>
      <w:r w:rsidR="00603851">
        <w:t> </w:t>
      </w:r>
      <w:r w:rsidRPr="00AB6A3C">
        <w:t>VII</w:t>
      </w:r>
      <w:r>
        <w:t xml:space="preserve">, un pour le </w:t>
      </w:r>
      <w:proofErr w:type="spellStart"/>
      <w:r w:rsidR="00960E9F" w:rsidRPr="00960E9F">
        <w:rPr>
          <w:smallCaps/>
        </w:rPr>
        <w:t>xviii</w:t>
      </w:r>
      <w:r w:rsidRPr="00540362">
        <w:rPr>
          <w:vertAlign w:val="superscript"/>
        </w:rPr>
        <w:t>e</w:t>
      </w:r>
      <w:proofErr w:type="spellEnd"/>
      <w:r w:rsidR="00603851">
        <w:t> </w:t>
      </w:r>
      <w:r>
        <w:t xml:space="preserve">siècle, </w:t>
      </w:r>
      <w:r w:rsidR="00603851">
        <w:t>Clément </w:t>
      </w:r>
      <w:r>
        <w:t>XIII</w:t>
      </w:r>
      <w:r w:rsidRPr="00AB6A3C">
        <w:t xml:space="preserve">. </w:t>
      </w:r>
      <w:proofErr w:type="spellStart"/>
      <w:r w:rsidRPr="00AB6A3C">
        <w:t>Elli</w:t>
      </w:r>
      <w:proofErr w:type="spellEnd"/>
      <w:r w:rsidRPr="00AB6A3C">
        <w:t xml:space="preserve"> </w:t>
      </w:r>
      <w:proofErr w:type="spellStart"/>
      <w:r w:rsidRPr="00AB6A3C">
        <w:t>Doulkaridou-Ramantani</w:t>
      </w:r>
      <w:proofErr w:type="spellEnd"/>
      <w:r w:rsidRPr="00AB6A3C">
        <w:t xml:space="preserve"> (</w:t>
      </w:r>
      <w:r w:rsidR="00F262C8">
        <w:t>u</w:t>
      </w:r>
      <w:r w:rsidRPr="00AB6A3C">
        <w:t xml:space="preserve">niversité de </w:t>
      </w:r>
      <w:r>
        <w:t>Paris</w:t>
      </w:r>
      <w:r w:rsidR="00915E33">
        <w:t> </w:t>
      </w:r>
      <w:r>
        <w:t>I</w:t>
      </w:r>
      <w:r w:rsidRPr="00AB6A3C">
        <w:t>), nous entretient de l’ornementation des manuscrits de Léon</w:t>
      </w:r>
      <w:r w:rsidR="00960E9F">
        <w:t> </w:t>
      </w:r>
      <w:r w:rsidRPr="00AB6A3C">
        <w:t xml:space="preserve">X Médicis (1513-1521), s’intéressant à un pontifical décoré par </w:t>
      </w:r>
      <w:proofErr w:type="spellStart"/>
      <w:r w:rsidRPr="00AB6A3C">
        <w:t>Attavante</w:t>
      </w:r>
      <w:proofErr w:type="spellEnd"/>
      <w:r w:rsidRPr="00AB6A3C">
        <w:t xml:space="preserve"> </w:t>
      </w:r>
      <w:proofErr w:type="spellStart"/>
      <w:r w:rsidRPr="00AB6A3C">
        <w:t>degli</w:t>
      </w:r>
      <w:proofErr w:type="spellEnd"/>
      <w:r w:rsidR="00960E9F">
        <w:t xml:space="preserve"> </w:t>
      </w:r>
      <w:proofErr w:type="spellStart"/>
      <w:r w:rsidRPr="00AB6A3C">
        <w:t>Attavanti</w:t>
      </w:r>
      <w:proofErr w:type="spellEnd"/>
      <w:r w:rsidRPr="00AB6A3C">
        <w:t xml:space="preserve"> vers 1520 (</w:t>
      </w:r>
      <w:proofErr w:type="spellStart"/>
      <w:r w:rsidRPr="00AB6A3C">
        <w:t>Pierpont</w:t>
      </w:r>
      <w:proofErr w:type="spellEnd"/>
      <w:r w:rsidRPr="00AB6A3C">
        <w:t xml:space="preserve"> Morgan Library) et à trois livres de chant </w:t>
      </w:r>
      <w:r>
        <w:t>polyphonique</w:t>
      </w:r>
      <w:r w:rsidR="00915E33">
        <w:t>,</w:t>
      </w:r>
      <w:r>
        <w:t xml:space="preserve"> </w:t>
      </w:r>
      <w:r w:rsidRPr="00AB6A3C">
        <w:t xml:space="preserve">provenant du scriptorium de Petrus </w:t>
      </w:r>
      <w:proofErr w:type="spellStart"/>
      <w:r w:rsidRPr="00AB6A3C">
        <w:t>Alamire</w:t>
      </w:r>
      <w:proofErr w:type="spellEnd"/>
      <w:r w:rsidR="00915E33">
        <w:t>,</w:t>
      </w:r>
      <w:r w:rsidRPr="00AB6A3C">
        <w:t xml:space="preserve"> offerts au pape par Marguerite d’Autriche entre 1513 et 1519 (BAV, fonds de la </w:t>
      </w:r>
      <w:r w:rsidR="00603851">
        <w:t>c</w:t>
      </w:r>
      <w:r w:rsidRPr="00AB6A3C">
        <w:t xml:space="preserve">hapelle Sixtine). Elle étudie la </w:t>
      </w:r>
      <w:r w:rsidR="00397049">
        <w:t>«</w:t>
      </w:r>
      <w:r w:rsidR="00BE5251">
        <w:t> </w:t>
      </w:r>
      <w:r w:rsidRPr="00AB6A3C">
        <w:t>logique cumulative des symboles médicéens</w:t>
      </w:r>
      <w:r w:rsidR="00BE5251">
        <w:t> </w:t>
      </w:r>
      <w:r w:rsidR="00397049" w:rsidRPr="00AB6A3C">
        <w:t>»</w:t>
      </w:r>
      <w:r w:rsidRPr="00AB6A3C">
        <w:t xml:space="preserve">, mettant en lumière une tendance à la facétie dans l’esprit de la grotesque dont la mode débutait </w:t>
      </w:r>
      <w:r>
        <w:t xml:space="preserve">alors </w:t>
      </w:r>
      <w:r w:rsidRPr="00AB6A3C">
        <w:t>à Rome</w:t>
      </w:r>
      <w:r w:rsidRPr="00AB6A3C">
        <w:rPr>
          <w:rStyle w:val="Appelnotedebasdep"/>
          <w:rFonts w:ascii="Times New Roman" w:hAnsi="Times New Roman" w:cs="Times New Roman"/>
          <w:sz w:val="24"/>
          <w:szCs w:val="24"/>
        </w:rPr>
        <w:footnoteReference w:id="1"/>
      </w:r>
      <w:r w:rsidRPr="00AB6A3C">
        <w:t>, volontiers inspirée du blason</w:t>
      </w:r>
      <w:r w:rsidRPr="00AB6A3C">
        <w:rPr>
          <w:rStyle w:val="Appelnotedebasdep"/>
          <w:rFonts w:ascii="Times New Roman" w:hAnsi="Times New Roman" w:cs="Times New Roman"/>
          <w:sz w:val="24"/>
          <w:szCs w:val="24"/>
        </w:rPr>
        <w:footnoteReference w:id="2"/>
      </w:r>
      <w:r w:rsidRPr="00AB6A3C">
        <w:t>. Elle analyse notamment l’image de l’ourson amateur de miel, suggérant une allusion aux supports parlants des armes de Clarice Orsini, mère de Léon</w:t>
      </w:r>
      <w:r w:rsidR="00960E9F">
        <w:t> </w:t>
      </w:r>
      <w:r w:rsidRPr="00AB6A3C">
        <w:t xml:space="preserve">X. </w:t>
      </w:r>
    </w:p>
    <w:p w14:paraId="1AD80561" w14:textId="61C2C928" w:rsidR="000807FB" w:rsidRDefault="000807FB" w:rsidP="003D33AD">
      <w:r w:rsidRPr="00AB6A3C">
        <w:t xml:space="preserve">Yvan </w:t>
      </w:r>
      <w:proofErr w:type="spellStart"/>
      <w:r w:rsidRPr="00AB6A3C">
        <w:t>Loskoutoff</w:t>
      </w:r>
      <w:proofErr w:type="spellEnd"/>
      <w:r w:rsidRPr="00AB6A3C">
        <w:t xml:space="preserve"> (</w:t>
      </w:r>
      <w:r w:rsidR="00F262C8">
        <w:t>u</w:t>
      </w:r>
      <w:r w:rsidRPr="00AB6A3C">
        <w:t xml:space="preserve">niversité </w:t>
      </w:r>
      <w:r w:rsidR="00EA7A15">
        <w:t>Le</w:t>
      </w:r>
      <w:r w:rsidRPr="00AB6A3C">
        <w:t xml:space="preserve"> Havre</w:t>
      </w:r>
      <w:r w:rsidR="00EA7A15">
        <w:t xml:space="preserve"> Normandie</w:t>
      </w:r>
      <w:r>
        <w:t>, Académie des Jeux floraux</w:t>
      </w:r>
      <w:r w:rsidRPr="00AB6A3C">
        <w:t>) continue l’histoire du livre, manuscrit et imprimé, avec Jules</w:t>
      </w:r>
      <w:r w:rsidR="00603851">
        <w:t> </w:t>
      </w:r>
      <w:r w:rsidRPr="00AB6A3C">
        <w:t>III Del</w:t>
      </w:r>
      <w:r w:rsidR="00960E9F">
        <w:t> </w:t>
      </w:r>
      <w:r w:rsidRPr="00AB6A3C">
        <w:t xml:space="preserve">Monte (1550-1555). Une dizaine de manuscrits décorés par Ferdinando </w:t>
      </w:r>
      <w:proofErr w:type="spellStart"/>
      <w:r w:rsidRPr="00AB6A3C">
        <w:t>Ruano</w:t>
      </w:r>
      <w:proofErr w:type="spellEnd"/>
      <w:r w:rsidRPr="00AB6A3C">
        <w:t xml:space="preserve"> ou Vincent Raymond (BAV, fonds Vatican latin et fonds de la </w:t>
      </w:r>
      <w:r w:rsidR="00603851">
        <w:t>c</w:t>
      </w:r>
      <w:r w:rsidRPr="00AB6A3C">
        <w:t>hapelle Sixtine</w:t>
      </w:r>
      <w:r w:rsidR="00BE5251">
        <w:t> </w:t>
      </w:r>
      <w:r w:rsidR="00397049">
        <w:t>;</w:t>
      </w:r>
      <w:r w:rsidRPr="00AB6A3C">
        <w:t xml:space="preserve"> Bibliothèque capitulaire de Tolède) témoignent, comme pour Léon</w:t>
      </w:r>
      <w:r w:rsidR="00960E9F">
        <w:t> </w:t>
      </w:r>
      <w:r w:rsidRPr="00AB6A3C">
        <w:t xml:space="preserve">X, de l’usage des armoiries comme des devises, à l’instar des décors monumentaux du Vatican ou de la </w:t>
      </w:r>
      <w:r w:rsidR="00EA7A15">
        <w:t>v</w:t>
      </w:r>
      <w:r w:rsidRPr="00AB6A3C">
        <w:t xml:space="preserve">illa Giulia. L’ornement du livre imprimé illustre le développement des vignettes de titre armoriées, qui concurrencent les marques de libraires surtout à Rome, où la pratique constante de la gravure en grisaille semble annoncer le système des hachures héraldiques </w:t>
      </w:r>
      <w:r>
        <w:t>habituellement daté de</w:t>
      </w:r>
      <w:r w:rsidRPr="00AB6A3C">
        <w:t xml:space="preserve"> la fin du siècle. On remarque un seul frontispice-titre pour le </w:t>
      </w:r>
      <w:proofErr w:type="spellStart"/>
      <w:r w:rsidRPr="00AB6A3C">
        <w:rPr>
          <w:i/>
          <w:iCs/>
        </w:rPr>
        <w:t>Missarum</w:t>
      </w:r>
      <w:proofErr w:type="spellEnd"/>
      <w:r w:rsidRPr="00AB6A3C">
        <w:rPr>
          <w:i/>
          <w:iCs/>
        </w:rPr>
        <w:t xml:space="preserve"> liber </w:t>
      </w:r>
      <w:proofErr w:type="spellStart"/>
      <w:r w:rsidRPr="00AB6A3C">
        <w:rPr>
          <w:i/>
          <w:iCs/>
        </w:rPr>
        <w:t>primus</w:t>
      </w:r>
      <w:proofErr w:type="spellEnd"/>
      <w:r w:rsidRPr="00AB6A3C">
        <w:t xml:space="preserve"> de Palestrina (1554), mais c’est un remploi des </w:t>
      </w:r>
      <w:r w:rsidRPr="00AB6A3C">
        <w:rPr>
          <w:i/>
          <w:iCs/>
        </w:rPr>
        <w:t>Messes</w:t>
      </w:r>
      <w:r w:rsidRPr="00AB6A3C">
        <w:t xml:space="preserve"> de Morales, dédiées à Cosme de</w:t>
      </w:r>
      <w:r w:rsidR="00603851">
        <w:t> </w:t>
      </w:r>
      <w:r w:rsidRPr="00AB6A3C">
        <w:t>Médicis (1544), dont le contenu blasonnant a été modifié.</w:t>
      </w:r>
      <w:r>
        <w:t xml:space="preserve"> </w:t>
      </w:r>
    </w:p>
    <w:p w14:paraId="6C5324CA" w14:textId="0067EB66" w:rsidR="000807FB" w:rsidRPr="00AB6A3C" w:rsidRDefault="000807FB" w:rsidP="003D33AD">
      <w:r>
        <w:lastRenderedPageBreak/>
        <w:t xml:space="preserve">Fabrizio </w:t>
      </w:r>
      <w:proofErr w:type="spellStart"/>
      <w:r>
        <w:t>Federici</w:t>
      </w:r>
      <w:proofErr w:type="spellEnd"/>
      <w:r>
        <w:t xml:space="preserve"> (chercheur postdoctoral), spécialiste de l’érudit romain Francesco </w:t>
      </w:r>
      <w:proofErr w:type="spellStart"/>
      <w:r>
        <w:t>Gualdi</w:t>
      </w:r>
      <w:proofErr w:type="spellEnd"/>
      <w:r>
        <w:rPr>
          <w:rStyle w:val="Appelnotedebasdep"/>
          <w:rFonts w:ascii="Times New Roman" w:hAnsi="Times New Roman" w:cs="Times New Roman"/>
          <w:sz w:val="24"/>
          <w:szCs w:val="24"/>
        </w:rPr>
        <w:footnoteReference w:id="3"/>
      </w:r>
      <w:r>
        <w:t>, nous transporte au siècle suivant sous le pontificat d’Urbain</w:t>
      </w:r>
      <w:r w:rsidR="00603851">
        <w:t> </w:t>
      </w:r>
      <w:r>
        <w:t>VIII Barberini (1623-1644). Il évoque d’abord le succès des traités de blason à cette époque, notamment ceux de Gauges de’</w:t>
      </w:r>
      <w:r w:rsidR="00960E9F">
        <w:t> </w:t>
      </w:r>
      <w:proofErr w:type="spellStart"/>
      <w:r>
        <w:t>Gozze</w:t>
      </w:r>
      <w:proofErr w:type="spellEnd"/>
      <w:r>
        <w:t xml:space="preserve"> et celui du jésuite </w:t>
      </w:r>
      <w:proofErr w:type="spellStart"/>
      <w:r>
        <w:t>Silvestro</w:t>
      </w:r>
      <w:proofErr w:type="spellEnd"/>
      <w:r>
        <w:t xml:space="preserve"> </w:t>
      </w:r>
      <w:proofErr w:type="spellStart"/>
      <w:r>
        <w:t>Pietrasanta</w:t>
      </w:r>
      <w:proofErr w:type="spellEnd"/>
      <w:r>
        <w:t xml:space="preserve">. Dans ce contexte il analyse la présence de l’héraldique dans l’ouvrage de Francesco </w:t>
      </w:r>
      <w:proofErr w:type="spellStart"/>
      <w:r>
        <w:t>Gualdi</w:t>
      </w:r>
      <w:proofErr w:type="spellEnd"/>
      <w:r>
        <w:t xml:space="preserve"> consacré aux tombes médiévales, les </w:t>
      </w:r>
      <w:proofErr w:type="spellStart"/>
      <w:r w:rsidRPr="008262CC">
        <w:rPr>
          <w:i/>
          <w:iCs/>
        </w:rPr>
        <w:t>Memorie</w:t>
      </w:r>
      <w:proofErr w:type="spellEnd"/>
      <w:r w:rsidRPr="008262CC">
        <w:rPr>
          <w:i/>
          <w:iCs/>
        </w:rPr>
        <w:t xml:space="preserve"> </w:t>
      </w:r>
      <w:proofErr w:type="spellStart"/>
      <w:r w:rsidRPr="008262CC">
        <w:rPr>
          <w:i/>
          <w:iCs/>
        </w:rPr>
        <w:t>sepolcrali</w:t>
      </w:r>
      <w:proofErr w:type="spellEnd"/>
      <w:r>
        <w:rPr>
          <w:i/>
          <w:iCs/>
        </w:rPr>
        <w:t>,</w:t>
      </w:r>
      <w:r>
        <w:t xml:space="preserve"> ainsi que son action pour la conservation des vestiges armoriaux. Il aborde enfin la question des origines commerçantes de la noblesse romaine et des traces qu’elles ont laissé</w:t>
      </w:r>
      <w:r w:rsidR="00603851">
        <w:t>es</w:t>
      </w:r>
      <w:r>
        <w:t xml:space="preserve"> dans l’héraldique, montrant comment on s’efforça de les faire disparaître, notamment dans la famille d’Urbain</w:t>
      </w:r>
      <w:r w:rsidR="00603851">
        <w:t> </w:t>
      </w:r>
      <w:r>
        <w:t>VIII.</w:t>
      </w:r>
    </w:p>
    <w:p w14:paraId="4CB74F52" w14:textId="466EFF21" w:rsidR="000807FB" w:rsidRDefault="000807FB" w:rsidP="003D33AD">
      <w:r w:rsidRPr="00AB6A3C">
        <w:t>Daniela Del</w:t>
      </w:r>
      <w:r w:rsidR="00960E9F">
        <w:t> </w:t>
      </w:r>
      <w:proofErr w:type="spellStart"/>
      <w:r w:rsidRPr="00AB6A3C">
        <w:t>Pesco</w:t>
      </w:r>
      <w:proofErr w:type="spellEnd"/>
      <w:r w:rsidRPr="00AB6A3C">
        <w:t xml:space="preserve"> (</w:t>
      </w:r>
      <w:r w:rsidR="00F262C8">
        <w:t>u</w:t>
      </w:r>
      <w:r w:rsidRPr="00AB6A3C">
        <w:t>niversité de Rome</w:t>
      </w:r>
      <w:r w:rsidR="00603851">
        <w:t> </w:t>
      </w:r>
      <w:r w:rsidRPr="00AB6A3C">
        <w:t xml:space="preserve">III) </w:t>
      </w:r>
      <w:r>
        <w:t xml:space="preserve">s’attache à </w:t>
      </w:r>
      <w:r w:rsidRPr="00AB6A3C">
        <w:t>Innocent</w:t>
      </w:r>
      <w:r w:rsidR="00960E9F">
        <w:t> </w:t>
      </w:r>
      <w:r w:rsidRPr="00AB6A3C">
        <w:t xml:space="preserve">X </w:t>
      </w:r>
      <w:proofErr w:type="spellStart"/>
      <w:r w:rsidRPr="00AB6A3C">
        <w:t>Pamphili</w:t>
      </w:r>
      <w:proofErr w:type="spellEnd"/>
      <w:r w:rsidRPr="00AB6A3C">
        <w:t xml:space="preserve"> (1644-1655)</w:t>
      </w:r>
      <w:r>
        <w:t>. Elle</w:t>
      </w:r>
      <w:r w:rsidRPr="00AB6A3C">
        <w:t xml:space="preserve"> </w:t>
      </w:r>
      <w:r>
        <w:t>anticipe sur la deuxième partie de ce volume en étudiant la place de ses armoiries dans</w:t>
      </w:r>
      <w:r w:rsidRPr="00AB6A3C">
        <w:t xml:space="preserve"> l’architecture, non sans avoir fait leur histoire depuis la ville d’origine de la famille, Gubbio en Ombrie. Elle choisit deux exemples liés au jubilé de 1650</w:t>
      </w:r>
      <w:r w:rsidR="00397049">
        <w:t> </w:t>
      </w:r>
      <w:r w:rsidR="00397049" w:rsidRPr="00AB6A3C">
        <w:t>:</w:t>
      </w:r>
      <w:r w:rsidRPr="00AB6A3C">
        <w:t xml:space="preserve"> la fontaine des Quatre</w:t>
      </w:r>
      <w:r w:rsidR="00960E9F">
        <w:t>-F</w:t>
      </w:r>
      <w:r w:rsidRPr="00AB6A3C">
        <w:t xml:space="preserve">leuves place </w:t>
      </w:r>
      <w:proofErr w:type="spellStart"/>
      <w:r w:rsidRPr="00AB6A3C">
        <w:t>Navone</w:t>
      </w:r>
      <w:proofErr w:type="spellEnd"/>
      <w:r w:rsidRPr="00AB6A3C">
        <w:t xml:space="preserve">, due au Bernin, et la restauration de la basilique du Latran, due à son concurrent, Borromini. Elle montre comment la colombe des </w:t>
      </w:r>
      <w:proofErr w:type="spellStart"/>
      <w:r w:rsidRPr="00AB6A3C">
        <w:t>Pamphili</w:t>
      </w:r>
      <w:proofErr w:type="spellEnd"/>
      <w:r w:rsidRPr="00AB6A3C">
        <w:t xml:space="preserve"> s’inscrit dans le monument du point de vue formel autant que symbolique. Elle achève en évoquant sa nouvelle fortune dans le recueil de gravures de Filippo Juvarra publié en 1711, les targes (écus armoriés) de Rome. </w:t>
      </w:r>
    </w:p>
    <w:p w14:paraId="2F6AD308" w14:textId="0D2C51D4" w:rsidR="000807FB" w:rsidRDefault="000807FB" w:rsidP="003D33AD">
      <w:r w:rsidRPr="00AB6A3C">
        <w:t xml:space="preserve">Sonia </w:t>
      </w:r>
      <w:proofErr w:type="spellStart"/>
      <w:r w:rsidRPr="00AB6A3C">
        <w:t>Cavicchioli</w:t>
      </w:r>
      <w:proofErr w:type="spellEnd"/>
      <w:r w:rsidRPr="00AB6A3C">
        <w:t xml:space="preserve"> (</w:t>
      </w:r>
      <w:r w:rsidR="00960E9F">
        <w:t>u</w:t>
      </w:r>
      <w:r w:rsidRPr="00AB6A3C">
        <w:t>niversité de Bologne) nous entraîne dans le pontificat suivant, celui d’Alexandre</w:t>
      </w:r>
      <w:r w:rsidR="00603851">
        <w:t> </w:t>
      </w:r>
      <w:r w:rsidRPr="00AB6A3C">
        <w:t>VII Chigi (1655-1667). Elle nous montre comment, à Bologne, les armoiries du pape furent célébrées</w:t>
      </w:r>
      <w:r w:rsidR="00603851">
        <w:t>,</w:t>
      </w:r>
      <w:r w:rsidRPr="00AB6A3C">
        <w:t xml:space="preserve"> mais aussi occultées en raison des sentiments </w:t>
      </w:r>
      <w:r>
        <w:t xml:space="preserve">locaux </w:t>
      </w:r>
      <w:r w:rsidRPr="00AB6A3C">
        <w:t xml:space="preserve">d’indépendance. En effet, le recueil manuscrit des </w:t>
      </w:r>
      <w:proofErr w:type="spellStart"/>
      <w:r w:rsidRPr="00AB6A3C">
        <w:rPr>
          <w:i/>
          <w:iCs/>
        </w:rPr>
        <w:t>Insign</w:t>
      </w:r>
      <w:r>
        <w:rPr>
          <w:i/>
          <w:iCs/>
        </w:rPr>
        <w:t>ia</w:t>
      </w:r>
      <w:proofErr w:type="spellEnd"/>
      <w:r w:rsidRPr="00AB6A3C">
        <w:rPr>
          <w:i/>
          <w:iCs/>
        </w:rPr>
        <w:t xml:space="preserve"> </w:t>
      </w:r>
      <w:r w:rsidRPr="00AB6A3C">
        <w:t xml:space="preserve">du corps municipal, conservé aux </w:t>
      </w:r>
      <w:r w:rsidR="00960E9F">
        <w:t>A</w:t>
      </w:r>
      <w:r w:rsidRPr="00AB6A3C">
        <w:t xml:space="preserve">rchives d’État de la ville, témoigne par ses miniatures que pour Girolamo Farnèse, légat de 1658 à 1662, on privilégia ses lys, ignorant toute référence au pape. En revanche, l’héraldique de son successeur, Pietro </w:t>
      </w:r>
      <w:proofErr w:type="spellStart"/>
      <w:r w:rsidRPr="00AB6A3C">
        <w:t>Vidoni</w:t>
      </w:r>
      <w:proofErr w:type="spellEnd"/>
      <w:r w:rsidRPr="00AB6A3C">
        <w:t>, fut combinée avec celle d’Alexandre</w:t>
      </w:r>
      <w:r w:rsidR="00603851">
        <w:t> </w:t>
      </w:r>
      <w:r w:rsidRPr="00AB6A3C">
        <w:t xml:space="preserve">VII, non point dans les </w:t>
      </w:r>
      <w:proofErr w:type="spellStart"/>
      <w:r w:rsidRPr="00AB6A3C">
        <w:rPr>
          <w:i/>
          <w:iCs/>
        </w:rPr>
        <w:t>Insign</w:t>
      </w:r>
      <w:r>
        <w:rPr>
          <w:i/>
          <w:iCs/>
        </w:rPr>
        <w:t>ia</w:t>
      </w:r>
      <w:proofErr w:type="spellEnd"/>
      <w:r w:rsidRPr="00AB6A3C">
        <w:rPr>
          <w:i/>
          <w:iCs/>
        </w:rPr>
        <w:t>,</w:t>
      </w:r>
      <w:r w:rsidRPr="00AB6A3C">
        <w:t xml:space="preserve"> qui restèrent a</w:t>
      </w:r>
      <w:r w:rsidR="00960E9F">
        <w:t>-</w:t>
      </w:r>
      <w:r w:rsidRPr="00AB6A3C">
        <w:t xml:space="preserve">pontificaux aussi pour lui, mais dans la galerie de son appartement dont les fresques, dues à des peintres perspectivistes locaux, Giovanni Battista </w:t>
      </w:r>
      <w:proofErr w:type="spellStart"/>
      <w:r w:rsidRPr="00AB6A3C">
        <w:t>Caccioli</w:t>
      </w:r>
      <w:proofErr w:type="spellEnd"/>
      <w:r w:rsidRPr="00AB6A3C">
        <w:t xml:space="preserve"> et Domenico </w:t>
      </w:r>
      <w:proofErr w:type="spellStart"/>
      <w:r w:rsidRPr="00AB6A3C">
        <w:t>Santi</w:t>
      </w:r>
      <w:proofErr w:type="spellEnd"/>
      <w:r w:rsidRPr="00AB6A3C">
        <w:t>, firent honneur mythologique aux monts et à l’étoile</w:t>
      </w:r>
      <w:r w:rsidR="00021362">
        <w:t xml:space="preserve"> </w:t>
      </w:r>
      <w:r w:rsidRPr="00AB6A3C">
        <w:t xml:space="preserve">des Chigi. </w:t>
      </w:r>
    </w:p>
    <w:p w14:paraId="302EB65E" w14:textId="4BE77340" w:rsidR="000807FB" w:rsidRPr="00781BBC" w:rsidRDefault="000807FB" w:rsidP="003D33AD">
      <w:r w:rsidRPr="00781BBC">
        <w:t xml:space="preserve">Yvan </w:t>
      </w:r>
      <w:proofErr w:type="spellStart"/>
      <w:r w:rsidRPr="00781BBC">
        <w:t>Loskoutoff</w:t>
      </w:r>
      <w:proofErr w:type="spellEnd"/>
      <w:r>
        <w:t xml:space="preserve"> conclut la première partie en évoquant les rapports d’un artiste et d’un pape</w:t>
      </w:r>
      <w:r w:rsidRPr="00781BBC">
        <w:t xml:space="preserve">, Giovanni Battista </w:t>
      </w:r>
      <w:proofErr w:type="spellStart"/>
      <w:r w:rsidRPr="00781BBC">
        <w:t>Piranesi</w:t>
      </w:r>
      <w:proofErr w:type="spellEnd"/>
      <w:r w:rsidRPr="00781BBC">
        <w:t xml:space="preserve"> (1720-1778)</w:t>
      </w:r>
      <w:r>
        <w:t xml:space="preserve"> et Clément</w:t>
      </w:r>
      <w:r w:rsidR="00603851">
        <w:t> </w:t>
      </w:r>
      <w:r>
        <w:t xml:space="preserve">XIII </w:t>
      </w:r>
      <w:proofErr w:type="spellStart"/>
      <w:r>
        <w:t>Rezzonico</w:t>
      </w:r>
      <w:proofErr w:type="spellEnd"/>
      <w:r>
        <w:t>, qui régna de 1758 à 1769</w:t>
      </w:r>
      <w:r w:rsidRPr="00781BBC">
        <w:t xml:space="preserve">. C’est une idée commune que le </w:t>
      </w:r>
      <w:proofErr w:type="spellStart"/>
      <w:r w:rsidR="00021362" w:rsidRPr="00021362">
        <w:rPr>
          <w:smallCaps/>
        </w:rPr>
        <w:t>xviii</w:t>
      </w:r>
      <w:r w:rsidRPr="00781BBC">
        <w:rPr>
          <w:vertAlign w:val="superscript"/>
        </w:rPr>
        <w:t>e</w:t>
      </w:r>
      <w:proofErr w:type="spellEnd"/>
      <w:r w:rsidR="00603851">
        <w:t> </w:t>
      </w:r>
      <w:r w:rsidRPr="00781BBC">
        <w:t xml:space="preserve">siècle </w:t>
      </w:r>
      <w:r>
        <w:t>vit</w:t>
      </w:r>
      <w:r w:rsidRPr="00781BBC">
        <w:t xml:space="preserve"> le déclin d</w:t>
      </w:r>
      <w:r>
        <w:t>u blason</w:t>
      </w:r>
      <w:r w:rsidRPr="00781BBC">
        <w:t xml:space="preserve">. Piranèse nous prouve le contraire. L’artiste de la Rome antique et moderne fut </w:t>
      </w:r>
      <w:r>
        <w:t xml:space="preserve">aussi </w:t>
      </w:r>
      <w:r w:rsidRPr="00781BBC">
        <w:t>celui d</w:t>
      </w:r>
      <w:r>
        <w:t>e l’héraldique</w:t>
      </w:r>
      <w:r w:rsidRPr="00781BBC">
        <w:t>. Avant de s’appliquer à la papauté</w:t>
      </w:r>
      <w:r w:rsidR="00603851">
        <w:t>,</w:t>
      </w:r>
      <w:r w:rsidRPr="00781BBC">
        <w:t xml:space="preserve"> ce goût se manifeste dans la dédicace des </w:t>
      </w:r>
      <w:proofErr w:type="spellStart"/>
      <w:r w:rsidRPr="00781BBC">
        <w:rPr>
          <w:i/>
          <w:iCs/>
        </w:rPr>
        <w:t>Antichità</w:t>
      </w:r>
      <w:proofErr w:type="spellEnd"/>
      <w:r w:rsidRPr="00781BBC">
        <w:rPr>
          <w:i/>
          <w:iCs/>
        </w:rPr>
        <w:t xml:space="preserve"> romane</w:t>
      </w:r>
      <w:r w:rsidRPr="00781BBC">
        <w:t xml:space="preserve"> (1756) à Milord Charlemont, mécène trop peu </w:t>
      </w:r>
      <w:r w:rsidRPr="00781BBC">
        <w:lastRenderedPageBreak/>
        <w:t xml:space="preserve">généreux dont le graveur </w:t>
      </w:r>
      <w:r w:rsidR="00397049">
        <w:t>«</w:t>
      </w:r>
      <w:r w:rsidR="00BE5251">
        <w:t> </w:t>
      </w:r>
      <w:r w:rsidRPr="00781BBC">
        <w:t>diffama</w:t>
      </w:r>
      <w:r w:rsidR="00BE5251">
        <w:t> </w:t>
      </w:r>
      <w:r w:rsidR="00397049" w:rsidRPr="00781BBC">
        <w:t>»</w:t>
      </w:r>
      <w:r w:rsidRPr="00781BBC">
        <w:t xml:space="preserve"> progressivement les armoiries dans les états successifs du frontispice. Il se montre aussi dans le frontispice des </w:t>
      </w:r>
      <w:proofErr w:type="spellStart"/>
      <w:r w:rsidRPr="00781BBC">
        <w:rPr>
          <w:i/>
          <w:iCs/>
        </w:rPr>
        <w:t>Vasi</w:t>
      </w:r>
      <w:proofErr w:type="spellEnd"/>
      <w:r w:rsidRPr="00781BBC">
        <w:rPr>
          <w:i/>
          <w:iCs/>
        </w:rPr>
        <w:t xml:space="preserve">, </w:t>
      </w:r>
      <w:proofErr w:type="spellStart"/>
      <w:r w:rsidRPr="00781BBC">
        <w:rPr>
          <w:i/>
          <w:iCs/>
        </w:rPr>
        <w:t>candelabri</w:t>
      </w:r>
      <w:proofErr w:type="spellEnd"/>
      <w:r w:rsidRPr="00781BBC">
        <w:rPr>
          <w:i/>
          <w:iCs/>
        </w:rPr>
        <w:t xml:space="preserve">, </w:t>
      </w:r>
      <w:proofErr w:type="spellStart"/>
      <w:r w:rsidRPr="00781BBC">
        <w:rPr>
          <w:i/>
          <w:iCs/>
        </w:rPr>
        <w:t>cippi</w:t>
      </w:r>
      <w:proofErr w:type="spellEnd"/>
      <w:r w:rsidRPr="00781BBC">
        <w:t xml:space="preserve">… (1778) où un vase antique fut modifié de façon à évoquer la licorne des armes du dédicataire, le comte Ivan </w:t>
      </w:r>
      <w:proofErr w:type="spellStart"/>
      <w:r w:rsidRPr="00781BBC">
        <w:t>Schouvaloff</w:t>
      </w:r>
      <w:proofErr w:type="spellEnd"/>
      <w:r w:rsidRPr="00781BBC">
        <w:t xml:space="preserve">. Il apparaît </w:t>
      </w:r>
      <w:r>
        <w:t>encore</w:t>
      </w:r>
      <w:r w:rsidRPr="00781BBC">
        <w:t xml:space="preserve"> dans certaine vue de Rome où le graveur n’ignore pas le détail médiéval. L</w:t>
      </w:r>
      <w:r>
        <w:t>es armoiries</w:t>
      </w:r>
      <w:r w:rsidRPr="00781BBC">
        <w:t xml:space="preserve"> papale</w:t>
      </w:r>
      <w:r>
        <w:t>s</w:t>
      </w:r>
      <w:r w:rsidRPr="00781BBC">
        <w:t xml:space="preserve"> se développe</w:t>
      </w:r>
      <w:r>
        <w:t>nt</w:t>
      </w:r>
      <w:r w:rsidRPr="00781BBC">
        <w:t xml:space="preserve"> dans un cycle de frontispices dédiés à Clément</w:t>
      </w:r>
      <w:r w:rsidR="00603851">
        <w:t> </w:t>
      </w:r>
      <w:r w:rsidRPr="00781BBC">
        <w:t xml:space="preserve">XIII </w:t>
      </w:r>
      <w:proofErr w:type="spellStart"/>
      <w:r w:rsidRPr="00781BBC">
        <w:t>Rezzonico</w:t>
      </w:r>
      <w:proofErr w:type="spellEnd"/>
      <w:r w:rsidRPr="00781BBC">
        <w:t>, vénitien comme Piranèse</w:t>
      </w:r>
      <w:r w:rsidR="00397049">
        <w:t> </w:t>
      </w:r>
      <w:r w:rsidR="00397049" w:rsidRPr="00781BBC">
        <w:t>:</w:t>
      </w:r>
      <w:r w:rsidRPr="00781BBC">
        <w:t xml:space="preserve"> </w:t>
      </w:r>
      <w:r w:rsidRPr="00781BBC">
        <w:rPr>
          <w:i/>
          <w:iCs/>
        </w:rPr>
        <w:t xml:space="preserve">Della </w:t>
      </w:r>
      <w:proofErr w:type="spellStart"/>
      <w:r w:rsidRPr="00781BBC">
        <w:rPr>
          <w:i/>
          <w:iCs/>
        </w:rPr>
        <w:t>magnificenza</w:t>
      </w:r>
      <w:proofErr w:type="spellEnd"/>
      <w:r w:rsidRPr="00781BBC">
        <w:rPr>
          <w:i/>
          <w:iCs/>
        </w:rPr>
        <w:t xml:space="preserve"> </w:t>
      </w:r>
      <w:proofErr w:type="spellStart"/>
      <w:r w:rsidRPr="00781BBC">
        <w:rPr>
          <w:i/>
          <w:iCs/>
        </w:rPr>
        <w:t>ed</w:t>
      </w:r>
      <w:proofErr w:type="spellEnd"/>
      <w:r w:rsidRPr="00781BBC">
        <w:rPr>
          <w:i/>
          <w:iCs/>
        </w:rPr>
        <w:t xml:space="preserve"> </w:t>
      </w:r>
      <w:proofErr w:type="spellStart"/>
      <w:r w:rsidRPr="00781BBC">
        <w:rPr>
          <w:i/>
          <w:iCs/>
        </w:rPr>
        <w:t>architettura</w:t>
      </w:r>
      <w:proofErr w:type="spellEnd"/>
      <w:r w:rsidRPr="00781BBC">
        <w:rPr>
          <w:i/>
          <w:iCs/>
        </w:rPr>
        <w:t xml:space="preserve"> de’ Romani</w:t>
      </w:r>
      <w:r w:rsidRPr="00781BBC">
        <w:t xml:space="preserve"> (1761), </w:t>
      </w:r>
      <w:r w:rsidRPr="00781BBC">
        <w:rPr>
          <w:i/>
          <w:iCs/>
        </w:rPr>
        <w:t xml:space="preserve">Lapides </w:t>
      </w:r>
      <w:proofErr w:type="spellStart"/>
      <w:r w:rsidRPr="00781BBC">
        <w:rPr>
          <w:i/>
          <w:iCs/>
        </w:rPr>
        <w:t>Capitolini</w:t>
      </w:r>
      <w:proofErr w:type="spellEnd"/>
      <w:r w:rsidRPr="00781BBC">
        <w:rPr>
          <w:i/>
          <w:iCs/>
        </w:rPr>
        <w:t xml:space="preserve"> </w:t>
      </w:r>
      <w:r w:rsidRPr="00781BBC">
        <w:t xml:space="preserve">(1762), </w:t>
      </w:r>
      <w:proofErr w:type="spellStart"/>
      <w:r w:rsidRPr="00781BBC">
        <w:rPr>
          <w:i/>
          <w:iCs/>
        </w:rPr>
        <w:t>Antichità</w:t>
      </w:r>
      <w:proofErr w:type="spellEnd"/>
      <w:r w:rsidRPr="00781BBC">
        <w:rPr>
          <w:i/>
          <w:iCs/>
        </w:rPr>
        <w:t xml:space="preserve"> d’Albano e di</w:t>
      </w:r>
      <w:r w:rsidR="00603851">
        <w:rPr>
          <w:i/>
          <w:iCs/>
        </w:rPr>
        <w:t> </w:t>
      </w:r>
      <w:r w:rsidRPr="00781BBC">
        <w:rPr>
          <w:i/>
          <w:iCs/>
        </w:rPr>
        <w:t>Castel Gandolfo</w:t>
      </w:r>
      <w:r w:rsidRPr="00781BBC">
        <w:t xml:space="preserve"> (1764), ou au neveu du pape, </w:t>
      </w:r>
      <w:r w:rsidR="00021362">
        <w:t>m</w:t>
      </w:r>
      <w:r w:rsidRPr="00781BBC">
        <w:t xml:space="preserve">onseigneur </w:t>
      </w:r>
      <w:proofErr w:type="spellStart"/>
      <w:r w:rsidRPr="00781BBC">
        <w:t>Giovan</w:t>
      </w:r>
      <w:proofErr w:type="spellEnd"/>
      <w:r w:rsidRPr="00781BBC">
        <w:t xml:space="preserve"> Battista </w:t>
      </w:r>
      <w:proofErr w:type="spellStart"/>
      <w:r w:rsidRPr="00781BBC">
        <w:t>Rezzonico</w:t>
      </w:r>
      <w:proofErr w:type="spellEnd"/>
      <w:r w:rsidRPr="00781BBC">
        <w:t xml:space="preserve">, </w:t>
      </w:r>
      <w:r w:rsidRPr="00781BBC">
        <w:rPr>
          <w:i/>
          <w:iCs/>
        </w:rPr>
        <w:t xml:space="preserve">Diverse </w:t>
      </w:r>
      <w:proofErr w:type="spellStart"/>
      <w:r w:rsidRPr="00781BBC">
        <w:rPr>
          <w:i/>
          <w:iCs/>
        </w:rPr>
        <w:t>maniere</w:t>
      </w:r>
      <w:proofErr w:type="spellEnd"/>
      <w:r w:rsidRPr="00781BBC">
        <w:rPr>
          <w:i/>
          <w:iCs/>
        </w:rPr>
        <w:t xml:space="preserve"> d’</w:t>
      </w:r>
      <w:proofErr w:type="spellStart"/>
      <w:r w:rsidRPr="00781BBC">
        <w:rPr>
          <w:i/>
          <w:iCs/>
        </w:rPr>
        <w:t>adornare</w:t>
      </w:r>
      <w:proofErr w:type="spellEnd"/>
      <w:r w:rsidRPr="00781BBC">
        <w:rPr>
          <w:i/>
          <w:iCs/>
        </w:rPr>
        <w:t xml:space="preserve"> i </w:t>
      </w:r>
      <w:proofErr w:type="spellStart"/>
      <w:r w:rsidRPr="00781BBC">
        <w:rPr>
          <w:i/>
          <w:iCs/>
        </w:rPr>
        <w:t>cammini</w:t>
      </w:r>
      <w:proofErr w:type="spellEnd"/>
      <w:r w:rsidRPr="00781BBC">
        <w:t xml:space="preserve"> (1769). </w:t>
      </w:r>
      <w:r>
        <w:t>Cette suite</w:t>
      </w:r>
      <w:r w:rsidRPr="00781BBC">
        <w:t xml:space="preserve"> permet d’examiner l</w:t>
      </w:r>
      <w:r>
        <w:t>’</w:t>
      </w:r>
      <w:r w:rsidRPr="00781BBC">
        <w:t xml:space="preserve">évolution </w:t>
      </w:r>
      <w:r>
        <w:t xml:space="preserve">de la représentation héraldique </w:t>
      </w:r>
      <w:r w:rsidRPr="00781BBC">
        <w:t xml:space="preserve">ainsi que </w:t>
      </w:r>
      <w:r>
        <w:t xml:space="preserve">son </w:t>
      </w:r>
      <w:r w:rsidRPr="00781BBC">
        <w:t xml:space="preserve">adaptation à un contexte figuratif antiquisant. </w:t>
      </w:r>
      <w:proofErr w:type="spellStart"/>
      <w:r w:rsidRPr="00781BBC">
        <w:t>Giovan</w:t>
      </w:r>
      <w:proofErr w:type="spellEnd"/>
      <w:r w:rsidRPr="00781BBC">
        <w:t xml:space="preserve"> Battista </w:t>
      </w:r>
      <w:proofErr w:type="spellStart"/>
      <w:r w:rsidRPr="00781BBC">
        <w:t>Rezzonico</w:t>
      </w:r>
      <w:proofErr w:type="spellEnd"/>
      <w:r w:rsidRPr="00781BBC">
        <w:t xml:space="preserve"> fut aussi le commanditaire du décor de la villa des chevaliers de Malte sur l’Aventin, non loin de Sainte-Prisca, Santa Maria </w:t>
      </w:r>
      <w:proofErr w:type="spellStart"/>
      <w:r w:rsidRPr="00781BBC">
        <w:t>del</w:t>
      </w:r>
      <w:proofErr w:type="spellEnd"/>
      <w:r w:rsidR="00603851">
        <w:t> </w:t>
      </w:r>
      <w:proofErr w:type="spellStart"/>
      <w:r w:rsidRPr="00781BBC">
        <w:t>Priorato</w:t>
      </w:r>
      <w:proofErr w:type="spellEnd"/>
      <w:r w:rsidRPr="00781BBC">
        <w:t>, seule œuvre architecturale de l’artiste où il déploya tous les pouvoirs décoratifs et symboliques d</w:t>
      </w:r>
      <w:r>
        <w:t>u</w:t>
      </w:r>
      <w:r w:rsidRPr="00781BBC">
        <w:t xml:space="preserve"> </w:t>
      </w:r>
      <w:r>
        <w:t>blason</w:t>
      </w:r>
      <w:r w:rsidRPr="00781BBC">
        <w:t xml:space="preserve"> </w:t>
      </w:r>
      <w:proofErr w:type="spellStart"/>
      <w:r w:rsidRPr="00781BBC">
        <w:t>Rezzonico</w:t>
      </w:r>
      <w:proofErr w:type="spellEnd"/>
      <w:r w:rsidRPr="00781BBC">
        <w:t xml:space="preserve">. </w:t>
      </w:r>
    </w:p>
    <w:p w14:paraId="0B171389" w14:textId="1BC22DD5" w:rsidR="000807FB" w:rsidRDefault="000807FB" w:rsidP="003D33AD">
      <w:pPr>
        <w:rPr>
          <w:bCs/>
        </w:rPr>
      </w:pPr>
      <w:r>
        <w:t>La partie précédente a</w:t>
      </w:r>
      <w:r w:rsidRPr="00AB6A3C">
        <w:t xml:space="preserve"> centré l’intérêt sur des </w:t>
      </w:r>
      <w:r>
        <w:t xml:space="preserve">figures de </w:t>
      </w:r>
      <w:r w:rsidRPr="00AB6A3C">
        <w:t xml:space="preserve">papes en particulier, </w:t>
      </w:r>
      <w:r>
        <w:t>privilégiant le livre, manuscrit ou imprimé, même si dans les trois derniers articles s’annonce le sujet de la présente partie</w:t>
      </w:r>
      <w:r w:rsidR="00397049">
        <w:t> :</w:t>
      </w:r>
      <w:r>
        <w:t xml:space="preserve"> les manifestations de l’héraldique dans les monuments, sacrés ou profanes, durables ou éphémères</w:t>
      </w:r>
      <w:r w:rsidRPr="00AB6A3C">
        <w:t>.</w:t>
      </w:r>
      <w:r>
        <w:t xml:space="preserve"> Pour quelles raisons et de quelle manière s’y inscrit-elle</w:t>
      </w:r>
      <w:r w:rsidR="00BE5251">
        <w:t> </w:t>
      </w:r>
      <w:r w:rsidR="00397049">
        <w:t>?</w:t>
      </w:r>
      <w:r>
        <w:t xml:space="preserve"> Cette partie s’ouvre sur</w:t>
      </w:r>
      <w:r w:rsidRPr="00AB6A3C">
        <w:rPr>
          <w:bCs/>
        </w:rPr>
        <w:t xml:space="preserve"> une étude médiévale due à Laurent </w:t>
      </w:r>
      <w:proofErr w:type="spellStart"/>
      <w:r w:rsidRPr="00AB6A3C">
        <w:rPr>
          <w:bCs/>
        </w:rPr>
        <w:t>Hablot</w:t>
      </w:r>
      <w:proofErr w:type="spellEnd"/>
      <w:r w:rsidRPr="00AB6A3C">
        <w:rPr>
          <w:bCs/>
        </w:rPr>
        <w:t xml:space="preserve"> (École pratique des hautes études). Il s’interroge sur l</w:t>
      </w:r>
      <w:r>
        <w:rPr>
          <w:bCs/>
        </w:rPr>
        <w:t>a</w:t>
      </w:r>
      <w:r w:rsidR="00192ECA">
        <w:rPr>
          <w:bCs/>
        </w:rPr>
        <w:t xml:space="preserve"> </w:t>
      </w:r>
      <w:r w:rsidR="00397049">
        <w:rPr>
          <w:bCs/>
        </w:rPr>
        <w:t>«</w:t>
      </w:r>
      <w:r w:rsidR="00BE5251">
        <w:rPr>
          <w:bCs/>
        </w:rPr>
        <w:t> </w:t>
      </w:r>
      <w:r w:rsidRPr="00AB6A3C">
        <w:rPr>
          <w:bCs/>
        </w:rPr>
        <w:t>m</w:t>
      </w:r>
      <w:r>
        <w:rPr>
          <w:bCs/>
        </w:rPr>
        <w:t>ise en signe de l’espace</w:t>
      </w:r>
      <w:r w:rsidR="00BE5251">
        <w:rPr>
          <w:bCs/>
        </w:rPr>
        <w:t> </w:t>
      </w:r>
      <w:r w:rsidR="00397049" w:rsidRPr="00AB6A3C">
        <w:rPr>
          <w:bCs/>
        </w:rPr>
        <w:t>»</w:t>
      </w:r>
      <w:r w:rsidRPr="00AB6A3C">
        <w:rPr>
          <w:bCs/>
        </w:rPr>
        <w:t xml:space="preserve"> et sur les conflits qu’</w:t>
      </w:r>
      <w:r>
        <w:rPr>
          <w:bCs/>
        </w:rPr>
        <w:t>elle</w:t>
      </w:r>
      <w:r w:rsidRPr="00AB6A3C">
        <w:rPr>
          <w:bCs/>
        </w:rPr>
        <w:t xml:space="preserve"> pouvait entraîner en Italie, en raison de la concurrence du pape, de l’empereur et des communes. Il montre, ville après ville (Bologne, Orvieto, Viterbe), par quels moyens la papauté parvint à imposer ses insignes</w:t>
      </w:r>
      <w:r w:rsidR="00397049">
        <w:rPr>
          <w:bCs/>
        </w:rPr>
        <w:t> </w:t>
      </w:r>
      <w:r w:rsidR="00397049" w:rsidRPr="00AB6A3C">
        <w:rPr>
          <w:bCs/>
        </w:rPr>
        <w:t>:</w:t>
      </w:r>
      <w:r w:rsidRPr="00AB6A3C">
        <w:rPr>
          <w:bCs/>
        </w:rPr>
        <w:t xml:space="preserve"> apposition sur les monuments, concessions d’armoiries (premier exemple connu pour la ville de Viterbe au début du pontificat de Jean</w:t>
      </w:r>
      <w:r w:rsidR="00603851">
        <w:rPr>
          <w:bCs/>
        </w:rPr>
        <w:t> </w:t>
      </w:r>
      <w:r w:rsidRPr="00AB6A3C">
        <w:rPr>
          <w:bCs/>
        </w:rPr>
        <w:t>XXII, pape de 1316 à 1334</w:t>
      </w:r>
      <w:r w:rsidR="00BE5251">
        <w:rPr>
          <w:bCs/>
        </w:rPr>
        <w:t> </w:t>
      </w:r>
      <w:r w:rsidR="00397049" w:rsidRPr="00AB6A3C">
        <w:rPr>
          <w:bCs/>
        </w:rPr>
        <w:t>;</w:t>
      </w:r>
      <w:r w:rsidRPr="00AB6A3C">
        <w:rPr>
          <w:bCs/>
        </w:rPr>
        <w:t xml:space="preserve"> plus tard, Salon-de-Provence qui reçoit des armes d’Innocent</w:t>
      </w:r>
      <w:r w:rsidR="00603851">
        <w:rPr>
          <w:bCs/>
        </w:rPr>
        <w:t> </w:t>
      </w:r>
      <w:r w:rsidRPr="00AB6A3C">
        <w:rPr>
          <w:bCs/>
        </w:rPr>
        <w:t>VIII en 1488 après avoir refusé celles de l’Empire, du roi ou de son évêque). Le cas pontifical reste une exception du fait de la spécificité de l’institution ecclésiale.</w:t>
      </w:r>
      <w:r>
        <w:rPr>
          <w:bCs/>
        </w:rPr>
        <w:t xml:space="preserve"> </w:t>
      </w:r>
    </w:p>
    <w:p w14:paraId="0F552B04" w14:textId="552855CD" w:rsidR="000807FB" w:rsidRDefault="000807FB" w:rsidP="003D33AD">
      <w:r w:rsidRPr="00AB6A3C">
        <w:t>Emmanuel Moureau (</w:t>
      </w:r>
      <w:r w:rsidR="00192ECA">
        <w:t>u</w:t>
      </w:r>
      <w:r w:rsidRPr="00AB6A3C">
        <w:t xml:space="preserve">niversité de Toulouse, conservateur Tarn-et-Garonne) nous emmène </w:t>
      </w:r>
      <w:r>
        <w:t xml:space="preserve">ensuite </w:t>
      </w:r>
      <w:r w:rsidRPr="00AB6A3C">
        <w:t>dans la collégiale Saint-Jean-Baptiste</w:t>
      </w:r>
      <w:r w:rsidR="00192ECA">
        <w:t>/</w:t>
      </w:r>
      <w:r w:rsidRPr="00AB6A3C">
        <w:t>Saint-Louis de Castelnau-Bretenoux (Quercy). Après avoir reconstitué l’histoire de ses liens avec la famille de Castelnau¸ il en élucide le décor, rejetant certaines idées admises pour aboutir à un vitrail représentant le pape Jules</w:t>
      </w:r>
      <w:r w:rsidR="00603851">
        <w:t> </w:t>
      </w:r>
      <w:r w:rsidRPr="00AB6A3C">
        <w:t>II Della Rovere sous les traits de saint Jules</w:t>
      </w:r>
      <w:r w:rsidR="00603851">
        <w:t> </w:t>
      </w:r>
      <w:r w:rsidRPr="00AB6A3C">
        <w:t>I</w:t>
      </w:r>
      <w:r w:rsidRPr="00AB6A3C">
        <w:rPr>
          <w:vertAlign w:val="superscript"/>
        </w:rPr>
        <w:t>er</w:t>
      </w:r>
      <w:r w:rsidRPr="00AB6A3C">
        <w:t>, qui avait confirmé l’érection de la collégiale, et le cardinal François-Guillaume de Clermont-Lodève, cousin des Castelnau, ambassadeur de Louis</w:t>
      </w:r>
      <w:r w:rsidR="00603851">
        <w:t> </w:t>
      </w:r>
      <w:r w:rsidRPr="00AB6A3C">
        <w:t>XII auprès du même Jules</w:t>
      </w:r>
      <w:r w:rsidR="00603851">
        <w:t> </w:t>
      </w:r>
      <w:r w:rsidRPr="00AB6A3C">
        <w:t xml:space="preserve">II, sous les traits de saint Jérôme. Les stalles illustrent le blason des deux personnages, feuilles de </w:t>
      </w:r>
      <w:r>
        <w:t>rouvr</w:t>
      </w:r>
      <w:r w:rsidRPr="00AB6A3C">
        <w:t>e parlantes pour les La</w:t>
      </w:r>
      <w:r w:rsidR="00192ECA">
        <w:t> </w:t>
      </w:r>
      <w:r w:rsidRPr="00AB6A3C">
        <w:t xml:space="preserve">Rovere et hermine pour les Clermont-Lodève. </w:t>
      </w:r>
    </w:p>
    <w:p w14:paraId="515FED6D" w14:textId="118AA6B0" w:rsidR="000807FB" w:rsidRPr="00781BBC" w:rsidRDefault="000807FB" w:rsidP="003D33AD">
      <w:r w:rsidRPr="00AB6A3C">
        <w:t xml:space="preserve">Camille </w:t>
      </w:r>
      <w:proofErr w:type="spellStart"/>
      <w:r w:rsidRPr="00AB6A3C">
        <w:t>Larraz</w:t>
      </w:r>
      <w:proofErr w:type="spellEnd"/>
      <w:r w:rsidRPr="00AB6A3C">
        <w:t xml:space="preserve"> (</w:t>
      </w:r>
      <w:r w:rsidR="00192ECA">
        <w:t>u</w:t>
      </w:r>
      <w:r w:rsidRPr="00AB6A3C">
        <w:t xml:space="preserve">niversité de Genève) </w:t>
      </w:r>
      <w:r>
        <w:t xml:space="preserve">s’intéresse pour sa part au monument éphémère, en </w:t>
      </w:r>
      <w:r w:rsidRPr="00AB6A3C">
        <w:t>étudi</w:t>
      </w:r>
      <w:r>
        <w:t>ant</w:t>
      </w:r>
      <w:r w:rsidRPr="00AB6A3C">
        <w:t xml:space="preserve"> l’entrée du cardinal Alexandre Farnèse, légat à Avignon en 1553, </w:t>
      </w:r>
      <w:r>
        <w:t xml:space="preserve">elle </w:t>
      </w:r>
      <w:r w:rsidRPr="00AB6A3C">
        <w:t>montr</w:t>
      </w:r>
      <w:r>
        <w:t>e</w:t>
      </w:r>
      <w:r w:rsidRPr="00AB6A3C">
        <w:t xml:space="preserve"> la place de l’héraldique </w:t>
      </w:r>
      <w:r w:rsidRPr="00AB6A3C">
        <w:lastRenderedPageBreak/>
        <w:t xml:space="preserve">dans l’image d’une </w:t>
      </w:r>
      <w:r w:rsidR="00397049">
        <w:t>«</w:t>
      </w:r>
      <w:r w:rsidR="00603851">
        <w:t> </w:t>
      </w:r>
      <w:r w:rsidRPr="00AB6A3C">
        <w:t>autre Rome</w:t>
      </w:r>
      <w:r w:rsidR="00603851">
        <w:t> </w:t>
      </w:r>
      <w:r w:rsidR="00397049" w:rsidRPr="00AB6A3C">
        <w:t>»</w:t>
      </w:r>
      <w:r w:rsidRPr="00AB6A3C">
        <w:t>. Les entrées sont à la mode, la bibliographie abondante</w:t>
      </w:r>
      <w:r w:rsidRPr="00AB6A3C">
        <w:rPr>
          <w:rStyle w:val="Appelnotedebasdep"/>
          <w:rFonts w:ascii="Times New Roman" w:hAnsi="Times New Roman" w:cs="Times New Roman"/>
          <w:bCs/>
          <w:sz w:val="24"/>
          <w:szCs w:val="24"/>
        </w:rPr>
        <w:footnoteReference w:id="4"/>
      </w:r>
      <w:r w:rsidRPr="00AB6A3C">
        <w:t xml:space="preserve">, mais on a surtout privilégié les entrées royales. Le mérite de Camille </w:t>
      </w:r>
      <w:proofErr w:type="spellStart"/>
      <w:r w:rsidRPr="00AB6A3C">
        <w:t>Larraz</w:t>
      </w:r>
      <w:proofErr w:type="spellEnd"/>
      <w:r w:rsidRPr="00AB6A3C">
        <w:t xml:space="preserve"> est de se pencher sur le cas d’une ville pontificale. Les documents d’archive</w:t>
      </w:r>
      <w:r w:rsidR="00603851">
        <w:t>s</w:t>
      </w:r>
      <w:r w:rsidRPr="00AB6A3C">
        <w:t xml:space="preserve"> éclairent précisément le rôle des peintres en blason sous l’aspect le plus matériel (fourniture en pigments, ingrédients de la peinture, l’or et ses substituts</w:t>
      </w:r>
      <w:r w:rsidR="00603851">
        <w:t>, etc.</w:t>
      </w:r>
      <w:r w:rsidRPr="00AB6A3C">
        <w:t>), pour non moins de 1</w:t>
      </w:r>
      <w:r w:rsidR="00EA7A15">
        <w:t> </w:t>
      </w:r>
      <w:r w:rsidRPr="00AB6A3C">
        <w:t>250</w:t>
      </w:r>
      <w:r w:rsidR="00603851">
        <w:t> </w:t>
      </w:r>
      <w:r w:rsidRPr="00AB6A3C">
        <w:t xml:space="preserve">armoiries. Elle met à profit le premier livret publié pour ce genre de cérémonie à Avignon par Honoré Henry, qui lui permet de détailler le programme. Elle étend ensuite l’analyse à deux gravures pour des ouvrages du siècle suivant déployant l’héraldique des papes, des légats et de la ville dans le contexte de </w:t>
      </w:r>
      <w:r w:rsidR="00397049">
        <w:t>«</w:t>
      </w:r>
      <w:r w:rsidR="00BE5251">
        <w:t> </w:t>
      </w:r>
      <w:r w:rsidRPr="00AB6A3C">
        <w:t>l’autre Rome</w:t>
      </w:r>
      <w:r w:rsidR="00BE5251">
        <w:t> </w:t>
      </w:r>
      <w:r w:rsidR="00397049" w:rsidRPr="00AB6A3C">
        <w:t>»</w:t>
      </w:r>
      <w:r w:rsidRPr="00AB6A3C">
        <w:t xml:space="preserve">, la première faisant probablement référence à l’entrée du cardinal et archevêque François </w:t>
      </w:r>
      <w:proofErr w:type="spellStart"/>
      <w:r w:rsidRPr="00AB6A3C">
        <w:t>Bordini</w:t>
      </w:r>
      <w:proofErr w:type="spellEnd"/>
      <w:r w:rsidRPr="00AB6A3C">
        <w:t xml:space="preserve"> en 1598. </w:t>
      </w:r>
    </w:p>
    <w:p w14:paraId="6824588B" w14:textId="58068470" w:rsidR="000807FB" w:rsidRDefault="000807FB" w:rsidP="003D33AD">
      <w:r w:rsidRPr="00AB6A3C">
        <w:t xml:space="preserve">Le </w:t>
      </w:r>
      <w:r w:rsidR="00397049">
        <w:t>p</w:t>
      </w:r>
      <w:r w:rsidRPr="00AB6A3C">
        <w:t xml:space="preserve">ère Rocco </w:t>
      </w:r>
      <w:proofErr w:type="spellStart"/>
      <w:r w:rsidRPr="00AB6A3C">
        <w:t>Ronzani</w:t>
      </w:r>
      <w:proofErr w:type="spellEnd"/>
      <w:r w:rsidRPr="00AB6A3C">
        <w:t xml:space="preserve"> (</w:t>
      </w:r>
      <w:r w:rsidR="00192ECA">
        <w:t>u</w:t>
      </w:r>
      <w:r w:rsidRPr="00AB6A3C">
        <w:t>niversité du Latran)</w:t>
      </w:r>
      <w:r w:rsidR="00192ECA">
        <w:t>,</w:t>
      </w:r>
      <w:r w:rsidRPr="00AB6A3C">
        <w:t xml:space="preserve"> </w:t>
      </w:r>
      <w:r>
        <w:t>revient</w:t>
      </w:r>
      <w:r w:rsidRPr="00AB6A3C">
        <w:t xml:space="preserve"> à Rome pour </w:t>
      </w:r>
      <w:r>
        <w:t xml:space="preserve">nous faire </w:t>
      </w:r>
      <w:r w:rsidRPr="00AB6A3C">
        <w:t xml:space="preserve">visiter son église de Sainte-Prisca. Il retrace l’histoire du monument s’arrêtant au cardinal du titre presbytéral de 1599 à 1611, Benedetto </w:t>
      </w:r>
      <w:proofErr w:type="spellStart"/>
      <w:r w:rsidRPr="00AB6A3C">
        <w:t>Giustiniani</w:t>
      </w:r>
      <w:proofErr w:type="spellEnd"/>
      <w:r w:rsidRPr="00AB6A3C">
        <w:t>, qui commanda des travaux de restauration pour le jubilé de 1600. Son écu</w:t>
      </w:r>
      <w:r w:rsidR="00603851">
        <w:t>,</w:t>
      </w:r>
      <w:r w:rsidRPr="00AB6A3C">
        <w:t xml:space="preserve"> coupé d’une tour et d’une aigle</w:t>
      </w:r>
      <w:r w:rsidR="00603851">
        <w:t>,</w:t>
      </w:r>
      <w:r w:rsidRPr="00AB6A3C">
        <w:t xml:space="preserve"> orne l’église comme la crypte, sous sa forme complète ou ses meubles séparés. Il en est de même pour le pape Sixte Quint qui l’avait élevé à la pourpre en 1586 et dont il portait les armes en chef. On voit aussi celles de Clément</w:t>
      </w:r>
      <w:r w:rsidR="00603851">
        <w:t> </w:t>
      </w:r>
      <w:r w:rsidRPr="00AB6A3C">
        <w:t xml:space="preserve">VIII Aldobrandini qui l’avait créé titulaire de Sainte-Prisca en 1599. C’est donc la biographie de Benedetto </w:t>
      </w:r>
      <w:proofErr w:type="spellStart"/>
      <w:r w:rsidRPr="00AB6A3C">
        <w:t>Giustiniani</w:t>
      </w:r>
      <w:proofErr w:type="spellEnd"/>
      <w:r w:rsidRPr="00AB6A3C">
        <w:t xml:space="preserve"> qui </w:t>
      </w:r>
      <w:r>
        <w:t>se monumentalise</w:t>
      </w:r>
      <w:r w:rsidRPr="00AB6A3C">
        <w:t xml:space="preserve"> par le blason. Les armes d’autres papes </w:t>
      </w:r>
      <w:r w:rsidR="00C35197">
        <w:t xml:space="preserve">y </w:t>
      </w:r>
      <w:r w:rsidRPr="00AB6A3C">
        <w:t>figurent aussi, en lien avec des phases de restauration</w:t>
      </w:r>
      <w:r w:rsidR="00C35197">
        <w:t xml:space="preserve"> </w:t>
      </w:r>
      <w:r w:rsidRPr="00AB6A3C">
        <w:t>d</w:t>
      </w:r>
      <w:r>
        <w:t>e l’église</w:t>
      </w:r>
      <w:r w:rsidR="00397049">
        <w:t> </w:t>
      </w:r>
      <w:r w:rsidR="00397049" w:rsidRPr="00AB6A3C">
        <w:t>:</w:t>
      </w:r>
      <w:r w:rsidRPr="00AB6A3C">
        <w:t xml:space="preserve"> Calixte</w:t>
      </w:r>
      <w:r w:rsidR="00603851">
        <w:t> </w:t>
      </w:r>
      <w:r w:rsidRPr="00AB6A3C">
        <w:t>III Borgia (†</w:t>
      </w:r>
      <w:r w:rsidR="00192ECA">
        <w:t> </w:t>
      </w:r>
      <w:r w:rsidRPr="00AB6A3C">
        <w:t>1458), Clément</w:t>
      </w:r>
      <w:r w:rsidR="00603851">
        <w:t> </w:t>
      </w:r>
      <w:r w:rsidRPr="00AB6A3C">
        <w:t xml:space="preserve">XII </w:t>
      </w:r>
      <w:proofErr w:type="spellStart"/>
      <w:r w:rsidRPr="00AB6A3C">
        <w:t>Corsini</w:t>
      </w:r>
      <w:proofErr w:type="spellEnd"/>
      <w:r w:rsidRPr="00AB6A3C">
        <w:t xml:space="preserve"> (†</w:t>
      </w:r>
      <w:r w:rsidR="00192ECA">
        <w:t> </w:t>
      </w:r>
      <w:r w:rsidRPr="00AB6A3C">
        <w:t>1740), ou encore celles de saint Jean</w:t>
      </w:r>
      <w:r w:rsidR="00603851">
        <w:rPr>
          <w:lang w:val="la-Latn"/>
        </w:rPr>
        <w:t> </w:t>
      </w:r>
      <w:r w:rsidRPr="00AB6A3C">
        <w:rPr>
          <w:lang w:val="la-Latn"/>
        </w:rPr>
        <w:t>XXIII</w:t>
      </w:r>
      <w:r w:rsidRPr="00AB6A3C">
        <w:t xml:space="preserve"> (</w:t>
      </w:r>
      <w:r w:rsidR="00192ECA">
        <w:t>† </w:t>
      </w:r>
      <w:r w:rsidRPr="00192ECA">
        <w:rPr>
          <w:rFonts w:cs="Times New Roman"/>
        </w:rPr>
        <w:t>1963</w:t>
      </w:r>
      <w:r w:rsidRPr="00AB6A3C">
        <w:t xml:space="preserve">), cardinal titulaire de 1953 à 1958. </w:t>
      </w:r>
    </w:p>
    <w:p w14:paraId="5565C68E" w14:textId="6766FF78" w:rsidR="000807FB" w:rsidRDefault="000807FB" w:rsidP="003D33AD">
      <w:pPr>
        <w:rPr>
          <w:bCs/>
        </w:rPr>
      </w:pPr>
      <w:r w:rsidRPr="00AB6A3C">
        <w:t xml:space="preserve">Martine Boiteux (École des hautes études en sciences sociales) </w:t>
      </w:r>
      <w:r>
        <w:t>poursuit</w:t>
      </w:r>
      <w:r w:rsidRPr="00AB6A3C">
        <w:t xml:space="preserve"> ces visites par la basilique Saint-Pierre. Elle examine la présence de l’emblématique, </w:t>
      </w:r>
      <w:proofErr w:type="spellStart"/>
      <w:r w:rsidRPr="00AB6A3C">
        <w:t>blasonnante</w:t>
      </w:r>
      <w:proofErr w:type="spellEnd"/>
      <w:r w:rsidRPr="00AB6A3C">
        <w:t xml:space="preserve"> ou non, dans les </w:t>
      </w:r>
      <w:r>
        <w:t>tombeaux</w:t>
      </w:r>
      <w:r w:rsidRPr="00AB6A3C">
        <w:t xml:space="preserve">, notamment </w:t>
      </w:r>
      <w:r>
        <w:t xml:space="preserve">ceux de </w:t>
      </w:r>
      <w:r w:rsidRPr="00AB6A3C">
        <w:t>trois femmes</w:t>
      </w:r>
      <w:r w:rsidR="00397049">
        <w:t> </w:t>
      </w:r>
      <w:r w:rsidR="00397049" w:rsidRPr="00AB6A3C">
        <w:t>:</w:t>
      </w:r>
      <w:r w:rsidRPr="00AB6A3C">
        <w:t xml:space="preserve"> Mathilde de</w:t>
      </w:r>
      <w:r w:rsidR="00603851">
        <w:t> </w:t>
      </w:r>
      <w:r w:rsidRPr="00AB6A3C">
        <w:t xml:space="preserve">Canossa, Christine de Suède, Clémentine </w:t>
      </w:r>
      <w:proofErr w:type="spellStart"/>
      <w:r w:rsidRPr="00AB6A3C">
        <w:t>Sobieska</w:t>
      </w:r>
      <w:proofErr w:type="spellEnd"/>
      <w:r w:rsidRPr="00AB6A3C">
        <w:t>.</w:t>
      </w:r>
      <w:r w:rsidRPr="00AB6A3C">
        <w:rPr>
          <w:bCs/>
        </w:rPr>
        <w:t xml:space="preserve"> Grâce aux témoignages visuels, elle restitue l’emblématique des cérémonies en temps de </w:t>
      </w:r>
      <w:proofErr w:type="gramStart"/>
      <w:r w:rsidRPr="00AB6A3C">
        <w:rPr>
          <w:bCs/>
        </w:rPr>
        <w:t>vacance</w:t>
      </w:r>
      <w:proofErr w:type="gramEnd"/>
      <w:r w:rsidRPr="00AB6A3C">
        <w:rPr>
          <w:bCs/>
        </w:rPr>
        <w:t xml:space="preserve"> du trône, elle peut être héraldique (funérailles, conclave, investiture, </w:t>
      </w:r>
      <w:proofErr w:type="spellStart"/>
      <w:r w:rsidRPr="00AB6A3C">
        <w:rPr>
          <w:bCs/>
          <w:i/>
          <w:iCs/>
        </w:rPr>
        <w:t>possesso</w:t>
      </w:r>
      <w:proofErr w:type="spellEnd"/>
      <w:r w:rsidRPr="00AB6A3C">
        <w:rPr>
          <w:bCs/>
        </w:rPr>
        <w:t xml:space="preserve">) ou non (cortège funèbre). Il en est de même pour l’exercice du pouvoir, le blason est absent de la fête de la </w:t>
      </w:r>
      <w:r w:rsidRPr="00AB6A3C">
        <w:rPr>
          <w:bCs/>
          <w:i/>
          <w:iCs/>
        </w:rPr>
        <w:t>Croce luminosa</w:t>
      </w:r>
      <w:r w:rsidRPr="00AB6A3C">
        <w:rPr>
          <w:bCs/>
        </w:rPr>
        <w:t xml:space="preserve">, mais il peut être présent aux canonisations et béatifications. Il est absent des témoignages visuels consultés pour la fête de la </w:t>
      </w:r>
      <w:proofErr w:type="spellStart"/>
      <w:r w:rsidRPr="00AB6A3C">
        <w:rPr>
          <w:bCs/>
          <w:i/>
          <w:iCs/>
        </w:rPr>
        <w:t>Chinea</w:t>
      </w:r>
      <w:proofErr w:type="spellEnd"/>
      <w:r w:rsidRPr="00AB6A3C">
        <w:rPr>
          <w:bCs/>
        </w:rPr>
        <w:t xml:space="preserve"> (présentation au pape d’une jument blanche en signe d’hommage du royaume </w:t>
      </w:r>
      <w:r w:rsidRPr="00AB6A3C">
        <w:rPr>
          <w:bCs/>
        </w:rPr>
        <w:lastRenderedPageBreak/>
        <w:t xml:space="preserve">de Naples) aux </w:t>
      </w:r>
      <w:proofErr w:type="spellStart"/>
      <w:r w:rsidR="00C35197" w:rsidRPr="00C35197">
        <w:rPr>
          <w:bCs/>
          <w:smallCaps/>
        </w:rPr>
        <w:t>xvii</w:t>
      </w:r>
      <w:r w:rsidRPr="00AB6A3C">
        <w:rPr>
          <w:bCs/>
          <w:vertAlign w:val="superscript"/>
        </w:rPr>
        <w:t>e</w:t>
      </w:r>
      <w:proofErr w:type="spellEnd"/>
      <w:r w:rsidRPr="00AB6A3C">
        <w:rPr>
          <w:bCs/>
        </w:rPr>
        <w:t xml:space="preserve"> et </w:t>
      </w:r>
      <w:proofErr w:type="spellStart"/>
      <w:r w:rsidR="00C35197" w:rsidRPr="00C35197">
        <w:rPr>
          <w:bCs/>
          <w:smallCaps/>
        </w:rPr>
        <w:t>xviii</w:t>
      </w:r>
      <w:r w:rsidRPr="00AB6A3C">
        <w:rPr>
          <w:bCs/>
          <w:vertAlign w:val="superscript"/>
        </w:rPr>
        <w:t>e</w:t>
      </w:r>
      <w:proofErr w:type="spellEnd"/>
      <w:r w:rsidR="00603851">
        <w:rPr>
          <w:bCs/>
        </w:rPr>
        <w:t> </w:t>
      </w:r>
      <w:r w:rsidRPr="00AB6A3C">
        <w:rPr>
          <w:bCs/>
        </w:rPr>
        <w:t>siècles</w:t>
      </w:r>
      <w:r w:rsidRPr="00AB6A3C">
        <w:rPr>
          <w:rStyle w:val="Appelnotedebasdep"/>
          <w:rFonts w:ascii="Times New Roman" w:hAnsi="Times New Roman" w:cs="Times New Roman"/>
          <w:bCs/>
          <w:sz w:val="24"/>
          <w:szCs w:val="24"/>
        </w:rPr>
        <w:footnoteReference w:id="5"/>
      </w:r>
      <w:r w:rsidRPr="00AB6A3C">
        <w:rPr>
          <w:bCs/>
        </w:rPr>
        <w:t xml:space="preserve">. Il est présent dans l’accueil des personnalités. Ce jeu de présence et d’absence s’explique par le dialogue </w:t>
      </w:r>
      <w:r>
        <w:rPr>
          <w:bCs/>
        </w:rPr>
        <w:t>entre</w:t>
      </w:r>
      <w:r w:rsidRPr="00AB6A3C">
        <w:rPr>
          <w:bCs/>
        </w:rPr>
        <w:t xml:space="preserve"> la gloire mondaine et l’humilité chrétienne sur lequel repose l’exercice même de la papauté</w:t>
      </w:r>
      <w:r w:rsidRPr="00AB6A3C">
        <w:rPr>
          <w:rStyle w:val="Appelnotedebasdep"/>
          <w:rFonts w:ascii="Times New Roman" w:hAnsi="Times New Roman" w:cs="Times New Roman"/>
          <w:bCs/>
          <w:sz w:val="24"/>
          <w:szCs w:val="24"/>
        </w:rPr>
        <w:footnoteReference w:id="6"/>
      </w:r>
      <w:r w:rsidRPr="00AB6A3C">
        <w:rPr>
          <w:bCs/>
        </w:rPr>
        <w:t xml:space="preserve">. </w:t>
      </w:r>
    </w:p>
    <w:p w14:paraId="3C7F0B4E" w14:textId="5BB96A1E" w:rsidR="000807FB" w:rsidRDefault="000807FB" w:rsidP="003D33AD">
      <w:r>
        <w:t>L’héraldique n’était pas réservée aux lieux de culte. On peut même dire que son origine laïque la destinait d’abord à l’espace profane.</w:t>
      </w:r>
      <w:r w:rsidRPr="00781BBC">
        <w:t xml:space="preserve"> </w:t>
      </w:r>
      <w:r>
        <w:t xml:space="preserve">Nous l’avons vu avec Camille </w:t>
      </w:r>
      <w:proofErr w:type="spellStart"/>
      <w:r>
        <w:t>Larraz</w:t>
      </w:r>
      <w:proofErr w:type="spellEnd"/>
      <w:r>
        <w:t xml:space="preserve">, nous le voyons à nouveau avec </w:t>
      </w:r>
      <w:r w:rsidRPr="00781BBC">
        <w:t xml:space="preserve">Frédéric </w:t>
      </w:r>
      <w:proofErr w:type="spellStart"/>
      <w:r w:rsidRPr="00781BBC">
        <w:t>Cousinié</w:t>
      </w:r>
      <w:proofErr w:type="spellEnd"/>
      <w:r w:rsidRPr="00781BBC">
        <w:t xml:space="preserve"> (</w:t>
      </w:r>
      <w:r w:rsidR="00C35197">
        <w:t>u</w:t>
      </w:r>
      <w:r w:rsidRPr="00781BBC">
        <w:t>niversité de Rouen)</w:t>
      </w:r>
      <w:r>
        <w:t xml:space="preserve">. Il </w:t>
      </w:r>
      <w:r w:rsidRPr="00781BBC">
        <w:t xml:space="preserve">examine les apothéoses armoriales dans </w:t>
      </w:r>
      <w:r>
        <w:t>les palais</w:t>
      </w:r>
      <w:r w:rsidRPr="00781BBC">
        <w:t xml:space="preserve"> des grandes familles </w:t>
      </w:r>
      <w:r>
        <w:t>pontificales</w:t>
      </w:r>
      <w:r w:rsidR="00397049">
        <w:t> </w:t>
      </w:r>
      <w:r w:rsidR="00397049" w:rsidRPr="00781BBC">
        <w:t>:</w:t>
      </w:r>
      <w:r w:rsidRPr="00781BBC">
        <w:t xml:space="preserve"> </w:t>
      </w:r>
      <w:proofErr w:type="spellStart"/>
      <w:r w:rsidRPr="00781BBC">
        <w:t>Ludovisi</w:t>
      </w:r>
      <w:proofErr w:type="spellEnd"/>
      <w:r w:rsidRPr="00781BBC">
        <w:t xml:space="preserve"> (par Giovanni Luigi </w:t>
      </w:r>
      <w:proofErr w:type="spellStart"/>
      <w:r w:rsidRPr="00781BBC">
        <w:t>Valesio</w:t>
      </w:r>
      <w:proofErr w:type="spellEnd"/>
      <w:r w:rsidRPr="00781BBC">
        <w:t>, artiste bolonais fort inventif en matière de blason), Barberini (par Pietro da</w:t>
      </w:r>
      <w:r w:rsidR="00603851">
        <w:t> </w:t>
      </w:r>
      <w:r w:rsidRPr="00781BBC">
        <w:t xml:space="preserve">Cortona, comparée à la salle de Mars Médicis au palais des Offices à Florence, du même), </w:t>
      </w:r>
      <w:proofErr w:type="spellStart"/>
      <w:r w:rsidRPr="00781BBC">
        <w:t>Altieri</w:t>
      </w:r>
      <w:proofErr w:type="spellEnd"/>
      <w:r w:rsidRPr="00781BBC">
        <w:t xml:space="preserve"> (par Carlo </w:t>
      </w:r>
      <w:proofErr w:type="spellStart"/>
      <w:r w:rsidRPr="00781BBC">
        <w:t>Maratta</w:t>
      </w:r>
      <w:proofErr w:type="spellEnd"/>
      <w:r w:rsidRPr="00781BBC">
        <w:t>). Il s’attache surtout à la salle Clémentine du</w:t>
      </w:r>
      <w:r w:rsidR="00603851">
        <w:t> </w:t>
      </w:r>
      <w:r w:rsidRPr="00781BBC">
        <w:t>Vatican, exécutée par les frères Alberti pour Clément</w:t>
      </w:r>
      <w:r w:rsidR="00603851">
        <w:t> </w:t>
      </w:r>
      <w:r w:rsidRPr="00781BBC">
        <w:t>VIII Aldobrandini. Il établit une typologie de ces représentations</w:t>
      </w:r>
      <w:r w:rsidR="00397049">
        <w:t> </w:t>
      </w:r>
      <w:r w:rsidR="00397049" w:rsidRPr="00781BBC">
        <w:t>:</w:t>
      </w:r>
      <w:r w:rsidRPr="00781BBC">
        <w:t xml:space="preserve"> monumentalisation ou amplification, soutien ou élévation par des anges (</w:t>
      </w:r>
      <w:r w:rsidRPr="00781BBC">
        <w:rPr>
          <w:i/>
          <w:iCs/>
        </w:rPr>
        <w:t xml:space="preserve">stemma in </w:t>
      </w:r>
      <w:proofErr w:type="spellStart"/>
      <w:r w:rsidRPr="00781BBC">
        <w:rPr>
          <w:i/>
          <w:iCs/>
        </w:rPr>
        <w:t>arrivo</w:t>
      </w:r>
      <w:proofErr w:type="spellEnd"/>
      <w:r w:rsidRPr="00781BBC">
        <w:rPr>
          <w:i/>
          <w:iCs/>
        </w:rPr>
        <w:t xml:space="preserve">, stemma in </w:t>
      </w:r>
      <w:proofErr w:type="spellStart"/>
      <w:r w:rsidRPr="00781BBC">
        <w:rPr>
          <w:i/>
          <w:iCs/>
        </w:rPr>
        <w:t>partenza</w:t>
      </w:r>
      <w:proofErr w:type="spellEnd"/>
      <w:r w:rsidRPr="00781BBC">
        <w:t>), extraction et dissémination des meubles, animation-activation des objets</w:t>
      </w:r>
      <w:r w:rsidR="00C35197">
        <w:t xml:space="preserve"> et</w:t>
      </w:r>
      <w:r w:rsidRPr="00781BBC">
        <w:t xml:space="preserve"> </w:t>
      </w:r>
      <w:r w:rsidR="00397049">
        <w:t>«</w:t>
      </w:r>
      <w:r w:rsidR="00BE5251">
        <w:t> </w:t>
      </w:r>
      <w:r w:rsidRPr="00781BBC">
        <w:t>transformisme</w:t>
      </w:r>
      <w:r w:rsidR="00BE5251">
        <w:t> </w:t>
      </w:r>
      <w:r w:rsidR="00397049" w:rsidRPr="00781BBC">
        <w:t>»</w:t>
      </w:r>
      <w:r w:rsidRPr="00781BBC">
        <w:t xml:space="preserve">. L’effet produit sur le spectateur nous convainc que l’héraldique constitue l’un des moyens d’expression privilégiés du </w:t>
      </w:r>
      <w:r w:rsidR="00397049">
        <w:t>«</w:t>
      </w:r>
      <w:r w:rsidR="00BE5251">
        <w:t> </w:t>
      </w:r>
      <w:r w:rsidRPr="00781BBC">
        <w:t>baroque</w:t>
      </w:r>
      <w:r w:rsidR="00BE5251">
        <w:t> </w:t>
      </w:r>
      <w:r w:rsidR="00397049" w:rsidRPr="00781BBC">
        <w:t>»</w:t>
      </w:r>
      <w:r>
        <w:t>, où finalement s’annule la distinction entre sacré et profane</w:t>
      </w:r>
      <w:r w:rsidRPr="00781BBC">
        <w:t>.</w:t>
      </w:r>
    </w:p>
    <w:p w14:paraId="6CAEBC56" w14:textId="0F18935A" w:rsidR="003110FD" w:rsidRPr="003D33AD" w:rsidRDefault="000807FB" w:rsidP="00183B41">
      <w:pPr>
        <w:pStyle w:val="TEIauthoraut"/>
      </w:pPr>
      <w:r w:rsidRPr="00AB6A3C">
        <w:t xml:space="preserve">Yvan </w:t>
      </w:r>
      <w:proofErr w:type="spellStart"/>
      <w:r w:rsidRPr="00AB6A3C">
        <w:t>Loskoutoff</w:t>
      </w:r>
      <w:proofErr w:type="spellEnd"/>
    </w:p>
    <w:sectPr w:rsidR="003110FD" w:rsidRPr="003D33A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48456" w14:textId="77777777" w:rsidR="000807FB" w:rsidRDefault="000807FB" w:rsidP="000807FB">
      <w:pPr>
        <w:spacing w:after="0" w:line="240" w:lineRule="auto"/>
      </w:pPr>
      <w:r>
        <w:separator/>
      </w:r>
    </w:p>
  </w:endnote>
  <w:endnote w:type="continuationSeparator" w:id="0">
    <w:p w14:paraId="7230101B" w14:textId="77777777" w:rsidR="000807FB" w:rsidRDefault="000807FB" w:rsidP="00080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6F771" w14:textId="77777777" w:rsidR="000807FB" w:rsidRDefault="000807FB" w:rsidP="000807FB">
      <w:pPr>
        <w:spacing w:after="0" w:line="240" w:lineRule="auto"/>
      </w:pPr>
      <w:r>
        <w:separator/>
      </w:r>
    </w:p>
  </w:footnote>
  <w:footnote w:type="continuationSeparator" w:id="0">
    <w:p w14:paraId="484B4416" w14:textId="77777777" w:rsidR="000807FB" w:rsidRDefault="000807FB" w:rsidP="000807FB">
      <w:pPr>
        <w:spacing w:after="0" w:line="240" w:lineRule="auto"/>
      </w:pPr>
      <w:r>
        <w:continuationSeparator/>
      </w:r>
    </w:p>
  </w:footnote>
  <w:footnote w:id="1">
    <w:p w14:paraId="662775BA" w14:textId="23608011" w:rsidR="000807FB" w:rsidRPr="00240950" w:rsidRDefault="000807FB" w:rsidP="003D33AD">
      <w:pPr>
        <w:pStyle w:val="Notedebasdepage"/>
      </w:pPr>
      <w:r w:rsidRPr="00240950">
        <w:rPr>
          <w:rStyle w:val="Appelnotedebasdep"/>
          <w:rFonts w:ascii="Times New Roman" w:hAnsi="Times New Roman" w:cs="Times New Roman"/>
        </w:rPr>
        <w:footnoteRef/>
      </w:r>
      <w:r w:rsidRPr="00240950">
        <w:t xml:space="preserve"> André Chastel, </w:t>
      </w:r>
      <w:r w:rsidRPr="00240950">
        <w:rPr>
          <w:i/>
          <w:iCs/>
        </w:rPr>
        <w:t xml:space="preserve">La </w:t>
      </w:r>
      <w:proofErr w:type="spellStart"/>
      <w:r w:rsidRPr="00240950">
        <w:rPr>
          <w:i/>
          <w:iCs/>
        </w:rPr>
        <w:t>grot</w:t>
      </w:r>
      <w:r w:rsidR="00603851">
        <w:rPr>
          <w:i/>
          <w:iCs/>
        </w:rPr>
        <w:t>t</w:t>
      </w:r>
      <w:r w:rsidRPr="00240950">
        <w:rPr>
          <w:i/>
          <w:iCs/>
        </w:rPr>
        <w:t>esque</w:t>
      </w:r>
      <w:proofErr w:type="spellEnd"/>
      <w:r w:rsidRPr="00240950">
        <w:t>, Paris, Le Promeneur, 1988.</w:t>
      </w:r>
    </w:p>
  </w:footnote>
  <w:footnote w:id="2">
    <w:p w14:paraId="25FBBCD8" w14:textId="6FC8432E" w:rsidR="000807FB" w:rsidRPr="003D33AD" w:rsidRDefault="000807FB" w:rsidP="000807FB">
      <w:pPr>
        <w:pStyle w:val="Notedebasdepage"/>
      </w:pPr>
      <w:r w:rsidRPr="00240950">
        <w:rPr>
          <w:rStyle w:val="Appelnotedebasdep"/>
        </w:rPr>
        <w:footnoteRef/>
      </w:r>
      <w:r w:rsidRPr="00240950">
        <w:t xml:space="preserve"> Yvan </w:t>
      </w:r>
      <w:proofErr w:type="spellStart"/>
      <w:r w:rsidRPr="00240950">
        <w:t>Loskoutoff</w:t>
      </w:r>
      <w:proofErr w:type="spellEnd"/>
      <w:r w:rsidRPr="00240950">
        <w:t xml:space="preserve">, </w:t>
      </w:r>
      <w:r w:rsidR="00397049">
        <w:t>«</w:t>
      </w:r>
      <w:r w:rsidR="00BE5251">
        <w:t> </w:t>
      </w:r>
      <w:r w:rsidRPr="00240950">
        <w:t xml:space="preserve">Le symbolisme des </w:t>
      </w:r>
      <w:r w:rsidRPr="00240950">
        <w:rPr>
          <w:i/>
        </w:rPr>
        <w:t>palle</w:t>
      </w:r>
      <w:r w:rsidRPr="00240950">
        <w:t xml:space="preserve"> médicéennes à la villa </w:t>
      </w:r>
      <w:proofErr w:type="spellStart"/>
      <w:r w:rsidRPr="00240950">
        <w:t>Madama</w:t>
      </w:r>
      <w:proofErr w:type="spellEnd"/>
      <w:r w:rsidR="00BE5251">
        <w:t> </w:t>
      </w:r>
      <w:r w:rsidR="00397049" w:rsidRPr="00240950">
        <w:t>»</w:t>
      </w:r>
      <w:r w:rsidRPr="00240950">
        <w:t xml:space="preserve">, </w:t>
      </w:r>
      <w:r w:rsidRPr="00240950">
        <w:rPr>
          <w:i/>
        </w:rPr>
        <w:t>Journal des savants</w:t>
      </w:r>
      <w:r w:rsidRPr="00240950">
        <w:t xml:space="preserve">, </w:t>
      </w:r>
      <w:r w:rsidR="00397049">
        <w:t>n</w:t>
      </w:r>
      <w:r w:rsidR="00397049" w:rsidRPr="00397049">
        <w:rPr>
          <w:vertAlign w:val="superscript"/>
        </w:rPr>
        <w:t>o</w:t>
      </w:r>
      <w:r w:rsidR="00397049">
        <w:t xml:space="preserve"> 2, </w:t>
      </w:r>
      <w:r w:rsidRPr="00240950">
        <w:t>2001, p.</w:t>
      </w:r>
      <w:r w:rsidR="00603851">
        <w:t> </w:t>
      </w:r>
      <w:r w:rsidRPr="00240950">
        <w:t>351-391.</w:t>
      </w:r>
    </w:p>
  </w:footnote>
  <w:footnote w:id="3">
    <w:p w14:paraId="458871CD" w14:textId="4CE8A194" w:rsidR="000807FB" w:rsidRPr="001D6264" w:rsidRDefault="000807FB" w:rsidP="003D33AD">
      <w:pPr>
        <w:pStyle w:val="Notedebasdepage"/>
      </w:pPr>
      <w:r>
        <w:rPr>
          <w:rStyle w:val="Appelnotedebasdep"/>
        </w:rPr>
        <w:footnoteRef/>
      </w:r>
      <w:r>
        <w:t xml:space="preserve"> </w:t>
      </w:r>
      <w:r w:rsidRPr="001D6264">
        <w:t xml:space="preserve">Voir son article, </w:t>
      </w:r>
      <w:r w:rsidR="00397049">
        <w:t>«</w:t>
      </w:r>
      <w:r w:rsidR="00BE5251">
        <w:t> </w:t>
      </w:r>
      <w:r w:rsidRPr="001D6264">
        <w:t>Un partisan de la France en quête de protection</w:t>
      </w:r>
      <w:r w:rsidR="00397049">
        <w:t> </w:t>
      </w:r>
      <w:r w:rsidR="00397049" w:rsidRPr="001D6264">
        <w:t>:</w:t>
      </w:r>
      <w:r w:rsidRPr="001D6264">
        <w:t xml:space="preserve"> ce </w:t>
      </w:r>
      <w:r w:rsidR="00397049">
        <w:t>“</w:t>
      </w:r>
      <w:r w:rsidRPr="001D6264">
        <w:t>bon vieux</w:t>
      </w:r>
      <w:r w:rsidR="00397049">
        <w:t>”</w:t>
      </w:r>
      <w:r w:rsidRPr="001D6264">
        <w:t xml:space="preserve"> chevalier Francesco </w:t>
      </w:r>
      <w:proofErr w:type="spellStart"/>
      <w:r w:rsidRPr="001D6264">
        <w:t>Gualdi</w:t>
      </w:r>
      <w:proofErr w:type="spellEnd"/>
      <w:r w:rsidRPr="001D6264">
        <w:t xml:space="preserve"> et le cardinal Mazari</w:t>
      </w:r>
      <w:r w:rsidR="00397049">
        <w:t>n</w:t>
      </w:r>
      <w:r w:rsidR="00BE5251">
        <w:t> </w:t>
      </w:r>
      <w:r w:rsidR="00397049" w:rsidRPr="001D6264">
        <w:t>»</w:t>
      </w:r>
      <w:r w:rsidRPr="001D6264">
        <w:t xml:space="preserve">, </w:t>
      </w:r>
      <w:r w:rsidR="00B131E0">
        <w:t xml:space="preserve">dans </w:t>
      </w:r>
      <w:r w:rsidRPr="001D6264">
        <w:t xml:space="preserve">Yvan </w:t>
      </w:r>
      <w:proofErr w:type="spellStart"/>
      <w:r w:rsidRPr="001D6264">
        <w:t>Loskoutoff</w:t>
      </w:r>
      <w:proofErr w:type="spellEnd"/>
      <w:r w:rsidRPr="001D6264">
        <w:t xml:space="preserve"> et Patrick Michel (</w:t>
      </w:r>
      <w:proofErr w:type="spellStart"/>
      <w:r w:rsidRPr="001D6264">
        <w:t>dir</w:t>
      </w:r>
      <w:proofErr w:type="spellEnd"/>
      <w:r w:rsidRPr="001D6264">
        <w:t xml:space="preserve">.), </w:t>
      </w:r>
      <w:r w:rsidRPr="001D6264">
        <w:rPr>
          <w:i/>
          <w:iCs/>
        </w:rPr>
        <w:t>Mazarin, Rome et l’Italie</w:t>
      </w:r>
      <w:r w:rsidRPr="00397049">
        <w:t>,</w:t>
      </w:r>
      <w:r w:rsidRPr="001D6264">
        <w:t xml:space="preserve"> Mont-Saint-Aignan, Presses universitaires de Rouen et du Havre, 2021-2022, t.</w:t>
      </w:r>
      <w:r w:rsidR="00603851">
        <w:t> </w:t>
      </w:r>
      <w:r w:rsidRPr="001D6264">
        <w:t>2, p.</w:t>
      </w:r>
      <w:r w:rsidR="00603851">
        <w:t> </w:t>
      </w:r>
      <w:r w:rsidRPr="001D6264">
        <w:t>199-238.</w:t>
      </w:r>
    </w:p>
  </w:footnote>
  <w:footnote w:id="4">
    <w:p w14:paraId="1E829C51" w14:textId="528B7308" w:rsidR="000807FB" w:rsidRPr="00240950" w:rsidRDefault="000807FB" w:rsidP="003D33AD">
      <w:pPr>
        <w:pStyle w:val="Notedebasdepage"/>
      </w:pPr>
      <w:r w:rsidRPr="00240950">
        <w:rPr>
          <w:rStyle w:val="Appelnotedebasdep"/>
          <w:rFonts w:ascii="Times New Roman" w:hAnsi="Times New Roman" w:cs="Times New Roman"/>
        </w:rPr>
        <w:footnoteRef/>
      </w:r>
      <w:r w:rsidRPr="00240950">
        <w:t xml:space="preserve"> Principaux ouvrages</w:t>
      </w:r>
      <w:r w:rsidR="00397049">
        <w:t> </w:t>
      </w:r>
      <w:r w:rsidR="00397049" w:rsidRPr="00240950">
        <w:t>:</w:t>
      </w:r>
      <w:r w:rsidRPr="00240950">
        <w:t xml:space="preserve"> Bernard Guenée et Françoise Lehoux, </w:t>
      </w:r>
      <w:r w:rsidRPr="00240950">
        <w:rPr>
          <w:i/>
          <w:iCs/>
        </w:rPr>
        <w:t>Les entrées royales de 1328 à 1515</w:t>
      </w:r>
      <w:r w:rsidRPr="00240950">
        <w:t>, Paris, CNRS, 1968</w:t>
      </w:r>
      <w:r w:rsidR="00BE5251">
        <w:t> </w:t>
      </w:r>
      <w:r w:rsidR="00397049" w:rsidRPr="00240950">
        <w:t>;</w:t>
      </w:r>
      <w:r w:rsidRPr="00240950">
        <w:t xml:space="preserve"> Christian </w:t>
      </w:r>
      <w:proofErr w:type="spellStart"/>
      <w:r w:rsidRPr="00240950">
        <w:t>Desplat</w:t>
      </w:r>
      <w:proofErr w:type="spellEnd"/>
      <w:r w:rsidRPr="00240950">
        <w:t xml:space="preserve"> et Paul </w:t>
      </w:r>
      <w:proofErr w:type="spellStart"/>
      <w:r w:rsidRPr="00240950">
        <w:t>Mironneau</w:t>
      </w:r>
      <w:proofErr w:type="spellEnd"/>
      <w:r w:rsidRPr="00240950">
        <w:t xml:space="preserve"> (</w:t>
      </w:r>
      <w:proofErr w:type="spellStart"/>
      <w:r w:rsidRPr="00240950">
        <w:t>dir</w:t>
      </w:r>
      <w:proofErr w:type="spellEnd"/>
      <w:r w:rsidRPr="00240950">
        <w:t xml:space="preserve">.), </w:t>
      </w:r>
      <w:r w:rsidRPr="00240950">
        <w:rPr>
          <w:i/>
          <w:iCs/>
        </w:rPr>
        <w:t>Les entrées</w:t>
      </w:r>
      <w:r w:rsidR="00397049">
        <w:rPr>
          <w:i/>
          <w:iCs/>
        </w:rPr>
        <w:t> </w:t>
      </w:r>
      <w:r w:rsidR="00397049" w:rsidRPr="00240950">
        <w:rPr>
          <w:i/>
          <w:iCs/>
        </w:rPr>
        <w:t>:</w:t>
      </w:r>
      <w:r w:rsidRPr="00240950">
        <w:rPr>
          <w:i/>
          <w:iCs/>
        </w:rPr>
        <w:t xml:space="preserve"> gloire et déclin d’un cérémonial</w:t>
      </w:r>
      <w:r w:rsidRPr="00240950">
        <w:t>, actes du colloque de Pau, Biarritz, Société Henri</w:t>
      </w:r>
      <w:r w:rsidR="00603851">
        <w:t> </w:t>
      </w:r>
      <w:r w:rsidRPr="00240950">
        <w:t>IV, 1997</w:t>
      </w:r>
      <w:r w:rsidR="00BE5251">
        <w:t> </w:t>
      </w:r>
      <w:r w:rsidR="00397049" w:rsidRPr="00240950">
        <w:t>;</w:t>
      </w:r>
      <w:r w:rsidRPr="00240950">
        <w:t xml:space="preserve"> Daniel Vaillancourt et Marie-France Wagner (</w:t>
      </w:r>
      <w:proofErr w:type="spellStart"/>
      <w:r w:rsidRPr="00240950">
        <w:t>dir</w:t>
      </w:r>
      <w:proofErr w:type="spellEnd"/>
      <w:r w:rsidRPr="00240950">
        <w:t xml:space="preserve">.), </w:t>
      </w:r>
      <w:r w:rsidR="003F7FA7" w:rsidRPr="003F7FA7">
        <w:rPr>
          <w:i/>
          <w:iCs/>
        </w:rPr>
        <w:t>Dix-septième</w:t>
      </w:r>
      <w:r w:rsidR="003F7FA7">
        <w:rPr>
          <w:i/>
          <w:iCs/>
        </w:rPr>
        <w:t xml:space="preserve"> </w:t>
      </w:r>
      <w:r w:rsidR="003F7FA7" w:rsidRPr="00240950">
        <w:rPr>
          <w:i/>
          <w:iCs/>
        </w:rPr>
        <w:t>siècle</w:t>
      </w:r>
      <w:r w:rsidR="003F7FA7" w:rsidRPr="00240950">
        <w:t xml:space="preserve">, </w:t>
      </w:r>
      <w:r w:rsidR="003F7FA7">
        <w:t xml:space="preserve">numéro spécial : </w:t>
      </w:r>
      <w:r w:rsidR="003F7FA7" w:rsidRPr="00240950">
        <w:rPr>
          <w:i/>
          <w:iCs/>
        </w:rPr>
        <w:t>Les entrées royales</w:t>
      </w:r>
      <w:r w:rsidR="003F7FA7" w:rsidRPr="00240950">
        <w:t xml:space="preserve">, </w:t>
      </w:r>
      <w:r w:rsidR="00397049">
        <w:t>n</w:t>
      </w:r>
      <w:r w:rsidR="00397049" w:rsidRPr="00397049">
        <w:rPr>
          <w:vertAlign w:val="superscript"/>
        </w:rPr>
        <w:t>o</w:t>
      </w:r>
      <w:r w:rsidR="00397049">
        <w:t> </w:t>
      </w:r>
      <w:r w:rsidRPr="00240950">
        <w:t xml:space="preserve">3, 2001. Le GRES (Groupe de recherche sur les entrées solennelles, </w:t>
      </w:r>
      <w:r w:rsidR="00397049">
        <w:t>u</w:t>
      </w:r>
      <w:r w:rsidRPr="00240950">
        <w:t xml:space="preserve">niversité Concordia, Canada) publie des </w:t>
      </w:r>
      <w:r w:rsidRPr="00240950">
        <w:rPr>
          <w:i/>
          <w:iCs/>
        </w:rPr>
        <w:t>Cahiers</w:t>
      </w:r>
      <w:r w:rsidRPr="00240950">
        <w:t>.</w:t>
      </w:r>
    </w:p>
  </w:footnote>
  <w:footnote w:id="5">
    <w:p w14:paraId="13B396E9" w14:textId="2259407E" w:rsidR="000807FB" w:rsidRPr="00240950" w:rsidRDefault="000807FB" w:rsidP="003D33AD">
      <w:pPr>
        <w:pStyle w:val="Notedebasdepage"/>
      </w:pPr>
      <w:r w:rsidRPr="00240950">
        <w:rPr>
          <w:rStyle w:val="Appelnotedebasdep"/>
          <w:rFonts w:ascii="Times New Roman" w:hAnsi="Times New Roman" w:cs="Times New Roman"/>
        </w:rPr>
        <w:footnoteRef/>
      </w:r>
      <w:r w:rsidRPr="00240950">
        <w:t xml:space="preserve"> Certains témoignages écrits signalent pourtant sa présence au </w:t>
      </w:r>
      <w:proofErr w:type="spellStart"/>
      <w:r w:rsidR="00397049" w:rsidRPr="00397049">
        <w:rPr>
          <w:smallCaps/>
        </w:rPr>
        <w:t>xvi</w:t>
      </w:r>
      <w:r w:rsidRPr="00240950">
        <w:rPr>
          <w:vertAlign w:val="superscript"/>
        </w:rPr>
        <w:t>e</w:t>
      </w:r>
      <w:proofErr w:type="spellEnd"/>
      <w:r w:rsidR="00603851" w:rsidRPr="00397049">
        <w:t> </w:t>
      </w:r>
      <w:r w:rsidRPr="00240950">
        <w:t xml:space="preserve">siècle sur le caparaçon de la jument, voir Yvan </w:t>
      </w:r>
      <w:proofErr w:type="spellStart"/>
      <w:r w:rsidRPr="00240950">
        <w:t>Loskoutoff</w:t>
      </w:r>
      <w:proofErr w:type="spellEnd"/>
      <w:r w:rsidRPr="00240950">
        <w:t xml:space="preserve">, </w:t>
      </w:r>
      <w:r w:rsidR="00397049">
        <w:t>«</w:t>
      </w:r>
      <w:r w:rsidR="00BE5251">
        <w:t> </w:t>
      </w:r>
      <w:r w:rsidRPr="00240950">
        <w:t>Introductio</w:t>
      </w:r>
      <w:r w:rsidR="00397049">
        <w:t>n</w:t>
      </w:r>
      <w:r w:rsidR="00BE5251">
        <w:t> </w:t>
      </w:r>
      <w:r w:rsidR="00397049" w:rsidRPr="00240950">
        <w:t>»</w:t>
      </w:r>
      <w:r w:rsidRPr="00240950">
        <w:t>,</w:t>
      </w:r>
      <w:r w:rsidR="003F7FA7">
        <w:t xml:space="preserve"> dans </w:t>
      </w:r>
      <w:r w:rsidR="003F7FA7" w:rsidRPr="00240950">
        <w:t xml:space="preserve">Yvan </w:t>
      </w:r>
      <w:proofErr w:type="spellStart"/>
      <w:r w:rsidR="003F7FA7" w:rsidRPr="00240950">
        <w:t>Loskoutoff</w:t>
      </w:r>
      <w:proofErr w:type="spellEnd"/>
      <w:r w:rsidR="003F7FA7" w:rsidRPr="00240950">
        <w:t xml:space="preserve"> (</w:t>
      </w:r>
      <w:proofErr w:type="spellStart"/>
      <w:r w:rsidR="003F7FA7" w:rsidRPr="00240950">
        <w:t>dir</w:t>
      </w:r>
      <w:proofErr w:type="spellEnd"/>
      <w:r w:rsidR="003F7FA7" w:rsidRPr="00240950">
        <w:t>.),</w:t>
      </w:r>
      <w:r w:rsidRPr="00240950">
        <w:t xml:space="preserve"> </w:t>
      </w:r>
      <w:r w:rsidRPr="00240950">
        <w:rPr>
          <w:i/>
          <w:iCs/>
        </w:rPr>
        <w:t>Héraldique et papauté, Moyen</w:t>
      </w:r>
      <w:r w:rsidR="00397049">
        <w:rPr>
          <w:i/>
          <w:iCs/>
        </w:rPr>
        <w:t> </w:t>
      </w:r>
      <w:r w:rsidRPr="00240950">
        <w:rPr>
          <w:i/>
          <w:iCs/>
        </w:rPr>
        <w:t>Âge-Temps modernes</w:t>
      </w:r>
      <w:r w:rsidRPr="00240950">
        <w:t>, Mont-Saint-Aignan, PURH, 2020, p.</w:t>
      </w:r>
      <w:r w:rsidR="00603851">
        <w:t> </w:t>
      </w:r>
      <w:r w:rsidRPr="00240950">
        <w:t>16.</w:t>
      </w:r>
    </w:p>
  </w:footnote>
  <w:footnote w:id="6">
    <w:p w14:paraId="6BB1270F" w14:textId="55A3FD12" w:rsidR="000807FB" w:rsidRPr="00240950" w:rsidRDefault="000807FB" w:rsidP="003D33AD">
      <w:pPr>
        <w:pStyle w:val="Notedebasdepage"/>
      </w:pPr>
      <w:r w:rsidRPr="00240950">
        <w:rPr>
          <w:rStyle w:val="Appelnotedebasdep"/>
          <w:rFonts w:ascii="Times New Roman" w:hAnsi="Times New Roman" w:cs="Times New Roman"/>
        </w:rPr>
        <w:footnoteRef/>
      </w:r>
      <w:r w:rsidRPr="00240950">
        <w:t xml:space="preserve"> Sur le blason, témoignage de la gloire mondaine confronté à l’humilité chrétienne, voir Yvan </w:t>
      </w:r>
      <w:proofErr w:type="spellStart"/>
      <w:r w:rsidRPr="00240950">
        <w:t>Loskoutoff</w:t>
      </w:r>
      <w:proofErr w:type="spellEnd"/>
      <w:r w:rsidRPr="00240950">
        <w:t xml:space="preserve">, </w:t>
      </w:r>
      <w:r w:rsidRPr="00240950">
        <w:rPr>
          <w:i/>
          <w:iCs/>
        </w:rPr>
        <w:t>L’armorial de Calliope, L’</w:t>
      </w:r>
      <w:r w:rsidRPr="00BA5E52">
        <w:rPr>
          <w:i/>
          <w:iCs/>
        </w:rPr>
        <w:t>œ</w:t>
      </w:r>
      <w:r w:rsidRPr="00240950">
        <w:rPr>
          <w:i/>
          <w:iCs/>
        </w:rPr>
        <w:t>uvre du Père Le</w:t>
      </w:r>
      <w:r w:rsidR="00397049">
        <w:rPr>
          <w:i/>
          <w:iCs/>
        </w:rPr>
        <w:t> </w:t>
      </w:r>
      <w:proofErr w:type="spellStart"/>
      <w:r w:rsidRPr="00240950">
        <w:rPr>
          <w:i/>
          <w:iCs/>
        </w:rPr>
        <w:t>Moyne</w:t>
      </w:r>
      <w:proofErr w:type="spellEnd"/>
      <w:r w:rsidRPr="00240950">
        <w:rPr>
          <w:i/>
          <w:iCs/>
        </w:rPr>
        <w:t xml:space="preserve"> S.</w:t>
      </w:r>
      <w:r w:rsidR="00397049">
        <w:rPr>
          <w:i/>
          <w:iCs/>
        </w:rPr>
        <w:t> </w:t>
      </w:r>
      <w:r w:rsidRPr="00240950">
        <w:rPr>
          <w:i/>
          <w:iCs/>
        </w:rPr>
        <w:t>J. (1602-1671)</w:t>
      </w:r>
      <w:r w:rsidR="00E558C4" w:rsidRPr="00E558C4">
        <w:rPr>
          <w:i/>
          <w:iCs/>
        </w:rPr>
        <w:t> : l</w:t>
      </w:r>
      <w:r w:rsidRPr="00240950">
        <w:rPr>
          <w:i/>
          <w:iCs/>
        </w:rPr>
        <w:t>ittérature, héraldique, spiritualité</w:t>
      </w:r>
      <w:r w:rsidRPr="00240950">
        <w:t xml:space="preserve">, Tübingen, Gunter </w:t>
      </w:r>
      <w:proofErr w:type="spellStart"/>
      <w:r w:rsidRPr="00240950">
        <w:t>Narr</w:t>
      </w:r>
      <w:proofErr w:type="spellEnd"/>
      <w:r w:rsidRPr="00240950">
        <w:t xml:space="preserve"> </w:t>
      </w:r>
      <w:proofErr w:type="spellStart"/>
      <w:r w:rsidRPr="00240950">
        <w:t>Verlag</w:t>
      </w:r>
      <w:proofErr w:type="spellEnd"/>
      <w:r w:rsidRPr="00240950">
        <w:t>, 2000, troisième partie.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7FB"/>
    <w:rsid w:val="00021362"/>
    <w:rsid w:val="000807FB"/>
    <w:rsid w:val="00183B41"/>
    <w:rsid w:val="00192ECA"/>
    <w:rsid w:val="003110FD"/>
    <w:rsid w:val="00397049"/>
    <w:rsid w:val="003D33AD"/>
    <w:rsid w:val="003F7FA7"/>
    <w:rsid w:val="00603851"/>
    <w:rsid w:val="0065626F"/>
    <w:rsid w:val="00721477"/>
    <w:rsid w:val="00915E33"/>
    <w:rsid w:val="00960E9F"/>
    <w:rsid w:val="009A58B6"/>
    <w:rsid w:val="009C6126"/>
    <w:rsid w:val="00A22F35"/>
    <w:rsid w:val="00B131E0"/>
    <w:rsid w:val="00B91ACB"/>
    <w:rsid w:val="00BE5251"/>
    <w:rsid w:val="00C35197"/>
    <w:rsid w:val="00E558C4"/>
    <w:rsid w:val="00EA7A15"/>
    <w:rsid w:val="00F262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AA66"/>
  <w15:chartTrackingRefBased/>
  <w15:docId w15:val="{C6222193-9C68-441A-9F53-A58599F1D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B41"/>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183B41"/>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183B41"/>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183B41"/>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183B41"/>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183B41"/>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183B41"/>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183B41"/>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183B41"/>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183B41"/>
    <w:pPr>
      <w:spacing w:line="240" w:lineRule="auto"/>
      <w:outlineLvl w:val="8"/>
    </w:pPr>
    <w:rPr>
      <w:rFonts w:eastAsia="MS Gothic" w:cs="Times New Roman"/>
      <w:i/>
    </w:rPr>
  </w:style>
  <w:style w:type="character" w:default="1" w:styleId="Policepardfaut">
    <w:name w:val="Default Paragraph Font"/>
    <w:uiPriority w:val="1"/>
    <w:semiHidden/>
    <w:unhideWhenUsed/>
    <w:rsid w:val="00183B41"/>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83B41"/>
  </w:style>
  <w:style w:type="paragraph" w:styleId="Notedebasdepage">
    <w:name w:val="footnote text"/>
    <w:aliases w:val="Footnotes"/>
    <w:basedOn w:val="Normal"/>
    <w:link w:val="NotedebasdepageCar"/>
    <w:rsid w:val="00183B41"/>
    <w:pPr>
      <w:spacing w:line="240" w:lineRule="auto"/>
    </w:pPr>
    <w:rPr>
      <w:sz w:val="20"/>
    </w:rPr>
  </w:style>
  <w:style w:type="character" w:customStyle="1" w:styleId="NotedebasdepageCar">
    <w:name w:val="Note de bas de page Car"/>
    <w:aliases w:val="Footnotes Car"/>
    <w:link w:val="Notedebasdepage"/>
    <w:rsid w:val="00183B41"/>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183B41"/>
    <w:rPr>
      <w:vertAlign w:val="superscript"/>
    </w:rPr>
  </w:style>
  <w:style w:type="paragraph" w:customStyle="1" w:styleId="Standard">
    <w:name w:val="Standard"/>
    <w:rsid w:val="000807FB"/>
    <w:pPr>
      <w:suppressAutoHyphens/>
      <w:autoSpaceDN w:val="0"/>
      <w:spacing w:after="0" w:line="240" w:lineRule="auto"/>
    </w:pPr>
    <w:rPr>
      <w:rFonts w:ascii="Times New Roman" w:eastAsia="Times New Roman" w:hAnsi="Times New Roman" w:cs="Times New Roman"/>
      <w:kern w:val="3"/>
      <w:sz w:val="24"/>
      <w:szCs w:val="20"/>
      <w:lang w:eastAsia="zh-CN"/>
    </w:rPr>
  </w:style>
  <w:style w:type="character" w:styleId="Lienhypertexte">
    <w:name w:val="Hyperlink"/>
    <w:basedOn w:val="Policepardfaut"/>
    <w:unhideWhenUsed/>
    <w:rsid w:val="000807FB"/>
    <w:rPr>
      <w:rFonts w:cs="Times New Roman"/>
      <w:color w:val="0000FF"/>
      <w:u w:val="single"/>
    </w:rPr>
  </w:style>
  <w:style w:type="character" w:customStyle="1" w:styleId="Titre1Car">
    <w:name w:val="Titre 1 Car"/>
    <w:link w:val="Titre1"/>
    <w:rsid w:val="00183B41"/>
    <w:rPr>
      <w:rFonts w:ascii="Calibri" w:eastAsia="SimSun" w:hAnsi="Calibri" w:cs="Arial"/>
      <w:kern w:val="1"/>
      <w:sz w:val="40"/>
      <w:szCs w:val="32"/>
      <w:lang w:eastAsia="ar-LB" w:bidi="ar-LB"/>
    </w:rPr>
  </w:style>
  <w:style w:type="character" w:customStyle="1" w:styleId="Titre2Car">
    <w:name w:val="Titre 2 Car"/>
    <w:link w:val="Titre2"/>
    <w:rsid w:val="00183B41"/>
    <w:rPr>
      <w:rFonts w:ascii="Calibri" w:eastAsia="SimSun" w:hAnsi="Calibri" w:cs="Arial"/>
      <w:sz w:val="36"/>
      <w:szCs w:val="28"/>
      <w:lang w:eastAsia="ar-LB" w:bidi="ar-LB"/>
    </w:rPr>
  </w:style>
  <w:style w:type="character" w:customStyle="1" w:styleId="Titre3Car">
    <w:name w:val="Titre 3 Car"/>
    <w:link w:val="Titre3"/>
    <w:rsid w:val="00183B41"/>
    <w:rPr>
      <w:rFonts w:ascii="Calibri" w:eastAsia="SimSun" w:hAnsi="Calibri" w:cs="Calibri"/>
      <w:sz w:val="32"/>
      <w:szCs w:val="32"/>
      <w:lang w:eastAsia="ar-LB" w:bidi="ar-LB"/>
    </w:rPr>
  </w:style>
  <w:style w:type="character" w:customStyle="1" w:styleId="Titre4Car">
    <w:name w:val="Titre 4 Car"/>
    <w:link w:val="Titre4"/>
    <w:rsid w:val="00183B41"/>
    <w:rPr>
      <w:rFonts w:ascii="Calibri" w:eastAsia="SimSun" w:hAnsi="Calibri" w:cs="Baghdad"/>
      <w:sz w:val="28"/>
      <w:szCs w:val="28"/>
      <w:lang w:eastAsia="ar-LB" w:bidi="ar-LB"/>
    </w:rPr>
  </w:style>
  <w:style w:type="character" w:customStyle="1" w:styleId="Titre5Car">
    <w:name w:val="Titre 5 Car"/>
    <w:link w:val="Titre5"/>
    <w:rsid w:val="00183B41"/>
    <w:rPr>
      <w:rFonts w:ascii="Calibri" w:eastAsia="MS Mincho" w:hAnsi="Calibri" w:cs="Calibri Light"/>
      <w:sz w:val="24"/>
      <w:szCs w:val="26"/>
      <w:lang w:eastAsia="ar-SA"/>
    </w:rPr>
  </w:style>
  <w:style w:type="character" w:customStyle="1" w:styleId="Titre6Car">
    <w:name w:val="Titre 6 Car"/>
    <w:link w:val="Titre6"/>
    <w:uiPriority w:val="9"/>
    <w:rsid w:val="00183B41"/>
    <w:rPr>
      <w:rFonts w:ascii="Calibri" w:eastAsia="MS Mincho" w:hAnsi="Calibri" w:cs="Times New Roman"/>
      <w:bCs/>
      <w:lang w:eastAsia="ar-SA"/>
    </w:rPr>
  </w:style>
  <w:style w:type="character" w:customStyle="1" w:styleId="Titre7Car">
    <w:name w:val="Titre 7 Car"/>
    <w:link w:val="Titre7"/>
    <w:uiPriority w:val="9"/>
    <w:rsid w:val="00183B41"/>
    <w:rPr>
      <w:rFonts w:ascii="Calibri" w:eastAsia="MS Mincho" w:hAnsi="Calibri" w:cs="Times New Roman"/>
      <w:lang w:eastAsia="ar-SA"/>
    </w:rPr>
  </w:style>
  <w:style w:type="character" w:customStyle="1" w:styleId="Titre8Car">
    <w:name w:val="Titre 8 Car"/>
    <w:link w:val="Titre8"/>
    <w:uiPriority w:val="9"/>
    <w:rsid w:val="00183B41"/>
    <w:rPr>
      <w:rFonts w:ascii="Calibri" w:eastAsia="MS Mincho" w:hAnsi="Calibri" w:cs="Times New Roman"/>
      <w:i/>
      <w:iCs/>
      <w:lang w:eastAsia="ar-SA"/>
    </w:rPr>
  </w:style>
  <w:style w:type="character" w:customStyle="1" w:styleId="Titre9Car">
    <w:name w:val="Titre 9 Car"/>
    <w:link w:val="Titre9"/>
    <w:uiPriority w:val="9"/>
    <w:rsid w:val="00183B41"/>
    <w:rPr>
      <w:rFonts w:ascii="Calibri Light" w:eastAsia="MS Gothic" w:hAnsi="Calibri Light" w:cs="Times New Roman"/>
      <w:i/>
      <w:lang w:eastAsia="ar-SA"/>
    </w:rPr>
  </w:style>
  <w:style w:type="paragraph" w:styleId="Notedefin">
    <w:name w:val="endnote text"/>
    <w:basedOn w:val="Normal"/>
    <w:link w:val="NotedefinCar"/>
    <w:rsid w:val="00183B41"/>
  </w:style>
  <w:style w:type="character" w:customStyle="1" w:styleId="NotedefinCar">
    <w:name w:val="Note de fin Car"/>
    <w:link w:val="Notedefin"/>
    <w:rsid w:val="00183B41"/>
    <w:rPr>
      <w:rFonts w:ascii="Calibri Light" w:eastAsia="MS Mincho" w:hAnsi="Calibri Light" w:cs="Calibri Light"/>
      <w:lang w:eastAsia="ar-SA"/>
    </w:rPr>
  </w:style>
  <w:style w:type="paragraph" w:customStyle="1" w:styleId="Titre2-sous-rubrique">
    <w:name w:val="Titre 2-sous-rubrique"/>
    <w:rsid w:val="00183B41"/>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183B41"/>
    <w:rPr>
      <w:i w:val="0"/>
      <w:color w:val="A8D08D" w:themeColor="accent6" w:themeTint="99"/>
    </w:rPr>
  </w:style>
  <w:style w:type="paragraph" w:styleId="Titre">
    <w:name w:val="Title"/>
    <w:basedOn w:val="Normal"/>
    <w:next w:val="Normal"/>
    <w:link w:val="TitreCar"/>
    <w:autoRedefine/>
    <w:uiPriority w:val="10"/>
    <w:qFormat/>
    <w:rsid w:val="00183B41"/>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183B41"/>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183B41"/>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83B41"/>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183B41"/>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183B41"/>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183B41"/>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183B41"/>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183B41"/>
    <w:rPr>
      <w:vertAlign w:val="superscript"/>
    </w:rPr>
  </w:style>
  <w:style w:type="paragraph" w:styleId="Paragraphedeliste">
    <w:name w:val="List Paragraph"/>
    <w:basedOn w:val="Normal"/>
    <w:uiPriority w:val="34"/>
    <w:qFormat/>
    <w:rsid w:val="00183B41"/>
    <w:pPr>
      <w:ind w:left="720"/>
    </w:pPr>
  </w:style>
  <w:style w:type="paragraph" w:styleId="Listepuces">
    <w:name w:val="List Bullet"/>
    <w:basedOn w:val="Normal"/>
    <w:uiPriority w:val="99"/>
    <w:unhideWhenUsed/>
    <w:rsid w:val="00183B41"/>
    <w:pPr>
      <w:numPr>
        <w:numId w:val="5"/>
      </w:numPr>
    </w:pPr>
  </w:style>
  <w:style w:type="paragraph" w:customStyle="1" w:styleId="Titre2-rubrique">
    <w:name w:val="Titre 2-rubrique"/>
    <w:basedOn w:val="Titre2"/>
    <w:autoRedefine/>
    <w:qFormat/>
    <w:rsid w:val="00183B41"/>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183B41"/>
    <w:pPr>
      <w:spacing w:before="200" w:after="0" w:line="276" w:lineRule="auto"/>
      <w:ind w:firstLine="284"/>
    </w:pPr>
    <w:rPr>
      <w:rFonts w:ascii="Minion Pro" w:hAnsi="Minion Pro"/>
      <w:sz w:val="28"/>
      <w:szCs w:val="20"/>
    </w:rPr>
  </w:style>
  <w:style w:type="paragraph" w:customStyle="1" w:styleId="TEItitlesup">
    <w:name w:val="TEI_title:sup"/>
    <w:qFormat/>
    <w:rsid w:val="00183B41"/>
    <w:pPr>
      <w:spacing w:after="0" w:line="240" w:lineRule="auto"/>
    </w:pPr>
    <w:rPr>
      <w:rFonts w:eastAsia="SimSun" w:cs="Arial"/>
      <w:kern w:val="1"/>
      <w:sz w:val="32"/>
      <w:szCs w:val="32"/>
      <w:lang w:eastAsia="ar-LB" w:bidi="ar-LB"/>
    </w:rPr>
  </w:style>
  <w:style w:type="paragraph" w:customStyle="1" w:styleId="TEItitlesub">
    <w:name w:val="TEI_title:sub"/>
    <w:rsid w:val="00183B41"/>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183B41"/>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183B41"/>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183B41"/>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183B41"/>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183B41"/>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183B41"/>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183B41"/>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183B41"/>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183B41"/>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183B41"/>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83B41"/>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183B41"/>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183B41"/>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183B41"/>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83B41"/>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183B41"/>
  </w:style>
  <w:style w:type="paragraph" w:customStyle="1" w:styleId="TEIaut">
    <w:name w:val="TEI_aut:"/>
    <w:autoRedefine/>
    <w:rsid w:val="00183B41"/>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183B41"/>
    <w:rPr>
      <w:color w:val="C00000"/>
    </w:rPr>
  </w:style>
  <w:style w:type="character" w:customStyle="1" w:styleId="TEIedt-inline">
    <w:name w:val="TEI_edt-inline:"/>
    <w:basedOn w:val="Policepardfaut"/>
    <w:rsid w:val="00183B41"/>
    <w:rPr>
      <w:color w:val="9CC2E5" w:themeColor="accent5" w:themeTint="99"/>
    </w:rPr>
  </w:style>
  <w:style w:type="paragraph" w:customStyle="1" w:styleId="TEIauts">
    <w:name w:val="TEI_auts"/>
    <w:qFormat/>
    <w:rsid w:val="00183B41"/>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183B41"/>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183B41"/>
    <w:rPr>
      <w:color w:val="808080"/>
    </w:rPr>
  </w:style>
  <w:style w:type="character" w:customStyle="1" w:styleId="TEIaffiliation-inline">
    <w:name w:val="TEI_affiliation-inline"/>
    <w:basedOn w:val="Policepardfaut"/>
    <w:uiPriority w:val="1"/>
    <w:qFormat/>
    <w:rsid w:val="00183B41"/>
    <w:rPr>
      <w:color w:val="4AACC6"/>
      <w:bdr w:val="none" w:sz="0" w:space="0" w:color="auto"/>
      <w:shd w:val="clear" w:color="auto" w:fill="auto"/>
    </w:rPr>
  </w:style>
  <w:style w:type="paragraph" w:customStyle="1" w:styleId="TEIauthoritybiography">
    <w:name w:val="TEI_authority_biography"/>
    <w:link w:val="TEIauthoritybiographyCar"/>
    <w:qFormat/>
    <w:rsid w:val="00183B41"/>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183B41"/>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183B41"/>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183B41"/>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183B41"/>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183B41"/>
    <w:rPr>
      <w:rFonts w:ascii="Consolas" w:hAnsi="Consolas"/>
      <w:color w:val="7B7B7B" w:themeColor="accent3" w:themeShade="BF"/>
    </w:rPr>
  </w:style>
  <w:style w:type="paragraph" w:customStyle="1" w:styleId="TEIlinguisticgloss">
    <w:name w:val="TEI_linguistic_gloss"/>
    <w:autoRedefine/>
    <w:qFormat/>
    <w:rsid w:val="00183B41"/>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183B41"/>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183B41"/>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183B41"/>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183B41"/>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183B41"/>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183B41"/>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183B41"/>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183B41"/>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183B41"/>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183B41"/>
    <w:rPr>
      <w:rFonts w:ascii="Junicode" w:hAnsi="Junicode" w:cs="Junicode"/>
      <w:color w:val="auto"/>
      <w:sz w:val="24"/>
      <w:u w:val="single"/>
    </w:rPr>
  </w:style>
  <w:style w:type="character" w:customStyle="1" w:styleId="TEIdidascaly-inline">
    <w:name w:val="TEI_didascaly-inline"/>
    <w:rsid w:val="00183B41"/>
    <w:rPr>
      <w:rFonts w:ascii="Junicode" w:hAnsi="Junicode" w:cs="Junicode"/>
      <w:sz w:val="22"/>
    </w:rPr>
  </w:style>
  <w:style w:type="character" w:customStyle="1" w:styleId="TEIversenumber-inline">
    <w:name w:val="TEI_versenumber-inline"/>
    <w:uiPriority w:val="1"/>
    <w:qFormat/>
    <w:rsid w:val="00183B41"/>
    <w:rPr>
      <w:color w:val="7F7F7F"/>
    </w:rPr>
  </w:style>
  <w:style w:type="paragraph" w:customStyle="1" w:styleId="TEIversifiedreplica">
    <w:name w:val="TEI_versifiedreplica"/>
    <w:basedOn w:val="Normal"/>
    <w:qFormat/>
    <w:rsid w:val="00183B41"/>
  </w:style>
  <w:style w:type="paragraph" w:customStyle="1" w:styleId="TEIxiinclude">
    <w:name w:val="TEI_xi_include"/>
    <w:rsid w:val="00183B41"/>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183B41"/>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183B41"/>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183B41"/>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183B41"/>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183B41"/>
    <w:rPr>
      <w:rFonts w:ascii="Courier New" w:hAnsi="Courier New"/>
      <w:sz w:val="22"/>
    </w:rPr>
  </w:style>
  <w:style w:type="paragraph" w:customStyle="1" w:styleId="TEIbiblreference">
    <w:name w:val="TEI_bibl_reference"/>
    <w:autoRedefine/>
    <w:qFormat/>
    <w:rsid w:val="00183B41"/>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183B41"/>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183B41"/>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183B41"/>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183B41"/>
    <w:pPr>
      <w:spacing w:after="120" w:line="264" w:lineRule="auto"/>
    </w:pPr>
    <w:rPr>
      <w:rFonts w:asciiTheme="majorHAnsi" w:eastAsia="MS Mincho" w:hAnsiTheme="majorHAnsi" w:cs="Calibri Light"/>
      <w:lang w:eastAsia="ar-SA"/>
    </w:rPr>
  </w:style>
  <w:style w:type="paragraph" w:customStyle="1" w:styleId="TEIpartner">
    <w:name w:val="TEI_partner"/>
    <w:qFormat/>
    <w:rsid w:val="00183B41"/>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183B41"/>
    <w:pPr>
      <w:shd w:val="clear" w:color="auto" w:fill="F0F8FF"/>
      <w:spacing w:before="240"/>
      <w:ind w:left="284"/>
      <w:jc w:val="left"/>
    </w:pPr>
    <w:rPr>
      <w:rFonts w:cs="Times New Roman"/>
      <w:bCs/>
      <w:lang w:eastAsia="fr-FR"/>
    </w:rPr>
  </w:style>
  <w:style w:type="paragraph" w:customStyle="1" w:styleId="TEIlinkedpubli">
    <w:name w:val="TEI_linked_publi"/>
    <w:qFormat/>
    <w:rsid w:val="00183B41"/>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183B41"/>
    <w:rPr>
      <w:rFonts w:eastAsia="Times New Roman" w:cs="Times New Roman"/>
      <w:color w:val="000080"/>
    </w:rPr>
  </w:style>
  <w:style w:type="paragraph" w:customStyle="1" w:styleId="TEIreviewstart">
    <w:name w:val="TEI_review_start"/>
    <w:autoRedefine/>
    <w:qFormat/>
    <w:rsid w:val="00183B41"/>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183B41"/>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183B41"/>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183B41"/>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183B41"/>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183B41"/>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183B41"/>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183B41"/>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183B41"/>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183B41"/>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83B41"/>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183B41"/>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183B41"/>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183B41"/>
    <w:rPr>
      <w:color w:val="44546A" w:themeColor="text2"/>
      <w:bdr w:val="none" w:sz="0" w:space="0" w:color="auto"/>
      <w:shd w:val="clear" w:color="auto" w:fill="auto"/>
    </w:rPr>
  </w:style>
  <w:style w:type="paragraph" w:customStyle="1" w:styleId="TEIfigureend">
    <w:name w:val="TEI_figure_end"/>
    <w:next w:val="Normal"/>
    <w:qFormat/>
    <w:rsid w:val="00183B41"/>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183B41"/>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183B41"/>
    <w:rPr>
      <w:color w:val="2F5496" w:themeColor="accent1" w:themeShade="BF"/>
    </w:rPr>
  </w:style>
  <w:style w:type="character" w:customStyle="1" w:styleId="TEIrevieweddate-inline">
    <w:name w:val="TEI_reviewed_date-inline"/>
    <w:uiPriority w:val="1"/>
    <w:qFormat/>
    <w:rsid w:val="00183B41"/>
    <w:rPr>
      <w:color w:val="C45911" w:themeColor="accent2" w:themeShade="BF"/>
    </w:rPr>
  </w:style>
  <w:style w:type="paragraph" w:customStyle="1" w:styleId="TEIreviewedreference">
    <w:name w:val="TEI_reviewed_reference"/>
    <w:autoRedefine/>
    <w:qFormat/>
    <w:rsid w:val="00183B41"/>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183B41"/>
    <w:rPr>
      <w:i w:val="0"/>
      <w:color w:val="323E4F" w:themeColor="text2" w:themeShade="BF"/>
    </w:rPr>
  </w:style>
  <w:style w:type="paragraph" w:customStyle="1" w:styleId="TEIformula-mml">
    <w:name w:val="TEI_formula-mml"/>
    <w:qFormat/>
    <w:rsid w:val="00183B41"/>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183B41"/>
    <w:rPr>
      <w:lang w:val="en-US"/>
    </w:rPr>
  </w:style>
  <w:style w:type="character" w:customStyle="1" w:styleId="TEIabstractamCar">
    <w:name w:val="TEI_abstract|am Car"/>
    <w:basedOn w:val="Policepardfaut"/>
    <w:link w:val="TEIabstractam"/>
    <w:rsid w:val="00183B41"/>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183B41"/>
    <w:rPr>
      <w:lang w:val="en-US"/>
    </w:rPr>
  </w:style>
  <w:style w:type="character" w:customStyle="1" w:styleId="TEIabstractenCar">
    <w:name w:val="TEI_abstract|en Car"/>
    <w:basedOn w:val="Policepardfaut"/>
    <w:link w:val="TEIabstracten"/>
    <w:rsid w:val="00183B41"/>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183B41"/>
  </w:style>
  <w:style w:type="paragraph" w:customStyle="1" w:styleId="TEIauthoraut">
    <w:name w:val="TEI_author:aut"/>
    <w:basedOn w:val="Normal"/>
    <w:link w:val="TEIauthorautCar"/>
    <w:rsid w:val="00183B41"/>
    <w:pPr>
      <w:spacing w:before="120" w:after="60"/>
      <w:jc w:val="right"/>
    </w:pPr>
  </w:style>
  <w:style w:type="character" w:customStyle="1" w:styleId="TEIauthorautCar">
    <w:name w:val="TEI_author:aut Car"/>
    <w:basedOn w:val="Policepardfaut"/>
    <w:link w:val="TEIauthoraut"/>
    <w:rsid w:val="00183B41"/>
    <w:rPr>
      <w:rFonts w:ascii="Calibri Light" w:eastAsia="MS Mincho" w:hAnsi="Calibri Light" w:cs="Calibri Light"/>
      <w:lang w:eastAsia="ar-SA"/>
    </w:rPr>
  </w:style>
  <w:style w:type="paragraph" w:customStyle="1" w:styleId="TEIeditortrl">
    <w:name w:val="TEI_editor:trl"/>
    <w:basedOn w:val="Normal"/>
    <w:link w:val="TEIeditortrlCar"/>
    <w:rsid w:val="00183B41"/>
    <w:pPr>
      <w:spacing w:before="240" w:after="0" w:line="240" w:lineRule="auto"/>
      <w:jc w:val="right"/>
    </w:pPr>
  </w:style>
  <w:style w:type="character" w:customStyle="1" w:styleId="TEIeditortrlCar">
    <w:name w:val="TEI_editor:trl Car"/>
    <w:basedOn w:val="Policepardfaut"/>
    <w:link w:val="TEIeditortrl"/>
    <w:rsid w:val="00183B41"/>
    <w:rPr>
      <w:rFonts w:ascii="Calibri Light" w:eastAsia="MS Mincho" w:hAnsi="Calibri Light" w:cs="Calibri Light"/>
      <w:lang w:eastAsia="ar-SA"/>
    </w:rPr>
  </w:style>
  <w:style w:type="paragraph" w:customStyle="1" w:styleId="TEIkeywordsen">
    <w:name w:val="TEI_keywords|en"/>
    <w:basedOn w:val="TEIkeywords"/>
    <w:link w:val="TEIkeywordsenCar"/>
    <w:rsid w:val="00183B41"/>
  </w:style>
  <w:style w:type="character" w:customStyle="1" w:styleId="TEIkeywordsenCar">
    <w:name w:val="TEI_keywords|en Car"/>
    <w:basedOn w:val="Policepardfaut"/>
    <w:link w:val="TEIkeywordsen"/>
    <w:rsid w:val="00183B41"/>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183B41"/>
  </w:style>
  <w:style w:type="character" w:customStyle="1" w:styleId="TEItitletrldeCar">
    <w:name w:val="TEI_title:trl|de Car"/>
    <w:basedOn w:val="Policepardfaut"/>
    <w:link w:val="TEItitletrlde"/>
    <w:rsid w:val="00183B41"/>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183B41"/>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83B41"/>
    <w:rPr>
      <w:bdr w:val="none" w:sz="0" w:space="0" w:color="auto"/>
      <w:shd w:val="clear" w:color="auto" w:fill="B4C6E7" w:themeFill="accent1" w:themeFillTint="66"/>
    </w:rPr>
  </w:style>
  <w:style w:type="character" w:customStyle="1" w:styleId="TEIdatenormalised">
    <w:name w:val="TEI_date_normalised"/>
    <w:uiPriority w:val="1"/>
    <w:qFormat/>
    <w:rsid w:val="00183B41"/>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83B41"/>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183B41"/>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183B41"/>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183B41"/>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183B41"/>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183B41"/>
    <w:rPr>
      <w:color w:val="ED7D31" w:themeColor="accent2"/>
    </w:rPr>
  </w:style>
  <w:style w:type="paragraph" w:customStyle="1" w:styleId="TEIsectionauthor">
    <w:name w:val="TEI_section_author"/>
    <w:qFormat/>
    <w:rsid w:val="00183B41"/>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183B41"/>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183B41"/>
    <w:rPr>
      <w:noProof/>
      <w:bdr w:val="none" w:sz="0" w:space="0" w:color="auto"/>
      <w:shd w:val="clear" w:color="auto" w:fill="FFF2CC" w:themeFill="accent4" w:themeFillTint="33"/>
    </w:rPr>
  </w:style>
  <w:style w:type="paragraph" w:customStyle="1" w:styleId="TEIlinguisticstart">
    <w:name w:val="TEI_linguistic_start"/>
    <w:qFormat/>
    <w:rsid w:val="00183B41"/>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183B41"/>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83B41"/>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83B41"/>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83B41"/>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183B41"/>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183B41"/>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83B41"/>
    <w:pPr>
      <w:spacing w:after="200" w:line="276" w:lineRule="auto"/>
      <w:ind w:firstLine="284"/>
    </w:pPr>
    <w:rPr>
      <w:color w:val="538135" w:themeColor="accent6" w:themeShade="BF"/>
      <w:sz w:val="20"/>
    </w:rPr>
  </w:style>
  <w:style w:type="paragraph" w:customStyle="1" w:styleId="TEIarcheoIDpatriarche">
    <w:name w:val="TEI_archeo_IDpatriarche"/>
    <w:qFormat/>
    <w:rsid w:val="00183B41"/>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83B41"/>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83B41"/>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83B41"/>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83B41"/>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83B41"/>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83B41"/>
  </w:style>
  <w:style w:type="paragraph" w:customStyle="1" w:styleId="TEIarcheofieldworkyears">
    <w:name w:val="TEI_archeo_fieldwork_years"/>
    <w:qFormat/>
    <w:rsid w:val="00183B41"/>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83B41"/>
    <w:rPr>
      <w:color w:val="943634"/>
    </w:rPr>
  </w:style>
  <w:style w:type="paragraph" w:customStyle="1" w:styleId="TEIarcheoauthority">
    <w:name w:val="TEI_archeo_authority"/>
    <w:qFormat/>
    <w:rsid w:val="00183B41"/>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183B41"/>
    <w:rPr>
      <w:rFonts w:ascii="Minion Pro" w:hAnsi="Minion Pro"/>
      <w:b/>
      <w:color w:val="E36C0A"/>
      <w:sz w:val="22"/>
    </w:rPr>
  </w:style>
  <w:style w:type="character" w:customStyle="1" w:styleId="TEIarcheoauthorrespinline">
    <w:name w:val="TEI_archeo_authorresp_inline"/>
    <w:uiPriority w:val="1"/>
    <w:qFormat/>
    <w:rsid w:val="00183B41"/>
    <w:rPr>
      <w:color w:val="538135" w:themeColor="accent6" w:themeShade="BF"/>
    </w:rPr>
  </w:style>
  <w:style w:type="character" w:customStyle="1" w:styleId="TEIarcheoredacinline">
    <w:name w:val="TEI_archeo_redac_inline"/>
    <w:uiPriority w:val="1"/>
    <w:qFormat/>
    <w:rsid w:val="00183B41"/>
    <w:rPr>
      <w:color w:val="943634"/>
    </w:rPr>
  </w:style>
  <w:style w:type="paragraph" w:customStyle="1" w:styleId="TEIarcheoIDmissionEFA0">
    <w:name w:val="TEI_archeo_IDmission:EFA"/>
    <w:qFormat/>
    <w:rsid w:val="00183B41"/>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83B41"/>
    <w:rPr>
      <w:color w:val="538135" w:themeColor="accent6" w:themeShade="BF"/>
    </w:rPr>
  </w:style>
  <w:style w:type="character" w:customStyle="1" w:styleId="TEIarcheoaffiliationinline">
    <w:name w:val="TEI_archeo_affiliation_inline"/>
    <w:uiPriority w:val="1"/>
    <w:qFormat/>
    <w:rsid w:val="00183B41"/>
    <w:rPr>
      <w:color w:val="943634"/>
    </w:rPr>
  </w:style>
  <w:style w:type="paragraph" w:customStyle="1" w:styleId="TEIfigure-alttext">
    <w:name w:val="TEI_figure-alttext"/>
    <w:qFormat/>
    <w:rsid w:val="00183B41"/>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183B41"/>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183B41"/>
    <w:rPr>
      <w:bdr w:val="none" w:sz="0" w:space="0" w:color="auto"/>
      <w:shd w:val="clear" w:color="auto" w:fill="FFF2CC" w:themeFill="accent4" w:themeFillTint="33"/>
    </w:rPr>
  </w:style>
  <w:style w:type="paragraph" w:customStyle="1" w:styleId="TEIfigurealttext">
    <w:name w:val="TEI_figure_alttext"/>
    <w:qFormat/>
    <w:rsid w:val="00183B41"/>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183B41"/>
    <w:rPr>
      <w:rFonts w:asciiTheme="majorHAnsi" w:eastAsia="MS Mincho" w:hAnsiTheme="majorHAnsi" w:cs="Calibri Light"/>
      <w:sz w:val="21"/>
      <w:szCs w:val="26"/>
      <w:lang w:eastAsia="ar-SA"/>
    </w:rPr>
  </w:style>
  <w:style w:type="paragraph" w:customStyle="1" w:styleId="TEIeditoredt">
    <w:name w:val="TEI_editor:edt"/>
    <w:link w:val="TEIeditoredtCar"/>
    <w:rsid w:val="00183B41"/>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83B41"/>
    <w:rPr>
      <w:rFonts w:asciiTheme="majorHAnsi" w:eastAsia="MS Mincho" w:hAnsiTheme="majorHAnsi" w:cs="Calibri Light"/>
      <w:sz w:val="24"/>
      <w:szCs w:val="26"/>
      <w:lang w:eastAsia="ar-SA"/>
    </w:rPr>
  </w:style>
  <w:style w:type="paragraph" w:customStyle="1" w:styleId="TEIerratum">
    <w:name w:val="TEI_erratum"/>
    <w:qFormat/>
    <w:rsid w:val="00183B41"/>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183B41"/>
    <w:rPr>
      <w:color w:val="000000" w:themeColor="text1"/>
      <w:kern w:val="1"/>
      <w:szCs w:val="32"/>
      <w:lang w:bidi="ar-LB"/>
    </w:rPr>
  </w:style>
  <w:style w:type="character" w:customStyle="1" w:styleId="TEIkeywordsfrCar">
    <w:name w:val="TEI_keywords|fr Car"/>
    <w:basedOn w:val="Policepardfaut"/>
    <w:link w:val="TEIkeywordsfr"/>
    <w:rsid w:val="00183B41"/>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183B41"/>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183B41"/>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183B41"/>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183B41"/>
    <w:rPr>
      <w:bdr w:val="none" w:sz="0" w:space="0" w:color="auto"/>
      <w:shd w:val="pct10" w:color="auto" w:fill="auto"/>
    </w:rPr>
  </w:style>
  <w:style w:type="paragraph" w:customStyle="1" w:styleId="TEIauthoritiesmail">
    <w:name w:val="TEI_authorities_mail"/>
    <w:qFormat/>
    <w:rsid w:val="00183B41"/>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183B41"/>
    <w:rPr>
      <w:color w:val="806000" w:themeColor="accent4" w:themeShade="80"/>
    </w:rPr>
  </w:style>
  <w:style w:type="character" w:customStyle="1" w:styleId="TEImail-inline">
    <w:name w:val="TEI_mail-inline"/>
    <w:uiPriority w:val="1"/>
    <w:qFormat/>
    <w:rsid w:val="00183B41"/>
    <w:rPr>
      <w:color w:val="806000" w:themeColor="accent4" w:themeShade="80"/>
    </w:rPr>
  </w:style>
  <w:style w:type="paragraph" w:customStyle="1" w:styleId="TEIauthoritiesmails">
    <w:name w:val="TEI_authorities_mails"/>
    <w:qFormat/>
    <w:rsid w:val="00183B41"/>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83B41"/>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183B41"/>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183B41"/>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183B41"/>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183B41"/>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183B41"/>
    <w:pPr>
      <w:spacing w:after="200" w:line="276" w:lineRule="auto"/>
      <w:ind w:firstLine="284"/>
    </w:pPr>
    <w:rPr>
      <w:color w:val="538135" w:themeColor="accent6" w:themeShade="BF"/>
      <w:sz w:val="20"/>
    </w:rPr>
  </w:style>
  <w:style w:type="paragraph" w:customStyle="1" w:styleId="TEIarcheoARTteam">
    <w:name w:val="TEI_archeoART_team"/>
    <w:qFormat/>
    <w:rsid w:val="00183B41"/>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183B41"/>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83B41"/>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183B41"/>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183B41"/>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183B41"/>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83B41"/>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183B41"/>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183B41"/>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183B41"/>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183B41"/>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183B41"/>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183B41"/>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183B41"/>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183B41"/>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183B41"/>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183B41"/>
    <w:rPr>
      <w:bdr w:val="none" w:sz="0" w:space="0" w:color="auto"/>
      <w:shd w:val="clear" w:color="auto" w:fill="DEEAF6" w:themeFill="accent5" w:themeFillTint="33"/>
    </w:rPr>
  </w:style>
  <w:style w:type="character" w:customStyle="1" w:styleId="TEIarcheoCHRnamefld">
    <w:name w:val="TEI_archeoCHR_name:fld"/>
    <w:uiPriority w:val="1"/>
    <w:qFormat/>
    <w:rsid w:val="00183B41"/>
    <w:rPr>
      <w:bdr w:val="none" w:sz="0" w:space="0" w:color="auto"/>
      <w:shd w:val="clear" w:color="auto" w:fill="9CC2E5" w:themeFill="accent5" w:themeFillTint="99"/>
    </w:rPr>
  </w:style>
  <w:style w:type="character" w:customStyle="1" w:styleId="TEIarcheoCHRnameaut">
    <w:name w:val="TEI_archeoCHR_name:aut"/>
    <w:uiPriority w:val="1"/>
    <w:qFormat/>
    <w:rsid w:val="00183B41"/>
    <w:rPr>
      <w:bdr w:val="none" w:sz="0" w:space="0" w:color="auto"/>
      <w:shd w:val="clear" w:color="auto" w:fill="BFBFBF" w:themeFill="background1" w:themeFillShade="BF"/>
    </w:rPr>
  </w:style>
  <w:style w:type="character" w:customStyle="1" w:styleId="TEIarcheoCHRnameautfld">
    <w:name w:val="TEI_archeoCHR_name:aut fld"/>
    <w:uiPriority w:val="1"/>
    <w:qFormat/>
    <w:rsid w:val="00183B41"/>
    <w:rPr>
      <w:bdr w:val="none" w:sz="0" w:space="0" w:color="auto"/>
      <w:shd w:val="clear" w:color="auto" w:fill="ACB9CA" w:themeFill="text2" w:themeFillTint="66"/>
    </w:rPr>
  </w:style>
  <w:style w:type="paragraph" w:customStyle="1" w:styleId="TEIarcheoCHRauthority">
    <w:name w:val="TEI_archeoCHR_authority"/>
    <w:qFormat/>
    <w:rsid w:val="00183B41"/>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183B41"/>
    <w:rPr>
      <w:color w:val="3B3838" w:themeColor="background2" w:themeShade="40"/>
    </w:rPr>
  </w:style>
  <w:style w:type="paragraph" w:styleId="En-tte">
    <w:name w:val="header"/>
    <w:basedOn w:val="Normal"/>
    <w:link w:val="En-tteCar"/>
    <w:uiPriority w:val="99"/>
    <w:unhideWhenUsed/>
    <w:rsid w:val="00603851"/>
    <w:pPr>
      <w:tabs>
        <w:tab w:val="center" w:pos="4536"/>
        <w:tab w:val="right" w:pos="9072"/>
      </w:tabs>
      <w:spacing w:before="0" w:after="0" w:line="240" w:lineRule="auto"/>
    </w:pPr>
  </w:style>
  <w:style w:type="character" w:customStyle="1" w:styleId="En-tteCar">
    <w:name w:val="En-tête Car"/>
    <w:basedOn w:val="Policepardfaut"/>
    <w:link w:val="En-tte"/>
    <w:uiPriority w:val="99"/>
    <w:rsid w:val="00603851"/>
    <w:rPr>
      <w:rFonts w:ascii="Calibri Light" w:eastAsia="MS Mincho" w:hAnsi="Calibri Light" w:cs="Calibri Light"/>
      <w:lang w:eastAsia="ar-SA"/>
    </w:rPr>
  </w:style>
  <w:style w:type="paragraph" w:styleId="Pieddepage">
    <w:name w:val="footer"/>
    <w:basedOn w:val="Normal"/>
    <w:link w:val="PieddepageCar"/>
    <w:uiPriority w:val="99"/>
    <w:unhideWhenUsed/>
    <w:rsid w:val="00603851"/>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603851"/>
    <w:rPr>
      <w:rFonts w:ascii="Calibri Light" w:eastAsia="MS Mincho" w:hAnsi="Calibri Light" w:cs="Calibri Light"/>
      <w:lang w:eastAsia="ar-SA"/>
    </w:rPr>
  </w:style>
  <w:style w:type="paragraph" w:styleId="Bibliographie">
    <w:name w:val="Bibliography"/>
    <w:basedOn w:val="Normal"/>
    <w:next w:val="Normal"/>
    <w:uiPriority w:val="37"/>
    <w:semiHidden/>
    <w:unhideWhenUsed/>
    <w:rsid w:val="00603851"/>
  </w:style>
  <w:style w:type="character" w:styleId="Lienhypertextesuivivisit">
    <w:name w:val="FollowedHyperlink"/>
    <w:basedOn w:val="Policepardfaut"/>
    <w:uiPriority w:val="99"/>
    <w:semiHidden/>
    <w:unhideWhenUsed/>
    <w:rsid w:val="00192ECA"/>
    <w:rPr>
      <w:color w:val="954F72" w:themeColor="followedHyperlink"/>
      <w:u w:val="single"/>
    </w:rPr>
  </w:style>
  <w:style w:type="character" w:styleId="Marquedecommentaire">
    <w:name w:val="annotation reference"/>
    <w:basedOn w:val="Policepardfaut"/>
    <w:uiPriority w:val="99"/>
    <w:semiHidden/>
    <w:unhideWhenUsed/>
    <w:rsid w:val="009C6126"/>
    <w:rPr>
      <w:sz w:val="16"/>
      <w:szCs w:val="16"/>
    </w:rPr>
  </w:style>
  <w:style w:type="paragraph" w:styleId="Commentaire">
    <w:name w:val="annotation text"/>
    <w:basedOn w:val="Normal"/>
    <w:link w:val="CommentaireCar"/>
    <w:uiPriority w:val="99"/>
    <w:semiHidden/>
    <w:unhideWhenUsed/>
    <w:rsid w:val="009C6126"/>
    <w:pPr>
      <w:spacing w:line="240" w:lineRule="auto"/>
    </w:pPr>
    <w:rPr>
      <w:sz w:val="20"/>
      <w:szCs w:val="20"/>
    </w:rPr>
  </w:style>
  <w:style w:type="character" w:customStyle="1" w:styleId="CommentaireCar">
    <w:name w:val="Commentaire Car"/>
    <w:basedOn w:val="Policepardfaut"/>
    <w:link w:val="Commentaire"/>
    <w:uiPriority w:val="99"/>
    <w:semiHidden/>
    <w:rsid w:val="009C6126"/>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9C6126"/>
    <w:rPr>
      <w:b/>
      <w:bCs/>
    </w:rPr>
  </w:style>
  <w:style w:type="character" w:customStyle="1" w:styleId="ObjetducommentaireCar">
    <w:name w:val="Objet du commentaire Car"/>
    <w:basedOn w:val="CommentaireCar"/>
    <w:link w:val="Objetducommentaire"/>
    <w:uiPriority w:val="99"/>
    <w:semiHidden/>
    <w:rsid w:val="009C6126"/>
    <w:rPr>
      <w:rFonts w:ascii="Calibri Light" w:eastAsia="MS Mincho" w:hAnsi="Calibri Light" w:cs="Calibri Light"/>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Commons-publishing-Metopes_extended.dotm</Template>
  <TotalTime>121</TotalTime>
  <Pages>5</Pages>
  <Words>1978</Words>
  <Characters>10882</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11</cp:revision>
  <dcterms:created xsi:type="dcterms:W3CDTF">2024-08-27T12:39:00Z</dcterms:created>
  <dcterms:modified xsi:type="dcterms:W3CDTF">2025-03-17T15:13:00Z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introduction</vt:lpwstr>
  </property>
</Properties>
</file>