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895EEA" w14:textId="77777777" w:rsidR="00940AB8" w:rsidRPr="000469B2" w:rsidRDefault="00116B1B" w:rsidP="000469B2">
      <w:pPr>
        <w:pStyle w:val="Titre"/>
      </w:pPr>
      <w:r w:rsidRPr="000469B2">
        <w:t>Légitimer la légation avignonnaise</w:t>
      </w:r>
    </w:p>
    <w:p w14:paraId="19E8D799" w14:textId="1A3C0EFD" w:rsidR="00116B1B" w:rsidRPr="000469B2" w:rsidRDefault="00940AB8" w:rsidP="000469B2">
      <w:pPr>
        <w:pStyle w:val="TEItitlesub"/>
      </w:pPr>
      <w:r w:rsidRPr="000469B2">
        <w:t>H</w:t>
      </w:r>
      <w:r w:rsidR="00116B1B" w:rsidRPr="000469B2">
        <w:t>éraldique et politique de l’</w:t>
      </w:r>
      <w:proofErr w:type="spellStart"/>
      <w:r w:rsidR="00116B1B" w:rsidRPr="000469B2">
        <w:t>Altera</w:t>
      </w:r>
      <w:proofErr w:type="spellEnd"/>
      <w:r w:rsidR="00116B1B" w:rsidRPr="000469B2">
        <w:t xml:space="preserve"> Roma (</w:t>
      </w:r>
      <w:proofErr w:type="spellStart"/>
      <w:r w:rsidR="00B00DB0" w:rsidRPr="000469B2">
        <w:rPr>
          <w:smallCaps/>
        </w:rPr>
        <w:t>xvi</w:t>
      </w:r>
      <w:r w:rsidR="00116B1B" w:rsidRPr="000469B2">
        <w:rPr>
          <w:vertAlign w:val="superscript"/>
        </w:rPr>
        <w:t>e</w:t>
      </w:r>
      <w:r w:rsidR="00116B1B" w:rsidRPr="000469B2">
        <w:t>-</w:t>
      </w:r>
      <w:r w:rsidR="00B00DB0" w:rsidRPr="000469B2">
        <w:rPr>
          <w:smallCaps/>
        </w:rPr>
        <w:t>xvii</w:t>
      </w:r>
      <w:r w:rsidR="00116B1B" w:rsidRPr="000469B2">
        <w:rPr>
          <w:vertAlign w:val="superscript"/>
        </w:rPr>
        <w:t>e</w:t>
      </w:r>
      <w:proofErr w:type="spellEnd"/>
      <w:r w:rsidR="00B00DB0" w:rsidRPr="000469B2">
        <w:t> </w:t>
      </w:r>
      <w:r w:rsidR="00116B1B" w:rsidRPr="000469B2">
        <w:t>siècles)</w:t>
      </w:r>
    </w:p>
    <w:p w14:paraId="6B049F81" w14:textId="77777777" w:rsidR="00116B1B" w:rsidRPr="00AB6A3C" w:rsidRDefault="00116B1B" w:rsidP="000469B2">
      <w:pPr>
        <w:pStyle w:val="TEIauthoraut"/>
      </w:pPr>
      <w:r w:rsidRPr="00AB6A3C">
        <w:t xml:space="preserve">Camille </w:t>
      </w:r>
      <w:proofErr w:type="spellStart"/>
      <w:r w:rsidRPr="00AB6A3C">
        <w:t>Larraz</w:t>
      </w:r>
      <w:proofErr w:type="spellEnd"/>
    </w:p>
    <w:p w14:paraId="39F14730" w14:textId="0C53C0C4" w:rsidR="00116B1B" w:rsidRPr="00AB6A3C" w:rsidRDefault="00116B1B" w:rsidP="000469B2">
      <w:r w:rsidRPr="00AB6A3C">
        <w:t xml:space="preserve">À partir du </w:t>
      </w:r>
      <w:proofErr w:type="spellStart"/>
      <w:r w:rsidR="00F654A2" w:rsidRPr="00F654A2">
        <w:rPr>
          <w:smallCaps/>
        </w:rPr>
        <w:t>xiv</w:t>
      </w:r>
      <w:r w:rsidRPr="00AB6A3C">
        <w:rPr>
          <w:vertAlign w:val="superscript"/>
        </w:rPr>
        <w:t>e</w:t>
      </w:r>
      <w:proofErr w:type="spellEnd"/>
      <w:r w:rsidR="00F654A2">
        <w:t> </w:t>
      </w:r>
      <w:r w:rsidRPr="00AB6A3C">
        <w:t>siècle, le séjour des souverains pontifes donne une nouvelle dimension à Avignon, qui commence alors à définir son identité culturelle, politique et religieuse en tant qu’</w:t>
      </w:r>
      <w:proofErr w:type="spellStart"/>
      <w:r w:rsidRPr="00AB6A3C">
        <w:rPr>
          <w:i/>
        </w:rPr>
        <w:t>Altera</w:t>
      </w:r>
      <w:proofErr w:type="spellEnd"/>
      <w:r w:rsidRPr="00AB6A3C">
        <w:rPr>
          <w:i/>
        </w:rPr>
        <w:t xml:space="preserve"> Roma</w:t>
      </w:r>
      <w:r w:rsidRPr="00AB6A3C">
        <w:t>, réaffirmant ainsi son statut de cité sainte. Même après leur départ en 1418, la ville demeure la propriété du Saint-Siège et est gouvernée par un légat exerçant l’autorité du pape. Si le concept de l’</w:t>
      </w:r>
      <w:proofErr w:type="spellStart"/>
      <w:r w:rsidRPr="00AB6A3C">
        <w:rPr>
          <w:i/>
        </w:rPr>
        <w:t>Altera</w:t>
      </w:r>
      <w:proofErr w:type="spellEnd"/>
      <w:r w:rsidRPr="00AB6A3C">
        <w:rPr>
          <w:i/>
        </w:rPr>
        <w:t xml:space="preserve"> Roma</w:t>
      </w:r>
      <w:r w:rsidRPr="00AB6A3C">
        <w:t xml:space="preserve"> est déjà bien étudié</w:t>
      </w:r>
      <w:r w:rsidRPr="00AB6A3C">
        <w:rPr>
          <w:vertAlign w:val="superscript"/>
        </w:rPr>
        <w:footnoteReference w:id="1"/>
      </w:r>
      <w:r w:rsidRPr="00AB6A3C">
        <w:t>, cet article se propose de l’examiner à travers le prisme de l’histoire de l’art, premièrement par le rôle des peintres</w:t>
      </w:r>
      <w:r w:rsidR="00AD5822">
        <w:t>,</w:t>
      </w:r>
      <w:r w:rsidRPr="00AB6A3C">
        <w:t xml:space="preserve"> lors de somptueuses entrées au cours desquelles est mise en jeu une abondance héraldique, et secondement par le rôle de la gravure, qui favorise une large diffusion de ces idées. Ces quelques exemples nous permettront ainsi d’interroger l’importance du visuel, en particulier des armoiries et autres dispositifs héraldiques, pour exprimer et légitimer le concept d’</w:t>
      </w:r>
      <w:proofErr w:type="spellStart"/>
      <w:r w:rsidRPr="00AB6A3C">
        <w:rPr>
          <w:i/>
        </w:rPr>
        <w:t>Altera</w:t>
      </w:r>
      <w:proofErr w:type="spellEnd"/>
      <w:r w:rsidRPr="00AB6A3C">
        <w:rPr>
          <w:i/>
        </w:rPr>
        <w:t xml:space="preserve"> Roma</w:t>
      </w:r>
      <w:r w:rsidRPr="00AB6A3C">
        <w:t xml:space="preserve"> entre la seconde moitié du </w:t>
      </w:r>
      <w:proofErr w:type="spellStart"/>
      <w:r w:rsidR="00AD5822" w:rsidRPr="00AD5822">
        <w:rPr>
          <w:smallCaps/>
        </w:rPr>
        <w:t>xvi</w:t>
      </w:r>
      <w:r w:rsidRPr="00AB6A3C">
        <w:rPr>
          <w:vertAlign w:val="superscript"/>
        </w:rPr>
        <w:t>e</w:t>
      </w:r>
      <w:proofErr w:type="spellEnd"/>
      <w:r w:rsidR="00AD5822">
        <w:t> </w:t>
      </w:r>
      <w:r w:rsidRPr="00AB6A3C">
        <w:t xml:space="preserve">siècle et la seconde moitié du </w:t>
      </w:r>
      <w:proofErr w:type="spellStart"/>
      <w:r w:rsidR="00AD5822" w:rsidRPr="00AD5822">
        <w:rPr>
          <w:smallCaps/>
        </w:rPr>
        <w:t>xvii</w:t>
      </w:r>
      <w:r w:rsidRPr="00AB6A3C">
        <w:rPr>
          <w:vertAlign w:val="superscript"/>
        </w:rPr>
        <w:t>e</w:t>
      </w:r>
      <w:proofErr w:type="spellEnd"/>
      <w:r w:rsidR="00AD5822">
        <w:t> </w:t>
      </w:r>
      <w:r w:rsidRPr="00AB6A3C">
        <w:t>siècle.</w:t>
      </w:r>
    </w:p>
    <w:p w14:paraId="0090197E" w14:textId="7E6683AB" w:rsidR="00116B1B" w:rsidRPr="00AB6A3C" w:rsidRDefault="00116B1B" w:rsidP="000469B2">
      <w:pPr>
        <w:pStyle w:val="Titre1"/>
      </w:pPr>
      <w:r w:rsidRPr="00AB6A3C">
        <w:t>L’</w:t>
      </w:r>
      <w:r w:rsidR="00AD5822">
        <w:t>e</w:t>
      </w:r>
      <w:r w:rsidRPr="00AB6A3C">
        <w:t>ntrée Farnèse de 1553</w:t>
      </w:r>
    </w:p>
    <w:p w14:paraId="332E99C4" w14:textId="08C548A1" w:rsidR="00116B1B" w:rsidRPr="00AB6A3C" w:rsidRDefault="00116B1B" w:rsidP="000469B2">
      <w:pPr>
        <w:rPr>
          <w:shd w:val="clear" w:color="auto" w:fill="F9CB9C"/>
        </w:rPr>
      </w:pPr>
      <w:r w:rsidRPr="00AB6A3C">
        <w:t xml:space="preserve">Les somptueuses entrées à Avignon sont des événements particulièrement propices pour exprimer son </w:t>
      </w:r>
      <w:proofErr w:type="gramStart"/>
      <w:r w:rsidRPr="00AB6A3C">
        <w:t>identité</w:t>
      </w:r>
      <w:proofErr w:type="gramEnd"/>
      <w:r w:rsidRPr="00AB6A3C">
        <w:t xml:space="preserve"> urbaine et sa loyauté envers le Saint</w:t>
      </w:r>
      <w:r w:rsidR="00AD5822">
        <w:t>-</w:t>
      </w:r>
      <w:r w:rsidRPr="00AB6A3C">
        <w:t>Siège, en particulier à travers le faste visuel qui est déployé à cette occasion. L’</w:t>
      </w:r>
      <w:r w:rsidR="00AD5822">
        <w:t>e</w:t>
      </w:r>
      <w:r w:rsidRPr="00AB6A3C">
        <w:t>ntrée Farnèse de 1553 étant bien documentée par les sources municipales, les archives permettent de comprendre comment une profusion héraldique et décorative est déployée à cette occasion, afin de légitimer la prise de pouvoir du légat et son appropriation de l’espace urbain. Les comptes de la ville soulignent notamment l’importance du métier de peintre, ainsi que des matériaux et pigments qui leur sont alloués pour créer les décors et éléments symboliques visant à recréer une pompe à la romaine. Le 16</w:t>
      </w:r>
      <w:r w:rsidR="00AD5822">
        <w:t> </w:t>
      </w:r>
      <w:r w:rsidRPr="00AB6A3C">
        <w:t xml:space="preserve">mars 1553, le cardinal légat Alexandre Farnèse fait ainsi son entrée solennelle dans la ville d’Avignon, alors qu’il revient de Paris, où l’usage veut qu’il rencontre le roi à la cour. Vice-chancelier de l’Église et archevêque d’Avignon depuis 1535, après la mort du cardinal Hippolyte de Médicis, il est également resté dans les mémoires pour avoir exercé la fonction de légat en Avignon à partir de 1541. Alexandre Farnèse n’ayant lui-même jamais séjourné sur le long terme à Avignon, un vice-légat qui y demeurait de façon permanente faisait office de représentant de la diplomatie </w:t>
      </w:r>
      <w:r w:rsidRPr="00AB6A3C">
        <w:lastRenderedPageBreak/>
        <w:t xml:space="preserve">pontificale et de sa juridiction spirituelle sur les provinces ecclésiastiques du </w:t>
      </w:r>
      <w:r w:rsidR="005F6A0D">
        <w:t>c</w:t>
      </w:r>
      <w:r w:rsidRPr="00AB6A3C">
        <w:t xml:space="preserve">omtat </w:t>
      </w:r>
      <w:r w:rsidR="00AD5822">
        <w:t>V</w:t>
      </w:r>
      <w:r w:rsidRPr="00AB6A3C">
        <w:t>enaissin (Vienne, Embrun, Arles, Aix et parfois Narbonne</w:t>
      </w:r>
      <w:r w:rsidRPr="00AB6A3C">
        <w:rPr>
          <w:vertAlign w:val="superscript"/>
        </w:rPr>
        <w:footnoteReference w:id="2"/>
      </w:r>
      <w:r w:rsidRPr="00AB6A3C">
        <w:t xml:space="preserve">). Bien que les cérémonies d’entrée soient assez rares au </w:t>
      </w:r>
      <w:proofErr w:type="spellStart"/>
      <w:r w:rsidR="005F6A0D" w:rsidRPr="005F6A0D">
        <w:rPr>
          <w:smallCaps/>
        </w:rPr>
        <w:t>xvi</w:t>
      </w:r>
      <w:r w:rsidRPr="00AB6A3C">
        <w:rPr>
          <w:vertAlign w:val="superscript"/>
        </w:rPr>
        <w:t>e</w:t>
      </w:r>
      <w:proofErr w:type="spellEnd"/>
      <w:r w:rsidR="005F6A0D">
        <w:t> </w:t>
      </w:r>
      <w:r w:rsidRPr="00AB6A3C">
        <w:t>siècle, elles sont supervisées par le conseil de ville et ses trois consuls. En outre, les magistrats municipaux veillent à ce qu’un livret imprimé relatant l’événement soit rédigé afin de le mémoriser et de le célébrer, mais aussi d’expliquer les subtilités des allégories élaborées et de rendre immuable un moment éphémère par sa nature même</w:t>
      </w:r>
      <w:r w:rsidRPr="00AB6A3C">
        <w:rPr>
          <w:vertAlign w:val="superscript"/>
        </w:rPr>
        <w:footnoteReference w:id="3"/>
      </w:r>
      <w:r w:rsidRPr="00AB6A3C">
        <w:t>. Dans le cas d’Avignon, l’</w:t>
      </w:r>
      <w:r w:rsidR="005F6A0D">
        <w:t>e</w:t>
      </w:r>
      <w:r w:rsidRPr="00AB6A3C">
        <w:t>ntrée Farnèse est la première à être retranscrite sous la forme imprimée, par Honoré Henry, source essentielle pour cette étude</w:t>
      </w:r>
      <w:r w:rsidRPr="00AB6A3C">
        <w:rPr>
          <w:vertAlign w:val="superscript"/>
        </w:rPr>
        <w:footnoteReference w:id="4"/>
      </w:r>
      <w:r w:rsidRPr="00AB6A3C">
        <w:t>. Les entrées du cardinal Farnèse dans les villes d’Avignon et de Carpentras, respectivement en mars et en avril 1553, ont notamment été étudiées par Olivier Rouchon et Richard Cooper, qui en proposent de fines analyses historiques et iconographiques, permettant de mieux saisir les enjeux identitaires de ces rituels</w:t>
      </w:r>
      <w:r w:rsidRPr="00AB6A3C">
        <w:rPr>
          <w:vertAlign w:val="superscript"/>
        </w:rPr>
        <w:footnoteReference w:id="5"/>
      </w:r>
      <w:r w:rsidRPr="00AB6A3C">
        <w:t xml:space="preserve">. Ces travaux ne s’attardent toutefois pas sur le rôle des peintres et de l’héraldique, qui nous semble essentiel pour comprendre les mécanismes de pouvoir en jeu. </w:t>
      </w:r>
    </w:p>
    <w:p w14:paraId="1DCDC761" w14:textId="57EC14F9" w:rsidR="00116B1B" w:rsidRPr="00AB6A3C" w:rsidRDefault="00116B1B" w:rsidP="000469B2">
      <w:r w:rsidRPr="00AB6A3C">
        <w:t xml:space="preserve">Formellement, l’entrée consiste en un accueil formalisé de celui qu’on veut honorer, d’abord à l’église de Saint-Véran, juste en-dehors des remparts, puis à la porte Saint-Lazare, avant que l’hôte ne soit mené par un cortège à travers un itinéraire précis dans la ville. Près de la porte est installée une tribune aux harangues depuis laquelle étaient déclamées des paroles rituelles. À la différence d’une entrée royale, l’entrée d’un légat prévoyait l’aménagement d’une chapelle temporaire sous forme de dais, appelé </w:t>
      </w:r>
      <w:r w:rsidR="00653FFD">
        <w:t>« </w:t>
      </w:r>
      <w:proofErr w:type="spellStart"/>
      <w:r w:rsidRPr="00AB6A3C">
        <w:rPr>
          <w:iCs/>
        </w:rPr>
        <w:t>poisle</w:t>
      </w:r>
      <w:proofErr w:type="spellEnd"/>
      <w:r w:rsidR="00653FFD">
        <w:t> </w:t>
      </w:r>
      <w:r w:rsidR="00653FFD" w:rsidRPr="00AB6A3C">
        <w:t>»</w:t>
      </w:r>
      <w:r w:rsidRPr="00AB6A3C">
        <w:t>. Ce dais fait d’ailleurs partie des éléments codifiés les plus importants de la cérémonie. Honoré Henry, dans son livret de 1553 relatant la cérémonie, nous le décrit précisément</w:t>
      </w:r>
      <w:r w:rsidR="00653FFD">
        <w:t> </w:t>
      </w:r>
      <w:r w:rsidR="00653FFD" w:rsidRPr="00AB6A3C">
        <w:t>:</w:t>
      </w:r>
      <w:r w:rsidRPr="00AB6A3C">
        <w:t xml:space="preserve"> </w:t>
      </w:r>
      <w:r w:rsidR="00653FFD">
        <w:t>« </w:t>
      </w:r>
      <w:proofErr w:type="spellStart"/>
      <w:r w:rsidRPr="00AB6A3C">
        <w:rPr>
          <w:iCs/>
        </w:rPr>
        <w:t>aiant</w:t>
      </w:r>
      <w:proofErr w:type="spellEnd"/>
      <w:r w:rsidRPr="00AB6A3C">
        <w:rPr>
          <w:iCs/>
        </w:rPr>
        <w:t xml:space="preserve"> </w:t>
      </w:r>
      <w:proofErr w:type="spellStart"/>
      <w:r w:rsidRPr="00AB6A3C">
        <w:rPr>
          <w:iCs/>
        </w:rPr>
        <w:t>au dessus</w:t>
      </w:r>
      <w:proofErr w:type="spellEnd"/>
      <w:r w:rsidRPr="00AB6A3C">
        <w:rPr>
          <w:iCs/>
        </w:rPr>
        <w:t xml:space="preserve"> de </w:t>
      </w:r>
      <w:proofErr w:type="spellStart"/>
      <w:r w:rsidRPr="00AB6A3C">
        <w:rPr>
          <w:iCs/>
        </w:rPr>
        <w:t>luy</w:t>
      </w:r>
      <w:proofErr w:type="spellEnd"/>
      <w:r w:rsidRPr="00AB6A3C">
        <w:rPr>
          <w:iCs/>
        </w:rPr>
        <w:t xml:space="preserve"> un </w:t>
      </w:r>
      <w:proofErr w:type="spellStart"/>
      <w:r w:rsidRPr="00AB6A3C">
        <w:rPr>
          <w:iCs/>
        </w:rPr>
        <w:t>poisle</w:t>
      </w:r>
      <w:proofErr w:type="spellEnd"/>
      <w:r w:rsidRPr="00AB6A3C">
        <w:rPr>
          <w:iCs/>
        </w:rPr>
        <w:t xml:space="preserve"> de </w:t>
      </w:r>
      <w:proofErr w:type="gramStart"/>
      <w:r w:rsidRPr="00AB6A3C">
        <w:rPr>
          <w:iCs/>
        </w:rPr>
        <w:t>damas cramoisi</w:t>
      </w:r>
      <w:proofErr w:type="gramEnd"/>
      <w:r w:rsidRPr="00AB6A3C">
        <w:rPr>
          <w:iCs/>
        </w:rPr>
        <w:t xml:space="preserve"> rouge à franges d’or, &amp; à </w:t>
      </w:r>
      <w:proofErr w:type="spellStart"/>
      <w:r w:rsidRPr="00AB6A3C">
        <w:rPr>
          <w:iCs/>
        </w:rPr>
        <w:t>sex</w:t>
      </w:r>
      <w:proofErr w:type="spellEnd"/>
      <w:r w:rsidRPr="00AB6A3C">
        <w:rPr>
          <w:iCs/>
        </w:rPr>
        <w:t xml:space="preserve"> bastons semés de fleurs de lis que les trois </w:t>
      </w:r>
      <w:proofErr w:type="spellStart"/>
      <w:r w:rsidRPr="00AB6A3C">
        <w:rPr>
          <w:iCs/>
        </w:rPr>
        <w:t>Consulz</w:t>
      </w:r>
      <w:proofErr w:type="spellEnd"/>
      <w:r w:rsidRPr="00AB6A3C">
        <w:rPr>
          <w:iCs/>
        </w:rPr>
        <w:t xml:space="preserve">, assesseurs &amp; deux gentilhommes de la Ville </w:t>
      </w:r>
      <w:proofErr w:type="spellStart"/>
      <w:r w:rsidRPr="00AB6A3C">
        <w:rPr>
          <w:iCs/>
        </w:rPr>
        <w:t>portoient</w:t>
      </w:r>
      <w:proofErr w:type="spellEnd"/>
      <w:r w:rsidRPr="00AB6A3C">
        <w:rPr>
          <w:iCs/>
        </w:rPr>
        <w:t xml:space="preserve"> à pied</w:t>
      </w:r>
      <w:r w:rsidR="00653FFD" w:rsidRPr="00AB6A3C">
        <w:rPr>
          <w:vertAlign w:val="superscript"/>
        </w:rPr>
        <w:footnoteReference w:id="6"/>
      </w:r>
      <w:r w:rsidR="00653FFD">
        <w:t> </w:t>
      </w:r>
      <w:r w:rsidR="00653FFD" w:rsidRPr="00AB6A3C">
        <w:t>»</w:t>
      </w:r>
      <w:r w:rsidRPr="00AB6A3C">
        <w:t xml:space="preserve">. Le rouge cramoisi et l’or semblent ainsi faire allusion à la Rome antique, alors que l’usage du </w:t>
      </w:r>
      <w:proofErr w:type="spellStart"/>
      <w:r w:rsidRPr="00AB6A3C">
        <w:t>poisle</w:t>
      </w:r>
      <w:proofErr w:type="spellEnd"/>
      <w:r w:rsidRPr="00AB6A3C">
        <w:t xml:space="preserve"> est lui aussi fortement symbolique. En effet, ce sont les trois consuls de la ville, le viguier (un magistrat aux fonctions analogues à celles d’un prévôt), et d’autres membres de l’élite locale qui doivent saisir les six montants lorsqu’il </w:t>
      </w:r>
      <w:r w:rsidRPr="00AB6A3C">
        <w:lastRenderedPageBreak/>
        <w:t>est utilisé comme instrument d’honneur. Il est intéressant de souligner les fleurs de lys ornant les montants de bois</w:t>
      </w:r>
      <w:r w:rsidR="00653FFD">
        <w:t> :</w:t>
      </w:r>
      <w:r w:rsidRPr="00AB6A3C">
        <w:t xml:space="preserve"> la présence des armoiries Farnèse et d’Avignon est un véritable </w:t>
      </w:r>
      <w:r w:rsidRPr="00AB6A3C">
        <w:rPr>
          <w:i/>
        </w:rPr>
        <w:t>leitmotiv</w:t>
      </w:r>
      <w:r w:rsidRPr="00AB6A3C">
        <w:t xml:space="preserve"> qui traverse l’ensemble de la ville, qui demande la protection du légat, auquel elle délègue son pouvoir. Nous retrouvons l’usage du </w:t>
      </w:r>
      <w:proofErr w:type="spellStart"/>
      <w:r w:rsidRPr="00AB6A3C">
        <w:t>poisle</w:t>
      </w:r>
      <w:proofErr w:type="spellEnd"/>
      <w:r w:rsidRPr="00AB6A3C">
        <w:t xml:space="preserve"> armorié dans d’autres villes du royaume de France lors d’entrées de légats. Par exemple, à Rouen en 1596, </w:t>
      </w:r>
      <w:r w:rsidR="00653FFD">
        <w:t>« </w:t>
      </w:r>
      <w:r w:rsidR="00440381">
        <w:t>[s]</w:t>
      </w:r>
      <w:proofErr w:type="spellStart"/>
      <w:r w:rsidRPr="00AB6A3C">
        <w:t>uivant</w:t>
      </w:r>
      <w:proofErr w:type="spellEnd"/>
      <w:r w:rsidRPr="00AB6A3C">
        <w:t xml:space="preserve"> les lettres du Roi, l’on fera Entrée au sieur légat [Alexandre de Médicis, futur Léon XI], auquel sera </w:t>
      </w:r>
      <w:proofErr w:type="spellStart"/>
      <w:r w:rsidRPr="00AB6A3C">
        <w:t>presenté</w:t>
      </w:r>
      <w:proofErr w:type="spellEnd"/>
      <w:r w:rsidRPr="00AB6A3C">
        <w:t xml:space="preserve"> </w:t>
      </w:r>
      <w:proofErr w:type="spellStart"/>
      <w:r w:rsidRPr="00AB6A3C">
        <w:t>poisle</w:t>
      </w:r>
      <w:proofErr w:type="spellEnd"/>
      <w:r w:rsidRPr="00AB6A3C">
        <w:t xml:space="preserve"> de damas, aux </w:t>
      </w:r>
      <w:proofErr w:type="spellStart"/>
      <w:r w:rsidRPr="00AB6A3C">
        <w:t>armaryes</w:t>
      </w:r>
      <w:proofErr w:type="spellEnd"/>
      <w:r w:rsidRPr="00AB6A3C">
        <w:t xml:space="preserve"> dudit 3</w:t>
      </w:r>
      <w:r w:rsidRPr="00AB6A3C">
        <w:rPr>
          <w:vertAlign w:val="superscript"/>
        </w:rPr>
        <w:t>r</w:t>
      </w:r>
      <w:r w:rsidRPr="00AB6A3C">
        <w:t>, porté par les quatre quarteniers</w:t>
      </w:r>
      <w:r w:rsidR="00440381" w:rsidRPr="00AB6A3C">
        <w:rPr>
          <w:vertAlign w:val="superscript"/>
        </w:rPr>
        <w:footnoteReference w:id="7"/>
      </w:r>
      <w:r w:rsidR="00653FFD">
        <w:t> </w:t>
      </w:r>
      <w:r w:rsidR="00653FFD" w:rsidRPr="00AB6A3C">
        <w:t>»</w:t>
      </w:r>
      <w:r w:rsidRPr="00AB6A3C">
        <w:t xml:space="preserve">. De même, les entrées de légats à Paris suivent un cérémonial précis qui comprend également l’emploi d’un damas blanc peint aux armes du légat et de la ville, </w:t>
      </w:r>
      <w:r w:rsidR="00653FFD">
        <w:t>« </w:t>
      </w:r>
      <w:r w:rsidRPr="00AB6A3C">
        <w:t>porté à tour de rôle par les échevins, les bourgeois et les marchands des six corps de la ville</w:t>
      </w:r>
      <w:r w:rsidR="00440381" w:rsidRPr="00AB6A3C">
        <w:rPr>
          <w:vertAlign w:val="superscript"/>
        </w:rPr>
        <w:footnoteReference w:id="8"/>
      </w:r>
      <w:r w:rsidR="00653FFD">
        <w:t> </w:t>
      </w:r>
      <w:r w:rsidR="00653FFD" w:rsidRPr="00AB6A3C">
        <w:t>»</w:t>
      </w:r>
      <w:r w:rsidRPr="00AB6A3C">
        <w:t>.</w:t>
      </w:r>
    </w:p>
    <w:p w14:paraId="7A6684AD" w14:textId="03A8312F" w:rsidR="00116B1B" w:rsidRPr="00AB6A3C" w:rsidRDefault="00116B1B" w:rsidP="000469B2">
      <w:r w:rsidRPr="00AB6A3C">
        <w:t>Les rues que le cortège traverse sont aussi ornées de tentures aux couleurs et décorations significatives. À nouveau, Honoré Henry nous dit à ce propos</w:t>
      </w:r>
      <w:r w:rsidR="00653FFD">
        <w:t> :</w:t>
      </w:r>
      <w:r w:rsidRPr="00AB6A3C">
        <w:t xml:space="preserve"> </w:t>
      </w:r>
      <w:r w:rsidR="00653FFD">
        <w:t>« </w:t>
      </w:r>
      <w:proofErr w:type="spellStart"/>
      <w:r w:rsidRPr="00AB6A3C">
        <w:rPr>
          <w:iCs/>
        </w:rPr>
        <w:t>ledict</w:t>
      </w:r>
      <w:proofErr w:type="spellEnd"/>
      <w:r w:rsidRPr="00AB6A3C">
        <w:rPr>
          <w:iCs/>
        </w:rPr>
        <w:t xml:space="preserve"> Seigneur, avec toutes les </w:t>
      </w:r>
      <w:proofErr w:type="spellStart"/>
      <w:r w:rsidRPr="00AB6A3C">
        <w:rPr>
          <w:iCs/>
        </w:rPr>
        <w:t>compaignies</w:t>
      </w:r>
      <w:proofErr w:type="spellEnd"/>
      <w:r w:rsidRPr="00AB6A3C">
        <w:rPr>
          <w:iCs/>
        </w:rPr>
        <w:t xml:space="preserve"> disposées en bon &amp; convenant ordre, </w:t>
      </w:r>
      <w:proofErr w:type="spellStart"/>
      <w:r w:rsidRPr="00AB6A3C">
        <w:rPr>
          <w:iCs/>
        </w:rPr>
        <w:t>vindrent</w:t>
      </w:r>
      <w:proofErr w:type="spellEnd"/>
      <w:r w:rsidRPr="00AB6A3C">
        <w:rPr>
          <w:iCs/>
        </w:rPr>
        <w:t xml:space="preserve"> en une </w:t>
      </w:r>
      <w:proofErr w:type="spellStart"/>
      <w:r w:rsidRPr="00AB6A3C">
        <w:rPr>
          <w:iCs/>
        </w:rPr>
        <w:t>Eglise</w:t>
      </w:r>
      <w:proofErr w:type="spellEnd"/>
      <w:r w:rsidRPr="00AB6A3C">
        <w:rPr>
          <w:iCs/>
        </w:rPr>
        <w:t xml:space="preserve"> nommée </w:t>
      </w:r>
      <w:proofErr w:type="spellStart"/>
      <w:r w:rsidRPr="00AB6A3C">
        <w:rPr>
          <w:iCs/>
        </w:rPr>
        <w:t>Sainct</w:t>
      </w:r>
      <w:proofErr w:type="spellEnd"/>
      <w:r w:rsidRPr="00AB6A3C">
        <w:rPr>
          <w:iCs/>
        </w:rPr>
        <w:t xml:space="preserve"> </w:t>
      </w:r>
      <w:proofErr w:type="spellStart"/>
      <w:r w:rsidRPr="00AB6A3C">
        <w:rPr>
          <w:iCs/>
        </w:rPr>
        <w:t>Veran</w:t>
      </w:r>
      <w:proofErr w:type="spellEnd"/>
      <w:r w:rsidRPr="00AB6A3C">
        <w:rPr>
          <w:iCs/>
        </w:rPr>
        <w:t xml:space="preserve"> [...]. Puis </w:t>
      </w:r>
      <w:proofErr w:type="spellStart"/>
      <w:r w:rsidRPr="00AB6A3C">
        <w:rPr>
          <w:iCs/>
        </w:rPr>
        <w:t>apres</w:t>
      </w:r>
      <w:proofErr w:type="spellEnd"/>
      <w:r w:rsidRPr="00AB6A3C">
        <w:rPr>
          <w:iCs/>
        </w:rPr>
        <w:t xml:space="preserve"> vint </w:t>
      </w:r>
      <w:proofErr w:type="spellStart"/>
      <w:r w:rsidRPr="00AB6A3C">
        <w:rPr>
          <w:iCs/>
        </w:rPr>
        <w:t>au devant</w:t>
      </w:r>
      <w:proofErr w:type="spellEnd"/>
      <w:r w:rsidRPr="00AB6A3C">
        <w:rPr>
          <w:iCs/>
        </w:rPr>
        <w:t xml:space="preserve"> de </w:t>
      </w:r>
      <w:proofErr w:type="spellStart"/>
      <w:r w:rsidRPr="00AB6A3C">
        <w:rPr>
          <w:iCs/>
        </w:rPr>
        <w:t>ladicte</w:t>
      </w:r>
      <w:proofErr w:type="spellEnd"/>
      <w:r w:rsidRPr="00AB6A3C">
        <w:rPr>
          <w:iCs/>
        </w:rPr>
        <w:t xml:space="preserve"> </w:t>
      </w:r>
      <w:proofErr w:type="spellStart"/>
      <w:r w:rsidRPr="00AB6A3C">
        <w:rPr>
          <w:iCs/>
        </w:rPr>
        <w:t>eglise</w:t>
      </w:r>
      <w:proofErr w:type="spellEnd"/>
      <w:r w:rsidRPr="00AB6A3C">
        <w:rPr>
          <w:iCs/>
        </w:rPr>
        <w:t xml:space="preserve"> en une Loge tout au tout &amp; au dedans tendue de riche </w:t>
      </w:r>
      <w:proofErr w:type="spellStart"/>
      <w:r w:rsidRPr="00AB6A3C">
        <w:rPr>
          <w:iCs/>
        </w:rPr>
        <w:t>tappisserie</w:t>
      </w:r>
      <w:proofErr w:type="spellEnd"/>
      <w:r w:rsidRPr="00AB6A3C">
        <w:rPr>
          <w:iCs/>
        </w:rPr>
        <w:t xml:space="preserve">, avec arcade &amp; </w:t>
      </w:r>
      <w:proofErr w:type="spellStart"/>
      <w:r w:rsidRPr="00AB6A3C">
        <w:rPr>
          <w:iCs/>
        </w:rPr>
        <w:t>appuys</w:t>
      </w:r>
      <w:proofErr w:type="spellEnd"/>
      <w:r w:rsidRPr="00AB6A3C">
        <w:rPr>
          <w:iCs/>
        </w:rPr>
        <w:t xml:space="preserve"> sur le devant, le tout enrichi à force festons, chapeaux de </w:t>
      </w:r>
      <w:proofErr w:type="spellStart"/>
      <w:r w:rsidRPr="00AB6A3C">
        <w:rPr>
          <w:iCs/>
        </w:rPr>
        <w:t>triumphe</w:t>
      </w:r>
      <w:proofErr w:type="spellEnd"/>
      <w:r w:rsidRPr="00AB6A3C">
        <w:rPr>
          <w:iCs/>
        </w:rPr>
        <w:t xml:space="preserve">, &amp; armoiries </w:t>
      </w:r>
      <w:proofErr w:type="spellStart"/>
      <w:r w:rsidRPr="00AB6A3C">
        <w:rPr>
          <w:iCs/>
        </w:rPr>
        <w:t>dudict</w:t>
      </w:r>
      <w:proofErr w:type="spellEnd"/>
      <w:r w:rsidRPr="00AB6A3C">
        <w:rPr>
          <w:iCs/>
        </w:rPr>
        <w:t xml:space="preserve"> Seigneur environnez d’or cliquant [...]</w:t>
      </w:r>
      <w:r w:rsidR="003E135A" w:rsidRPr="00AB6A3C">
        <w:rPr>
          <w:vertAlign w:val="superscript"/>
        </w:rPr>
        <w:footnoteReference w:id="9"/>
      </w:r>
      <w:r w:rsidR="00440381">
        <w:rPr>
          <w:iCs/>
        </w:rPr>
        <w:t>.</w:t>
      </w:r>
      <w:r w:rsidR="00653FFD">
        <w:t> </w:t>
      </w:r>
      <w:r w:rsidR="00653FFD" w:rsidRPr="00AB6A3C">
        <w:t>»</w:t>
      </w:r>
      <w:r w:rsidRPr="00AB6A3C">
        <w:t xml:space="preserve"> Comme nous le verrons plus loin, l’or fait partie des matériaux les plus importants alloués aux peintres, un statut qui se reflète visuellement lors du faste de la cérémonie. Ces décors éphémères sont réalisés par des artisans locaux sous la direction d’un architecte ayant conçu le programme, en général d’après les nombreux traités représentant les antiques, tels que celui de Sebastiano Serlio sur les Joyeuses </w:t>
      </w:r>
      <w:r w:rsidR="00E413A5">
        <w:t>e</w:t>
      </w:r>
      <w:r w:rsidRPr="00AB6A3C">
        <w:t xml:space="preserve">ntrées en 1549. Nous ignorons qui a conçu le programme avignonnais, mais il a été supposé qu’il </w:t>
      </w:r>
      <w:proofErr w:type="gramStart"/>
      <w:r w:rsidRPr="00AB6A3C">
        <w:t>s’agit</w:t>
      </w:r>
      <w:proofErr w:type="gramEnd"/>
      <w:r w:rsidRPr="00AB6A3C">
        <w:t xml:space="preserve"> des mêmes personnes chargées de l’entrée du cardinal à Carpentras en avril 1553, dont le livret écrit par Antoine </w:t>
      </w:r>
      <w:proofErr w:type="spellStart"/>
      <w:r w:rsidRPr="00AB6A3C">
        <w:t>Blégier</w:t>
      </w:r>
      <w:proofErr w:type="spellEnd"/>
      <w:r w:rsidRPr="00AB6A3C">
        <w:t>, imprimé en italien et en français, présente des gravures de la main de Bernard Salomon, à la différence de la version avignonnaise. Cet imprimé peut ainsi nous servir de point de comparaison pour tenter de reconstituer les décors réalisés à l’occasion de l’entrée du légat à Avignon. On y trouve notamment des architectures éphémères comme des arcs de triomphe ou des tableaux vivants permettant de façonner l’espace urbain et de recréer par là une pompe antique digne des empereurs romains (</w:t>
      </w:r>
      <w:r w:rsidR="00653FFD">
        <w:t>fig. </w:t>
      </w:r>
      <w:r w:rsidR="003E135A">
        <w:t>1</w:t>
      </w:r>
      <w:r w:rsidR="00BB41E6">
        <w:t>29</w:t>
      </w:r>
      <w:r w:rsidR="00973278">
        <w:t xml:space="preserve"> et </w:t>
      </w:r>
      <w:r w:rsidR="003E135A">
        <w:t>13</w:t>
      </w:r>
      <w:r w:rsidR="00BB41E6">
        <w:t>0</w:t>
      </w:r>
      <w:r w:rsidRPr="00AB6A3C">
        <w:t xml:space="preserve">). </w:t>
      </w:r>
    </w:p>
    <w:p w14:paraId="49FCDE64" w14:textId="6227E47B" w:rsidR="00116B1B" w:rsidRPr="00AB6A3C" w:rsidRDefault="00116B1B" w:rsidP="000469B2">
      <w:r w:rsidRPr="00AB6A3C">
        <w:t xml:space="preserve">Les décors signalent visuellement la souveraineté pontificale à travers la figure du légat. Symboliquement, la procession sert donc à concrétiser par l’image la prise de possession consentie du </w:t>
      </w:r>
      <w:r w:rsidRPr="00AB6A3C">
        <w:lastRenderedPageBreak/>
        <w:t>légat, qui endosse son rôle de dirigeant et de protecteur, tout en réaffirmant la souveraineté du pape dont il est le représentant. Le faste visuel de la cérémonie devient acte politique</w:t>
      </w:r>
      <w:r w:rsidR="00653FFD">
        <w:t> :</w:t>
      </w:r>
      <w:r w:rsidRPr="00AB6A3C">
        <w:t xml:space="preserve"> il lui permet de se faire connaître physiquement et publiquement aux citoyens et de manifester son pouvoir par des signes visibles. Comme le note Richard Cooper, un élément créé pour l’occasion est intéressant à plus d’un égard</w:t>
      </w:r>
      <w:r w:rsidR="00653FFD">
        <w:t> :</w:t>
      </w:r>
      <w:r w:rsidRPr="00AB6A3C">
        <w:t xml:space="preserve"> l’emblème réalisé chaque année à Noël et utilisé pour l’année à venir. Pour 1553, probablement en prévision de l’entrée de mars, il présente la tiare papale, les clés de Saint-Pierre, un chapeau de cardinal dont deux colombes avec une branche d’olivier descendent, deux cornes d’abondance, deux palmes et deux mains jointes avec la devise </w:t>
      </w:r>
      <w:r w:rsidR="00653FFD">
        <w:t>« </w:t>
      </w:r>
      <w:r w:rsidRPr="00AB6A3C">
        <w:rPr>
          <w:i/>
        </w:rPr>
        <w:t xml:space="preserve">Sic </w:t>
      </w:r>
      <w:proofErr w:type="spellStart"/>
      <w:r w:rsidRPr="00AB6A3C">
        <w:rPr>
          <w:i/>
        </w:rPr>
        <w:t>omnia</w:t>
      </w:r>
      <w:proofErr w:type="spellEnd"/>
      <w:r w:rsidRPr="00AB6A3C">
        <w:rPr>
          <w:i/>
        </w:rPr>
        <w:t xml:space="preserve"> </w:t>
      </w:r>
      <w:proofErr w:type="spellStart"/>
      <w:r w:rsidRPr="00AB6A3C">
        <w:rPr>
          <w:i/>
        </w:rPr>
        <w:t>prospera</w:t>
      </w:r>
      <w:proofErr w:type="spellEnd"/>
      <w:r w:rsidR="007E312D" w:rsidRPr="00AB6A3C">
        <w:rPr>
          <w:vertAlign w:val="superscript"/>
        </w:rPr>
        <w:footnoteReference w:id="10"/>
      </w:r>
      <w:r w:rsidR="00653FFD">
        <w:t> </w:t>
      </w:r>
      <w:r w:rsidR="00653FFD" w:rsidRPr="00AB6A3C">
        <w:t>»</w:t>
      </w:r>
      <w:r w:rsidRPr="00AB6A3C">
        <w:t xml:space="preserve">. Cet emblème, représentant l’unité et la paix apportées par la papauté et le cardinal légat, est combiné avec les armes de Farnèse et des six fleurs de lys, pratique qui permet d’intégrer facilement l’alliance de la France et des Farnèse puisque les fleurs font naturellement allusion au royaume. Nous pouvons donc y voir une représentation métaphorique du statut d’Avignon, celle-ci étant autant loyale à Rome et au pape qu’au royaume de France, dont elle est régnicole depuis 1536. La profusion héraldique lors de la cérémonie d’entrée joue donc un rôle fondamental pour </w:t>
      </w:r>
      <w:r w:rsidR="00653FFD">
        <w:t>« </w:t>
      </w:r>
      <w:r w:rsidRPr="00AB6A3C">
        <w:t>une appropriation symbolique temporaire de l’espace urbain</w:t>
      </w:r>
      <w:r w:rsidR="00B661C8" w:rsidRPr="00AB6A3C">
        <w:rPr>
          <w:vertAlign w:val="superscript"/>
        </w:rPr>
        <w:footnoteReference w:id="11"/>
      </w:r>
      <w:r w:rsidR="00653FFD">
        <w:t> </w:t>
      </w:r>
      <w:r w:rsidR="00653FFD" w:rsidRPr="00AB6A3C">
        <w:t>»</w:t>
      </w:r>
      <w:r w:rsidRPr="00AB6A3C">
        <w:t xml:space="preserve">. </w:t>
      </w:r>
    </w:p>
    <w:p w14:paraId="7E7899E5" w14:textId="17C797E1" w:rsidR="00116B1B" w:rsidRPr="00AB6A3C" w:rsidRDefault="00116B1B" w:rsidP="000469B2">
      <w:pPr>
        <w:pStyle w:val="Titre1"/>
      </w:pPr>
      <w:r w:rsidRPr="00AB6A3C">
        <w:t>Peintres et héraldique</w:t>
      </w:r>
    </w:p>
    <w:p w14:paraId="73B4DE99" w14:textId="7C249637" w:rsidR="00116B1B" w:rsidRPr="00AB6A3C" w:rsidRDefault="00116B1B" w:rsidP="000469B2">
      <w:r w:rsidRPr="00AB6A3C">
        <w:t>L’abondance héraldique présente lors de la cérémonie fait partie des nombreux éléments de chantier confiés aux peintres de la ville, engagés sur plusieurs mois pour réaliser ces travaux considérables, entre les mois de novembre 1552 et mars 1553. À la tête de l’équipe des artisans, composée d’une douzaine de peintres locaux et peut-être étrangers, se trouve Simon de</w:t>
      </w:r>
      <w:r w:rsidR="00B661C8">
        <w:t> </w:t>
      </w:r>
      <w:r w:rsidRPr="00AB6A3C">
        <w:t xml:space="preserve">Mailly, dit de Châlons, premier peintre de la </w:t>
      </w:r>
      <w:r w:rsidR="00B661C8">
        <w:t>v</w:t>
      </w:r>
      <w:r w:rsidRPr="00AB6A3C">
        <w:t>ille</w:t>
      </w:r>
      <w:r w:rsidRPr="00AB6A3C">
        <w:rPr>
          <w:vertAlign w:val="superscript"/>
        </w:rPr>
        <w:footnoteReference w:id="12"/>
      </w:r>
      <w:r w:rsidRPr="00AB6A3C">
        <w:t>. Les documents d’archives révèlent quantité d’informations sur les matériaux qui sont alloués aux peintres (</w:t>
      </w:r>
      <w:r w:rsidR="00653FFD">
        <w:t>fig. </w:t>
      </w:r>
      <w:r w:rsidR="003E135A">
        <w:t>13</w:t>
      </w:r>
      <w:r w:rsidR="00BB41E6">
        <w:t>1</w:t>
      </w:r>
      <w:r w:rsidRPr="00AB6A3C">
        <w:t>), notamment des pigments, presque exclusivement confiés à Simon de</w:t>
      </w:r>
      <w:r w:rsidR="00B661C8">
        <w:t> </w:t>
      </w:r>
      <w:r w:rsidRPr="00AB6A3C">
        <w:t>Châlons, probablement en raison de leur valeur. Nous trouvons une grande variété de pigments fournis à Simon de Mailly</w:t>
      </w:r>
      <w:r w:rsidR="00653FFD">
        <w:t> :</w:t>
      </w:r>
      <w:r w:rsidRPr="00AB6A3C">
        <w:t xml:space="preserve"> des bleus (florée et azur), des verts (verdet, vert de vessie), des rouges (ocre rouge, cinabre, rosette, rouge de minium, dit </w:t>
      </w:r>
      <w:r w:rsidR="00653FFD">
        <w:t>« </w:t>
      </w:r>
      <w:r w:rsidRPr="00AB6A3C">
        <w:rPr>
          <w:iCs/>
        </w:rPr>
        <w:t>mini</w:t>
      </w:r>
      <w:r w:rsidR="00653FFD">
        <w:rPr>
          <w:iCs/>
        </w:rPr>
        <w:t> </w:t>
      </w:r>
      <w:r w:rsidR="00653FFD" w:rsidRPr="00AB6A3C">
        <w:t>»</w:t>
      </w:r>
      <w:r w:rsidRPr="00AB6A3C">
        <w:t xml:space="preserve">), des jaunes (ocre jaune, orpiment, massicot, le </w:t>
      </w:r>
      <w:proofErr w:type="spellStart"/>
      <w:r w:rsidRPr="00AB6A3C">
        <w:t>stil</w:t>
      </w:r>
      <w:proofErr w:type="spellEnd"/>
      <w:r w:rsidRPr="00AB6A3C">
        <w:t xml:space="preserve"> de grain, dit </w:t>
      </w:r>
      <w:r w:rsidR="00653FFD">
        <w:t>« </w:t>
      </w:r>
      <w:proofErr w:type="spellStart"/>
      <w:r w:rsidRPr="00AB6A3C">
        <w:rPr>
          <w:iCs/>
        </w:rPr>
        <w:t>estut</w:t>
      </w:r>
      <w:proofErr w:type="spellEnd"/>
      <w:r w:rsidRPr="00AB6A3C">
        <w:rPr>
          <w:iCs/>
        </w:rPr>
        <w:t xml:space="preserve"> de </w:t>
      </w:r>
      <w:proofErr w:type="spellStart"/>
      <w:r w:rsidRPr="00AB6A3C">
        <w:rPr>
          <w:iCs/>
        </w:rPr>
        <w:t>grum</w:t>
      </w:r>
      <w:proofErr w:type="spellEnd"/>
      <w:r w:rsidR="00653FFD">
        <w:t> </w:t>
      </w:r>
      <w:r w:rsidR="00653FFD" w:rsidRPr="00AB6A3C">
        <w:t>»</w:t>
      </w:r>
      <w:r w:rsidRPr="00AB6A3C">
        <w:t>), des blancs (céruse, céruse menue), et du noir broyé</w:t>
      </w:r>
      <w:r w:rsidRPr="00AB6A3C">
        <w:rPr>
          <w:vertAlign w:val="superscript"/>
        </w:rPr>
        <w:footnoteReference w:id="13"/>
      </w:r>
      <w:r w:rsidRPr="00AB6A3C">
        <w:t xml:space="preserve">. On lui octroie par la suite des ingrédients essentiels à la préparation desdits pigments, comme de l’huile de noix, du vernis liquide, de la laque fine, de la colle claire, de l’aigue ardent, du papier </w:t>
      </w:r>
      <w:r w:rsidR="00653FFD">
        <w:t>« </w:t>
      </w:r>
      <w:r w:rsidRPr="00AB6A3C">
        <w:rPr>
          <w:iCs/>
        </w:rPr>
        <w:t>d’estrasse</w:t>
      </w:r>
      <w:r w:rsidR="00653FFD">
        <w:rPr>
          <w:i/>
        </w:rPr>
        <w:t> </w:t>
      </w:r>
      <w:r w:rsidR="00653FFD" w:rsidRPr="00AB6A3C">
        <w:rPr>
          <w:i/>
        </w:rPr>
        <w:t>»</w:t>
      </w:r>
      <w:r w:rsidRPr="00AB6A3C">
        <w:t xml:space="preserve"> et du coton battu (pour appliquer les feuilles d’or). Quantitativement, le blanc et le noir sont les pigments les plus employés, </w:t>
      </w:r>
      <w:r w:rsidRPr="00AB6A3C">
        <w:lastRenderedPageBreak/>
        <w:t xml:space="preserve">suivis de l’ocre jaune, de l’ocre rouge et de l’azur, de l’orpiment, du cinabre et des verts, de la </w:t>
      </w:r>
      <w:proofErr w:type="spellStart"/>
      <w:r w:rsidRPr="00AB6A3C">
        <w:t>rouzette</w:t>
      </w:r>
      <w:proofErr w:type="spellEnd"/>
      <w:r w:rsidRPr="00AB6A3C">
        <w:t xml:space="preserve"> et du massicot. Il n’est pas étonnant de voir le blanc et le noir utilisés majoritairement (un très grand nombre de textes poétiques et allégoriques ornaient les décors), tout comme le jaune, rouge et bleu pour les armoiries d’Alexandre Farnèse (</w:t>
      </w:r>
      <w:r w:rsidRPr="00AB6A3C">
        <w:rPr>
          <w:iCs/>
        </w:rPr>
        <w:t>d’or à six fleurs de lys d’azur</w:t>
      </w:r>
      <w:r w:rsidRPr="00AB6A3C">
        <w:t>) et de la Ville d’Avignon (</w:t>
      </w:r>
      <w:r w:rsidRPr="00AB6A3C">
        <w:rPr>
          <w:iCs/>
        </w:rPr>
        <w:t xml:space="preserve">de gueules à trois clefs d’or posées en </w:t>
      </w:r>
      <w:proofErr w:type="spellStart"/>
      <w:r w:rsidRPr="00AB6A3C">
        <w:rPr>
          <w:iCs/>
        </w:rPr>
        <w:t>fasce</w:t>
      </w:r>
      <w:proofErr w:type="spellEnd"/>
      <w:r w:rsidRPr="00AB6A3C">
        <w:t xml:space="preserve">), elles aussi reproduites de très nombreuses fois. </w:t>
      </w:r>
    </w:p>
    <w:p w14:paraId="7CCC8FE2" w14:textId="7E7728D1" w:rsidR="00116B1B" w:rsidRPr="00AB6A3C" w:rsidRDefault="00116B1B" w:rsidP="000469B2">
      <w:r w:rsidRPr="00AB6A3C">
        <w:t>Les quantités d’or et d’argent nécessaires étant vraisemblablement trop importantes pour l’ensemble des décorations, de l’oripeau (</w:t>
      </w:r>
      <w:r w:rsidR="00653FFD">
        <w:t>« </w:t>
      </w:r>
      <w:proofErr w:type="spellStart"/>
      <w:r w:rsidRPr="00AB6A3C">
        <w:rPr>
          <w:iCs/>
        </w:rPr>
        <w:t>auripel</w:t>
      </w:r>
      <w:proofErr w:type="spellEnd"/>
      <w:r w:rsidR="00653FFD">
        <w:t> </w:t>
      </w:r>
      <w:r w:rsidR="00653FFD" w:rsidRPr="00AB6A3C">
        <w:t>»</w:t>
      </w:r>
      <w:r w:rsidRPr="00AB6A3C">
        <w:t>) est employé comme substitut. Ces feuilles battues de laiton ou de cuivre avaient l’apparence de l’or ou du bronze antique et permettaient de rendre un effet doré à moindre coût. Ces substances ont peut-être également été utilisées pour des armoiries, réalisées en de très nombreux exemplaires ainsi que d’autres éléments de décors intégrés à l’ensemble. Le fait qu</w:t>
      </w:r>
      <w:proofErr w:type="gramStart"/>
      <w:r w:rsidR="00653FFD">
        <w:t>’«</w:t>
      </w:r>
      <w:proofErr w:type="gramEnd"/>
      <w:r w:rsidR="00A148AB">
        <w:t> </w:t>
      </w:r>
      <w:r w:rsidRPr="00AB6A3C">
        <w:rPr>
          <w:iCs/>
        </w:rPr>
        <w:t xml:space="preserve">une grosse </w:t>
      </w:r>
      <w:proofErr w:type="spellStart"/>
      <w:r w:rsidRPr="00AB6A3C">
        <w:rPr>
          <w:iCs/>
        </w:rPr>
        <w:t>auripel</w:t>
      </w:r>
      <w:proofErr w:type="spellEnd"/>
      <w:r w:rsidR="00653FFD">
        <w:t> </w:t>
      </w:r>
      <w:r w:rsidR="00653FFD" w:rsidRPr="00AB6A3C">
        <w:t>»</w:t>
      </w:r>
      <w:r w:rsidRPr="00AB6A3C">
        <w:t xml:space="preserve"> et </w:t>
      </w:r>
      <w:r w:rsidR="00653FFD">
        <w:t>« </w:t>
      </w:r>
      <w:r w:rsidRPr="00AB6A3C">
        <w:rPr>
          <w:iCs/>
        </w:rPr>
        <w:t xml:space="preserve">deux </w:t>
      </w:r>
      <w:proofErr w:type="spellStart"/>
      <w:r w:rsidRPr="00AB6A3C">
        <w:rPr>
          <w:iCs/>
        </w:rPr>
        <w:t>douzènes</w:t>
      </w:r>
      <w:proofErr w:type="spellEnd"/>
      <w:r w:rsidRPr="00AB6A3C">
        <w:rPr>
          <w:iCs/>
        </w:rPr>
        <w:t xml:space="preserve"> </w:t>
      </w:r>
      <w:proofErr w:type="spellStart"/>
      <w:r w:rsidRPr="00AB6A3C">
        <w:rPr>
          <w:iCs/>
        </w:rPr>
        <w:t>auripel</w:t>
      </w:r>
      <w:proofErr w:type="spellEnd"/>
      <w:r w:rsidR="00653FFD">
        <w:t> </w:t>
      </w:r>
      <w:r w:rsidR="00653FFD" w:rsidRPr="00AB6A3C">
        <w:t>»</w:t>
      </w:r>
      <w:r w:rsidRPr="00AB6A3C">
        <w:t xml:space="preserve"> soient données respectivement aux peintres Antoine Duplan et Claude Roc, et que la ligne suivante mentionne l’impressionnant nombre de 1</w:t>
      </w:r>
      <w:r w:rsidR="00A148AB">
        <w:t> </w:t>
      </w:r>
      <w:r w:rsidRPr="00AB6A3C">
        <w:t xml:space="preserve">125 pignons à </w:t>
      </w:r>
      <w:r w:rsidR="00653FFD">
        <w:t>« </w:t>
      </w:r>
      <w:proofErr w:type="spellStart"/>
      <w:r w:rsidRPr="00AB6A3C">
        <w:rPr>
          <w:iCs/>
        </w:rPr>
        <w:t>dourer</w:t>
      </w:r>
      <w:proofErr w:type="spellEnd"/>
      <w:r w:rsidR="00A148AB" w:rsidRPr="00AB6A3C">
        <w:rPr>
          <w:vertAlign w:val="superscript"/>
        </w:rPr>
        <w:footnoteReference w:id="14"/>
      </w:r>
      <w:r w:rsidR="00653FFD">
        <w:t> </w:t>
      </w:r>
      <w:r w:rsidR="00653FFD" w:rsidRPr="00AB6A3C">
        <w:t>»</w:t>
      </w:r>
      <w:r w:rsidRPr="00AB6A3C">
        <w:t>, laisse imaginer que ce matériau est employé à cet effet. Un mandat individuel engage précisément Antoine Duplan pour dorer 1</w:t>
      </w:r>
      <w:r w:rsidR="00A148AB">
        <w:t> </w:t>
      </w:r>
      <w:r w:rsidRPr="00AB6A3C">
        <w:t>125</w:t>
      </w:r>
      <w:r w:rsidR="00A148AB">
        <w:t> </w:t>
      </w:r>
      <w:r w:rsidR="00653FFD">
        <w:t>« </w:t>
      </w:r>
      <w:r w:rsidRPr="00AB6A3C">
        <w:rPr>
          <w:iCs/>
        </w:rPr>
        <w:t>pignes</w:t>
      </w:r>
      <w:r w:rsidR="00653FFD">
        <w:t> </w:t>
      </w:r>
      <w:r w:rsidR="00653FFD" w:rsidRPr="00AB6A3C">
        <w:t>»</w:t>
      </w:r>
      <w:r w:rsidRPr="00AB6A3C">
        <w:t xml:space="preserve"> </w:t>
      </w:r>
      <w:r w:rsidR="00653FFD">
        <w:t>« </w:t>
      </w:r>
      <w:r w:rsidRPr="00AB6A3C">
        <w:rPr>
          <w:iCs/>
        </w:rPr>
        <w:t>pour l’entrée de Mgr le légat</w:t>
      </w:r>
      <w:r w:rsidR="00653FFD">
        <w:t> </w:t>
      </w:r>
      <w:r w:rsidR="00653FFD" w:rsidRPr="00AB6A3C">
        <w:t>»</w:t>
      </w:r>
      <w:r w:rsidRPr="00AB6A3C">
        <w:t>, pour le prix de 4</w:t>
      </w:r>
      <w:r w:rsidR="00A148AB">
        <w:t> </w:t>
      </w:r>
      <w:r w:rsidRPr="00AB6A3C">
        <w:t>livres et 10</w:t>
      </w:r>
      <w:r w:rsidR="00A148AB">
        <w:t> </w:t>
      </w:r>
      <w:r w:rsidRPr="00AB6A3C">
        <w:t>sous</w:t>
      </w:r>
      <w:r w:rsidRPr="00AB6A3C">
        <w:rPr>
          <w:vertAlign w:val="superscript"/>
        </w:rPr>
        <w:footnoteReference w:id="15"/>
      </w:r>
      <w:r w:rsidRPr="00AB6A3C">
        <w:t xml:space="preserve">. Certains autres peintres reçoivent en effet des mandats précis, par exemple pour la peinture de </w:t>
      </w:r>
      <w:r w:rsidR="00653FFD">
        <w:t>« </w:t>
      </w:r>
      <w:r w:rsidRPr="00AB6A3C">
        <w:rPr>
          <w:iCs/>
        </w:rPr>
        <w:t>trois douzaine de petites armes</w:t>
      </w:r>
      <w:r w:rsidR="00653FFD">
        <w:t> </w:t>
      </w:r>
      <w:r w:rsidR="00653FFD" w:rsidRPr="00AB6A3C">
        <w:t>»</w:t>
      </w:r>
      <w:r w:rsidRPr="00AB6A3C">
        <w:t xml:space="preserve">, </w:t>
      </w:r>
      <w:r w:rsidR="00653FFD">
        <w:t>« </w:t>
      </w:r>
      <w:r w:rsidRPr="00AB6A3C">
        <w:rPr>
          <w:iCs/>
        </w:rPr>
        <w:t>unes grandes armes de toile</w:t>
      </w:r>
      <w:r w:rsidR="00653FFD">
        <w:t> </w:t>
      </w:r>
      <w:r w:rsidR="00653FFD" w:rsidRPr="00AB6A3C">
        <w:t>»</w:t>
      </w:r>
      <w:r w:rsidRPr="00AB6A3C">
        <w:t xml:space="preserve"> et 50</w:t>
      </w:r>
      <w:r w:rsidR="00A148AB">
        <w:t> </w:t>
      </w:r>
      <w:r w:rsidRPr="00AB6A3C">
        <w:t xml:space="preserve">fleurs de lis sur </w:t>
      </w:r>
      <w:r w:rsidR="00653FFD">
        <w:t>« </w:t>
      </w:r>
      <w:r w:rsidRPr="00AB6A3C">
        <w:rPr>
          <w:iCs/>
        </w:rPr>
        <w:t>gros papier</w:t>
      </w:r>
      <w:r w:rsidR="00653FFD">
        <w:t> </w:t>
      </w:r>
      <w:r w:rsidR="00653FFD" w:rsidRPr="00AB6A3C">
        <w:t>»</w:t>
      </w:r>
      <w:r w:rsidRPr="00AB6A3C">
        <w:t xml:space="preserve"> pour Louis de</w:t>
      </w:r>
      <w:r w:rsidR="00A148AB">
        <w:t> </w:t>
      </w:r>
      <w:proofErr w:type="spellStart"/>
      <w:r w:rsidRPr="00AB6A3C">
        <w:t>Champclaus</w:t>
      </w:r>
      <w:proofErr w:type="spellEnd"/>
      <w:r w:rsidRPr="00AB6A3C">
        <w:rPr>
          <w:vertAlign w:val="superscript"/>
        </w:rPr>
        <w:footnoteReference w:id="16"/>
      </w:r>
      <w:r w:rsidRPr="00AB6A3C">
        <w:t>, alors que Jean de</w:t>
      </w:r>
      <w:r w:rsidR="00A148AB">
        <w:t> </w:t>
      </w:r>
      <w:r w:rsidRPr="00AB6A3C">
        <w:t>Linga, ou Langue, réalise 1</w:t>
      </w:r>
      <w:r w:rsidR="00A148AB">
        <w:t> </w:t>
      </w:r>
      <w:r w:rsidRPr="00AB6A3C">
        <w:t>250</w:t>
      </w:r>
      <w:r w:rsidR="00A148AB">
        <w:t> </w:t>
      </w:r>
      <w:r w:rsidRPr="00AB6A3C">
        <w:t>petites armes, ainsi que deux douzaines de grandes armes pour la porte Saint-Lazare</w:t>
      </w:r>
      <w:r w:rsidRPr="00AB6A3C">
        <w:rPr>
          <w:vertAlign w:val="superscript"/>
        </w:rPr>
        <w:footnoteReference w:id="17"/>
      </w:r>
      <w:r w:rsidRPr="00AB6A3C">
        <w:t>, là où commence l’</w:t>
      </w:r>
      <w:r w:rsidR="00A148AB">
        <w:t>e</w:t>
      </w:r>
      <w:r w:rsidRPr="00AB6A3C">
        <w:t>ntrée. Il est difficile de déterminer si ces 1</w:t>
      </w:r>
      <w:r w:rsidR="00A148AB">
        <w:t> </w:t>
      </w:r>
      <w:r w:rsidRPr="00AB6A3C">
        <w:t>250</w:t>
      </w:r>
      <w:r w:rsidR="00A148AB">
        <w:t> </w:t>
      </w:r>
      <w:r w:rsidRPr="00AB6A3C">
        <w:t xml:space="preserve">armes sont destinées à l’ensemble du parcours ou simplement à quelques étapes, au nombre de huit. </w:t>
      </w:r>
      <w:proofErr w:type="spellStart"/>
      <w:r w:rsidRPr="00AB6A3C">
        <w:t>Gonet</w:t>
      </w:r>
      <w:proofErr w:type="spellEnd"/>
      <w:r w:rsidRPr="00AB6A3C">
        <w:t xml:space="preserve"> </w:t>
      </w:r>
      <w:proofErr w:type="spellStart"/>
      <w:r w:rsidRPr="00AB6A3C">
        <w:t>Chanis</w:t>
      </w:r>
      <w:proofErr w:type="spellEnd"/>
      <w:r w:rsidRPr="00AB6A3C">
        <w:t xml:space="preserve"> reçoit également un mandat pour 4</w:t>
      </w:r>
      <w:r w:rsidR="00A148AB">
        <w:t> </w:t>
      </w:r>
      <w:r w:rsidRPr="00AB6A3C">
        <w:t xml:space="preserve">grands écussons armoriés </w:t>
      </w:r>
      <w:r w:rsidR="00653FFD">
        <w:t>« </w:t>
      </w:r>
      <w:r w:rsidRPr="00AB6A3C">
        <w:rPr>
          <w:iCs/>
        </w:rPr>
        <w:t>de notre saint père le pape de l’</w:t>
      </w:r>
      <w:proofErr w:type="spellStart"/>
      <w:r w:rsidRPr="00AB6A3C">
        <w:rPr>
          <w:iCs/>
        </w:rPr>
        <w:t>eglise</w:t>
      </w:r>
      <w:proofErr w:type="spellEnd"/>
      <w:r w:rsidRPr="00AB6A3C">
        <w:rPr>
          <w:iCs/>
        </w:rPr>
        <w:t xml:space="preserve">, de monseigneur le </w:t>
      </w:r>
      <w:proofErr w:type="spellStart"/>
      <w:r w:rsidRPr="00AB6A3C">
        <w:rPr>
          <w:iCs/>
        </w:rPr>
        <w:t>legat</w:t>
      </w:r>
      <w:proofErr w:type="spellEnd"/>
      <w:r w:rsidRPr="00AB6A3C">
        <w:rPr>
          <w:iCs/>
        </w:rPr>
        <w:t xml:space="preserve"> et de la ville</w:t>
      </w:r>
      <w:r w:rsidR="00A148AB" w:rsidRPr="00AB6A3C">
        <w:rPr>
          <w:vertAlign w:val="superscript"/>
        </w:rPr>
        <w:footnoteReference w:id="18"/>
      </w:r>
      <w:r w:rsidR="00653FFD">
        <w:t> </w:t>
      </w:r>
      <w:r w:rsidR="00653FFD" w:rsidRPr="00AB6A3C">
        <w:t>»</w:t>
      </w:r>
      <w:r w:rsidRPr="00AB6A3C">
        <w:t>. Malheureusement, nous ignorons à nouveau où sont destinées ces armes, qui devaient être autant accrochées sur l’ensemble du parcours qu’à des endroits spécifiques où étaient habituellement disposés les emblèmes du pape et de la ville. Les gravures de la main de Bernard Salomon dans le livret de Carpentras nous montrent, par exemple, un bâtiment recouvert sur presque chaque brique, ou pierre, de fleurs de lys, surmonté de deux étendards montrant à nouveau l’emblème floral de la France ainsi que les armoiries de la ville (</w:t>
      </w:r>
      <w:r w:rsidR="00653FFD">
        <w:t>fig. </w:t>
      </w:r>
      <w:r w:rsidR="003E135A">
        <w:t>13</w:t>
      </w:r>
      <w:r w:rsidR="00BB41E6">
        <w:t>2</w:t>
      </w:r>
      <w:r w:rsidRPr="00AB6A3C">
        <w:t xml:space="preserve">). De même, un arc de triomphe laisse apparaître les armes du pape, du cardinal Farnèse et de la couronne de France, dans une mise en scène qui a dû être reproduite à Avignon si l’on en croit les descriptions d’Honoré Henry. Si les concepteurs </w:t>
      </w:r>
      <w:r w:rsidRPr="00AB6A3C">
        <w:lastRenderedPageBreak/>
        <w:t xml:space="preserve">des deux </w:t>
      </w:r>
      <w:r w:rsidR="00944BBE">
        <w:t>e</w:t>
      </w:r>
      <w:r w:rsidRPr="00AB6A3C">
        <w:t>ntrées se révèlent être les mêmes, il y a de fortes chances que les décors soient relativement similaires dans leur conception, avec la présence de figures mythologiques ou allégoriques parsemant les étapes, également ornées de blasons et de devises.</w:t>
      </w:r>
    </w:p>
    <w:p w14:paraId="4EB8DE7E" w14:textId="7D0AE798" w:rsidR="00116B1B" w:rsidRPr="00AB6A3C" w:rsidRDefault="00116B1B" w:rsidP="000469B2">
      <w:r w:rsidRPr="00AB6A3C">
        <w:t>Comme nous avons déjà pu le comprendre avec les extraits cités de Honoré Henry, la confrontation des archives avec son texte et les gravures de Carpentras confirme cette abondance décorative et héraldique</w:t>
      </w:r>
      <w:r w:rsidR="00653FFD">
        <w:t> :</w:t>
      </w:r>
      <w:r w:rsidRPr="00AB6A3C">
        <w:t xml:space="preserve"> en-dehors des nombreuses mentions d’armoiries présentes sur les décors, l’auteur insiste presque à chaque page sur les tissus portés par les participants de la cérémonie, les différentes compagnies, en particulier sur des tissus chers comme le velours et le satin, toujours de couleurs significatives, </w:t>
      </w:r>
      <w:r w:rsidR="00944BBE">
        <w:t xml:space="preserve">surtout </w:t>
      </w:r>
      <w:r w:rsidRPr="00AB6A3C">
        <w:t>de rouge ou d’or. L’importance des costumes se retrouve à nouveau dans les archives, où les artisans sont payés pour réaliser notamment les manches doublées des vêtements</w:t>
      </w:r>
      <w:r w:rsidR="00653FFD">
        <w:t> :</w:t>
      </w:r>
      <w:r w:rsidRPr="00AB6A3C">
        <w:t xml:space="preserve"> </w:t>
      </w:r>
      <w:r w:rsidR="00653FFD">
        <w:t>« </w:t>
      </w:r>
      <w:r w:rsidRPr="00AB6A3C">
        <w:rPr>
          <w:iCs/>
        </w:rPr>
        <w:t>2</w:t>
      </w:r>
      <w:r w:rsidR="00944BBE">
        <w:rPr>
          <w:iCs/>
        </w:rPr>
        <w:t> </w:t>
      </w:r>
      <w:r w:rsidRPr="00AB6A3C">
        <w:rPr>
          <w:iCs/>
        </w:rPr>
        <w:t xml:space="preserve">pans satin rouge fin </w:t>
      </w:r>
      <w:proofErr w:type="spellStart"/>
      <w:r w:rsidRPr="00AB6A3C">
        <w:rPr>
          <w:iCs/>
        </w:rPr>
        <w:t>balhat</w:t>
      </w:r>
      <w:proofErr w:type="spellEnd"/>
      <w:r w:rsidRPr="00AB6A3C">
        <w:rPr>
          <w:iCs/>
        </w:rPr>
        <w:t xml:space="preserve"> à mestre </w:t>
      </w:r>
      <w:proofErr w:type="spellStart"/>
      <w:r w:rsidRPr="00AB6A3C">
        <w:rPr>
          <w:iCs/>
        </w:rPr>
        <w:t>Anthoine</w:t>
      </w:r>
      <w:proofErr w:type="spellEnd"/>
      <w:r w:rsidRPr="00AB6A3C">
        <w:rPr>
          <w:iCs/>
        </w:rPr>
        <w:t xml:space="preserve"> de la </w:t>
      </w:r>
      <w:proofErr w:type="spellStart"/>
      <w:r w:rsidRPr="00AB6A3C">
        <w:rPr>
          <w:iCs/>
        </w:rPr>
        <w:t>Bancaso</w:t>
      </w:r>
      <w:proofErr w:type="spellEnd"/>
      <w:r w:rsidRPr="00AB6A3C">
        <w:rPr>
          <w:iCs/>
        </w:rPr>
        <w:t xml:space="preserve"> pour </w:t>
      </w:r>
      <w:proofErr w:type="spellStart"/>
      <w:r w:rsidRPr="00AB6A3C">
        <w:rPr>
          <w:iCs/>
        </w:rPr>
        <w:t>fere</w:t>
      </w:r>
      <w:proofErr w:type="spellEnd"/>
      <w:r w:rsidRPr="00AB6A3C">
        <w:rPr>
          <w:iCs/>
        </w:rPr>
        <w:t xml:space="preserve"> [...] manches</w:t>
      </w:r>
      <w:r w:rsidR="00653FFD">
        <w:t> </w:t>
      </w:r>
      <w:r w:rsidR="00653FFD" w:rsidRPr="00AB6A3C">
        <w:t>»</w:t>
      </w:r>
      <w:r w:rsidRPr="00AB6A3C">
        <w:rPr>
          <w:vertAlign w:val="superscript"/>
        </w:rPr>
        <w:footnoteReference w:id="19"/>
      </w:r>
      <w:r w:rsidRPr="00AB6A3C">
        <w:t>. Nous pouvons encore citer Honoré Henry, qui décrit entre autres les costumes de la compagnie des veloutiers</w:t>
      </w:r>
      <w:r w:rsidR="00653FFD">
        <w:t> :</w:t>
      </w:r>
      <w:r w:rsidRPr="00AB6A3C">
        <w:t xml:space="preserve"> </w:t>
      </w:r>
      <w:r w:rsidR="00653FFD">
        <w:t>« </w:t>
      </w:r>
      <w:r w:rsidRPr="00AB6A3C">
        <w:rPr>
          <w:iCs/>
        </w:rPr>
        <w:t>Lequel [</w:t>
      </w:r>
      <w:proofErr w:type="spellStart"/>
      <w:r w:rsidRPr="00AB6A3C">
        <w:rPr>
          <w:iCs/>
        </w:rPr>
        <w:t>gouiat</w:t>
      </w:r>
      <w:proofErr w:type="spellEnd"/>
      <w:r w:rsidRPr="00AB6A3C">
        <w:rPr>
          <w:iCs/>
        </w:rPr>
        <w:t xml:space="preserve">] </w:t>
      </w:r>
      <w:proofErr w:type="spellStart"/>
      <w:r w:rsidRPr="00AB6A3C">
        <w:rPr>
          <w:iCs/>
        </w:rPr>
        <w:t>estoit</w:t>
      </w:r>
      <w:proofErr w:type="spellEnd"/>
      <w:r w:rsidRPr="00AB6A3C">
        <w:rPr>
          <w:iCs/>
        </w:rPr>
        <w:t xml:space="preserve"> </w:t>
      </w:r>
      <w:proofErr w:type="spellStart"/>
      <w:r w:rsidRPr="00AB6A3C">
        <w:rPr>
          <w:iCs/>
        </w:rPr>
        <w:t>suyvi</w:t>
      </w:r>
      <w:proofErr w:type="spellEnd"/>
      <w:r w:rsidRPr="00AB6A3C">
        <w:rPr>
          <w:iCs/>
        </w:rPr>
        <w:t xml:space="preserve"> de sa bande, quatre à quatre en </w:t>
      </w:r>
      <w:proofErr w:type="spellStart"/>
      <w:r w:rsidRPr="00AB6A3C">
        <w:rPr>
          <w:iCs/>
        </w:rPr>
        <w:t>chasque</w:t>
      </w:r>
      <w:proofErr w:type="spellEnd"/>
      <w:r w:rsidRPr="00AB6A3C">
        <w:rPr>
          <w:iCs/>
        </w:rPr>
        <w:t xml:space="preserve"> rang, tous en habits de velours </w:t>
      </w:r>
      <w:proofErr w:type="spellStart"/>
      <w:r w:rsidRPr="00AB6A3C">
        <w:rPr>
          <w:iCs/>
        </w:rPr>
        <w:t>jaulne</w:t>
      </w:r>
      <w:proofErr w:type="spellEnd"/>
      <w:r w:rsidR="00653FFD">
        <w:rPr>
          <w:iCs/>
        </w:rPr>
        <w:t> :</w:t>
      </w:r>
      <w:r w:rsidRPr="00AB6A3C">
        <w:rPr>
          <w:iCs/>
        </w:rPr>
        <w:t xml:space="preserve"> des </w:t>
      </w:r>
      <w:proofErr w:type="spellStart"/>
      <w:r w:rsidRPr="00AB6A3C">
        <w:rPr>
          <w:iCs/>
        </w:rPr>
        <w:t>quelz</w:t>
      </w:r>
      <w:proofErr w:type="spellEnd"/>
      <w:r w:rsidRPr="00AB6A3C">
        <w:rPr>
          <w:iCs/>
        </w:rPr>
        <w:t xml:space="preserve"> la meilleure part </w:t>
      </w:r>
      <w:proofErr w:type="spellStart"/>
      <w:r w:rsidRPr="00AB6A3C">
        <w:rPr>
          <w:iCs/>
        </w:rPr>
        <w:t>estoit</w:t>
      </w:r>
      <w:proofErr w:type="spellEnd"/>
      <w:r w:rsidRPr="00AB6A3C">
        <w:rPr>
          <w:iCs/>
        </w:rPr>
        <w:t xml:space="preserve"> </w:t>
      </w:r>
      <w:proofErr w:type="spellStart"/>
      <w:r w:rsidRPr="00AB6A3C">
        <w:rPr>
          <w:iCs/>
        </w:rPr>
        <w:t>reluysante</w:t>
      </w:r>
      <w:proofErr w:type="spellEnd"/>
      <w:r w:rsidRPr="00AB6A3C">
        <w:rPr>
          <w:iCs/>
        </w:rPr>
        <w:t xml:space="preserve"> en </w:t>
      </w:r>
      <w:proofErr w:type="spellStart"/>
      <w:r w:rsidRPr="00AB6A3C">
        <w:rPr>
          <w:iCs/>
        </w:rPr>
        <w:t>mainst</w:t>
      </w:r>
      <w:proofErr w:type="spellEnd"/>
      <w:r w:rsidRPr="00AB6A3C">
        <w:rPr>
          <w:iCs/>
        </w:rPr>
        <w:t xml:space="preserve"> beaux boutons, &amp; fers d’or. L’Enseigne trop plus brave en </w:t>
      </w:r>
      <w:proofErr w:type="spellStart"/>
      <w:r w:rsidRPr="00AB6A3C">
        <w:rPr>
          <w:iCs/>
        </w:rPr>
        <w:t>conference</w:t>
      </w:r>
      <w:proofErr w:type="spellEnd"/>
      <w:r w:rsidRPr="00AB6A3C">
        <w:rPr>
          <w:iCs/>
        </w:rPr>
        <w:t xml:space="preserve"> des autres, </w:t>
      </w:r>
      <w:proofErr w:type="spellStart"/>
      <w:r w:rsidRPr="00AB6A3C">
        <w:rPr>
          <w:iCs/>
        </w:rPr>
        <w:t>aiant</w:t>
      </w:r>
      <w:proofErr w:type="spellEnd"/>
      <w:r w:rsidRPr="00AB6A3C">
        <w:rPr>
          <w:iCs/>
        </w:rPr>
        <w:t xml:space="preserve"> son </w:t>
      </w:r>
      <w:proofErr w:type="spellStart"/>
      <w:r w:rsidRPr="00AB6A3C">
        <w:rPr>
          <w:iCs/>
        </w:rPr>
        <w:t>mourrion</w:t>
      </w:r>
      <w:proofErr w:type="spellEnd"/>
      <w:r w:rsidRPr="00AB6A3C">
        <w:rPr>
          <w:iCs/>
        </w:rPr>
        <w:t xml:space="preserve"> en teste, &amp; maniant son enseigne qui </w:t>
      </w:r>
      <w:proofErr w:type="spellStart"/>
      <w:r w:rsidRPr="00AB6A3C">
        <w:rPr>
          <w:iCs/>
        </w:rPr>
        <w:t>estoit</w:t>
      </w:r>
      <w:proofErr w:type="spellEnd"/>
      <w:r w:rsidRPr="00AB6A3C">
        <w:rPr>
          <w:iCs/>
        </w:rPr>
        <w:t xml:space="preserve"> de taffetas </w:t>
      </w:r>
      <w:proofErr w:type="spellStart"/>
      <w:r w:rsidRPr="00AB6A3C">
        <w:rPr>
          <w:iCs/>
        </w:rPr>
        <w:t>jaulne</w:t>
      </w:r>
      <w:proofErr w:type="spellEnd"/>
      <w:r w:rsidRPr="00AB6A3C">
        <w:rPr>
          <w:iCs/>
        </w:rPr>
        <w:t xml:space="preserve">, semée de fleurs de </w:t>
      </w:r>
      <w:proofErr w:type="spellStart"/>
      <w:r w:rsidRPr="00AB6A3C">
        <w:rPr>
          <w:iCs/>
        </w:rPr>
        <w:t>list</w:t>
      </w:r>
      <w:proofErr w:type="spellEnd"/>
      <w:r w:rsidRPr="00AB6A3C">
        <w:rPr>
          <w:iCs/>
        </w:rPr>
        <w:t xml:space="preserve"> d’</w:t>
      </w:r>
      <w:proofErr w:type="spellStart"/>
      <w:r w:rsidRPr="00AB6A3C">
        <w:rPr>
          <w:iCs/>
        </w:rPr>
        <w:t>asur</w:t>
      </w:r>
      <w:proofErr w:type="spellEnd"/>
      <w:r w:rsidRPr="00AB6A3C">
        <w:rPr>
          <w:iCs/>
        </w:rPr>
        <w:t xml:space="preserve">, armoiries </w:t>
      </w:r>
      <w:proofErr w:type="spellStart"/>
      <w:r w:rsidRPr="00AB6A3C">
        <w:rPr>
          <w:iCs/>
        </w:rPr>
        <w:t>dudict</w:t>
      </w:r>
      <w:proofErr w:type="spellEnd"/>
      <w:r w:rsidRPr="00AB6A3C">
        <w:rPr>
          <w:iCs/>
        </w:rPr>
        <w:t xml:space="preserve"> Seigneur</w:t>
      </w:r>
      <w:r w:rsidR="00944BBE" w:rsidRPr="00AB6A3C">
        <w:rPr>
          <w:vertAlign w:val="superscript"/>
        </w:rPr>
        <w:footnoteReference w:id="20"/>
      </w:r>
      <w:r w:rsidR="00944BBE" w:rsidRPr="00AB6A3C">
        <w:t>.</w:t>
      </w:r>
      <w:r w:rsidR="00653FFD">
        <w:t> </w:t>
      </w:r>
      <w:r w:rsidR="00653FFD" w:rsidRPr="00AB6A3C">
        <w:t>»</w:t>
      </w:r>
      <w:r w:rsidRPr="00AB6A3C">
        <w:t xml:space="preserve"> Ou encore les trompettes de la ville</w:t>
      </w:r>
      <w:r w:rsidR="00653FFD">
        <w:t> :</w:t>
      </w:r>
      <w:r w:rsidRPr="00AB6A3C">
        <w:t xml:space="preserve"> </w:t>
      </w:r>
      <w:r w:rsidR="00653FFD">
        <w:t>« </w:t>
      </w:r>
      <w:proofErr w:type="spellStart"/>
      <w:r w:rsidRPr="00AB6A3C">
        <w:rPr>
          <w:iCs/>
        </w:rPr>
        <w:t>Apres</w:t>
      </w:r>
      <w:proofErr w:type="spellEnd"/>
      <w:r w:rsidRPr="00AB6A3C">
        <w:rPr>
          <w:iCs/>
        </w:rPr>
        <w:t xml:space="preserve"> </w:t>
      </w:r>
      <w:proofErr w:type="spellStart"/>
      <w:r w:rsidRPr="00AB6A3C">
        <w:rPr>
          <w:iCs/>
        </w:rPr>
        <w:t>eulx</w:t>
      </w:r>
      <w:proofErr w:type="spellEnd"/>
      <w:r w:rsidRPr="00AB6A3C">
        <w:rPr>
          <w:iCs/>
        </w:rPr>
        <w:t xml:space="preserve"> </w:t>
      </w:r>
      <w:proofErr w:type="spellStart"/>
      <w:r w:rsidRPr="00AB6A3C">
        <w:rPr>
          <w:iCs/>
        </w:rPr>
        <w:t>venoient</w:t>
      </w:r>
      <w:proofErr w:type="spellEnd"/>
      <w:r w:rsidRPr="00AB6A3C">
        <w:rPr>
          <w:iCs/>
        </w:rPr>
        <w:t xml:space="preserve"> les trompettes de la ville, </w:t>
      </w:r>
      <w:proofErr w:type="spellStart"/>
      <w:r w:rsidRPr="00AB6A3C">
        <w:rPr>
          <w:iCs/>
        </w:rPr>
        <w:t>vestus</w:t>
      </w:r>
      <w:proofErr w:type="spellEnd"/>
      <w:r w:rsidRPr="00AB6A3C">
        <w:rPr>
          <w:iCs/>
        </w:rPr>
        <w:t xml:space="preserve"> de satin rouge, avec la </w:t>
      </w:r>
      <w:proofErr w:type="spellStart"/>
      <w:r w:rsidRPr="00AB6A3C">
        <w:rPr>
          <w:iCs/>
        </w:rPr>
        <w:t>baniere</w:t>
      </w:r>
      <w:proofErr w:type="spellEnd"/>
      <w:r w:rsidRPr="00AB6A3C">
        <w:rPr>
          <w:iCs/>
        </w:rPr>
        <w:t xml:space="preserve"> de leur trompe de taffetas de pareille couleur, semés de trois clefs d’or, les</w:t>
      </w:r>
      <w:r w:rsidRPr="00AB6A3C">
        <w:rPr>
          <w:i/>
        </w:rPr>
        <w:t xml:space="preserve"> </w:t>
      </w:r>
      <w:r w:rsidRPr="00AB6A3C">
        <w:rPr>
          <w:iCs/>
        </w:rPr>
        <w:t>armoiries de la Ville</w:t>
      </w:r>
      <w:r w:rsidR="00944BBE" w:rsidRPr="00AB6A3C">
        <w:rPr>
          <w:vertAlign w:val="superscript"/>
        </w:rPr>
        <w:footnoteReference w:id="21"/>
      </w:r>
      <w:r w:rsidR="00944BBE" w:rsidRPr="00AB6A3C">
        <w:t>.</w:t>
      </w:r>
      <w:r w:rsidR="00653FFD">
        <w:t> </w:t>
      </w:r>
      <w:r w:rsidR="00653FFD" w:rsidRPr="00AB6A3C">
        <w:t>»</w:t>
      </w:r>
      <w:r w:rsidRPr="00AB6A3C">
        <w:t xml:space="preserve"> Les vêtements des participants font donc écho aux décors de la ville</w:t>
      </w:r>
      <w:r w:rsidR="003E135A">
        <w:t> ;</w:t>
      </w:r>
      <w:r w:rsidRPr="00AB6A3C">
        <w:t xml:space="preserve"> ce sont des éléments tout aussi codifiés et importants pour visualiser leur consentement et loyauté envers le pape.</w:t>
      </w:r>
    </w:p>
    <w:p w14:paraId="253C5853" w14:textId="64E17F94" w:rsidR="00116B1B" w:rsidRPr="00AB6A3C" w:rsidRDefault="00116B1B" w:rsidP="000469B2">
      <w:r w:rsidRPr="00AB6A3C">
        <w:t>De façon générale, chaque étape du parcours, ornementée de grands décors éphémères à l’antique, est accompagnée par l’omniprésence d’armoiries, dont le très grand nombre s’accorde avec les documents d’archives qui voient plusieurs peintres réaliser des blasons, parfois en quantité impressionnante. Par ailleurs, le texte d’Honoré Henry fait fréquemment référence à cette abondance héraldique. Par exemple, il insiste, à propos du portail de la ville, sur l’impossibilité de rendre précisément compte de l’ensemble des décors et des armes</w:t>
      </w:r>
      <w:r w:rsidR="00653FFD">
        <w:t> :</w:t>
      </w:r>
      <w:r w:rsidRPr="00AB6A3C">
        <w:t xml:space="preserve"> </w:t>
      </w:r>
      <w:r w:rsidR="00653FFD">
        <w:t>« </w:t>
      </w:r>
      <w:r w:rsidRPr="00AB6A3C">
        <w:rPr>
          <w:iCs/>
        </w:rPr>
        <w:t xml:space="preserve">Je laisse à dire (à cause de </w:t>
      </w:r>
      <w:proofErr w:type="spellStart"/>
      <w:r w:rsidRPr="00AB6A3C">
        <w:rPr>
          <w:iCs/>
        </w:rPr>
        <w:t>briefvesté</w:t>
      </w:r>
      <w:proofErr w:type="spellEnd"/>
      <w:r w:rsidRPr="00AB6A3C">
        <w:rPr>
          <w:iCs/>
        </w:rPr>
        <w:t xml:space="preserve">) les armoiries de </w:t>
      </w:r>
      <w:proofErr w:type="spellStart"/>
      <w:r w:rsidRPr="00AB6A3C">
        <w:rPr>
          <w:iCs/>
        </w:rPr>
        <w:t>nostre</w:t>
      </w:r>
      <w:proofErr w:type="spellEnd"/>
      <w:r w:rsidRPr="00AB6A3C">
        <w:rPr>
          <w:iCs/>
        </w:rPr>
        <w:t xml:space="preserve"> </w:t>
      </w:r>
      <w:proofErr w:type="spellStart"/>
      <w:r w:rsidRPr="00AB6A3C">
        <w:rPr>
          <w:iCs/>
        </w:rPr>
        <w:t>Sainct</w:t>
      </w:r>
      <w:proofErr w:type="spellEnd"/>
      <w:r w:rsidRPr="00AB6A3C">
        <w:rPr>
          <w:iCs/>
        </w:rPr>
        <w:t xml:space="preserve"> </w:t>
      </w:r>
      <w:proofErr w:type="spellStart"/>
      <w:r w:rsidRPr="00AB6A3C">
        <w:rPr>
          <w:iCs/>
        </w:rPr>
        <w:t>Pere</w:t>
      </w:r>
      <w:proofErr w:type="spellEnd"/>
      <w:r w:rsidRPr="00AB6A3C">
        <w:rPr>
          <w:iCs/>
        </w:rPr>
        <w:t xml:space="preserve">, </w:t>
      </w:r>
      <w:proofErr w:type="spellStart"/>
      <w:r w:rsidRPr="00AB6A3C">
        <w:rPr>
          <w:iCs/>
        </w:rPr>
        <w:t>dudict</w:t>
      </w:r>
      <w:proofErr w:type="spellEnd"/>
      <w:r w:rsidRPr="00AB6A3C">
        <w:rPr>
          <w:iCs/>
        </w:rPr>
        <w:t xml:space="preserve"> seigneur </w:t>
      </w:r>
      <w:proofErr w:type="spellStart"/>
      <w:r w:rsidRPr="00AB6A3C">
        <w:rPr>
          <w:iCs/>
        </w:rPr>
        <w:t>Legat</w:t>
      </w:r>
      <w:proofErr w:type="spellEnd"/>
      <w:r w:rsidRPr="00AB6A3C">
        <w:rPr>
          <w:iCs/>
        </w:rPr>
        <w:t xml:space="preserve">, </w:t>
      </w:r>
      <w:proofErr w:type="spellStart"/>
      <w:r w:rsidRPr="00AB6A3C">
        <w:rPr>
          <w:iCs/>
        </w:rPr>
        <w:t>Vicelegat</w:t>
      </w:r>
      <w:proofErr w:type="spellEnd"/>
      <w:r w:rsidRPr="00AB6A3C">
        <w:rPr>
          <w:iCs/>
        </w:rPr>
        <w:t>, Gouverneur, &amp; de la Ville, ensemble l’</w:t>
      </w:r>
      <w:proofErr w:type="spellStart"/>
      <w:r w:rsidRPr="00AB6A3C">
        <w:rPr>
          <w:iCs/>
        </w:rPr>
        <w:t>Embleme</w:t>
      </w:r>
      <w:proofErr w:type="spellEnd"/>
      <w:r w:rsidRPr="00AB6A3C">
        <w:rPr>
          <w:iCs/>
        </w:rPr>
        <w:t xml:space="preserve"> des </w:t>
      </w:r>
      <w:proofErr w:type="spellStart"/>
      <w:r w:rsidRPr="00AB6A3C">
        <w:rPr>
          <w:iCs/>
        </w:rPr>
        <w:t>Consulz</w:t>
      </w:r>
      <w:proofErr w:type="spellEnd"/>
      <w:r w:rsidRPr="00AB6A3C">
        <w:rPr>
          <w:iCs/>
        </w:rPr>
        <w:t>, &amp; devise, le tous assis sus un front d’</w:t>
      </w:r>
      <w:proofErr w:type="spellStart"/>
      <w:r w:rsidRPr="00AB6A3C">
        <w:rPr>
          <w:iCs/>
        </w:rPr>
        <w:t>espic</w:t>
      </w:r>
      <w:proofErr w:type="spellEnd"/>
      <w:r w:rsidRPr="00AB6A3C">
        <w:rPr>
          <w:iCs/>
        </w:rPr>
        <w:t xml:space="preserve"> </w:t>
      </w:r>
      <w:proofErr w:type="spellStart"/>
      <w:r w:rsidRPr="00AB6A3C">
        <w:rPr>
          <w:iCs/>
        </w:rPr>
        <w:t>au devant</w:t>
      </w:r>
      <w:proofErr w:type="spellEnd"/>
      <w:r w:rsidRPr="00AB6A3C">
        <w:rPr>
          <w:iCs/>
        </w:rPr>
        <w:t xml:space="preserve"> du portal, avec </w:t>
      </w:r>
      <w:proofErr w:type="spellStart"/>
      <w:r w:rsidRPr="00AB6A3C">
        <w:rPr>
          <w:iCs/>
        </w:rPr>
        <w:t>tymbre</w:t>
      </w:r>
      <w:proofErr w:type="spellEnd"/>
      <w:r w:rsidRPr="00AB6A3C">
        <w:rPr>
          <w:iCs/>
        </w:rPr>
        <w:t xml:space="preserve"> &amp; festons enrichis</w:t>
      </w:r>
      <w:r w:rsidR="00653FFD">
        <w:rPr>
          <w:iCs/>
        </w:rPr>
        <w:t> :</w:t>
      </w:r>
      <w:r w:rsidRPr="00AB6A3C">
        <w:rPr>
          <w:iCs/>
        </w:rPr>
        <w:t xml:space="preserve"> chose certes belle à </w:t>
      </w:r>
      <w:proofErr w:type="spellStart"/>
      <w:r w:rsidRPr="00AB6A3C">
        <w:rPr>
          <w:iCs/>
        </w:rPr>
        <w:t>veoir</w:t>
      </w:r>
      <w:proofErr w:type="spellEnd"/>
      <w:r w:rsidRPr="00AB6A3C">
        <w:rPr>
          <w:iCs/>
        </w:rPr>
        <w:t xml:space="preserve"> pour la variété des interpositions des </w:t>
      </w:r>
      <w:proofErr w:type="spellStart"/>
      <w:r w:rsidRPr="00AB6A3C">
        <w:rPr>
          <w:iCs/>
        </w:rPr>
        <w:t>metaulx</w:t>
      </w:r>
      <w:proofErr w:type="spellEnd"/>
      <w:r w:rsidRPr="00AB6A3C">
        <w:rPr>
          <w:iCs/>
        </w:rPr>
        <w:t xml:space="preserve"> &amp; couleurs</w:t>
      </w:r>
      <w:r w:rsidR="00944BBE" w:rsidRPr="00AB6A3C">
        <w:rPr>
          <w:vertAlign w:val="superscript"/>
        </w:rPr>
        <w:footnoteReference w:id="22"/>
      </w:r>
      <w:r w:rsidR="00944BBE" w:rsidRPr="00AB6A3C">
        <w:t>.</w:t>
      </w:r>
      <w:r w:rsidR="00653FFD">
        <w:rPr>
          <w:iCs/>
        </w:rPr>
        <w:t> </w:t>
      </w:r>
      <w:r w:rsidR="00653FFD" w:rsidRPr="00AB6A3C">
        <w:t>»</w:t>
      </w:r>
      <w:r w:rsidRPr="00AB6A3C">
        <w:t xml:space="preserve"> </w:t>
      </w:r>
      <w:r w:rsidRPr="00AB6A3C">
        <w:lastRenderedPageBreak/>
        <w:t xml:space="preserve">Le mot </w:t>
      </w:r>
      <w:r w:rsidR="00653FFD">
        <w:t>« </w:t>
      </w:r>
      <w:proofErr w:type="spellStart"/>
      <w:r w:rsidRPr="00AB6A3C">
        <w:rPr>
          <w:iCs/>
        </w:rPr>
        <w:t>metaulx</w:t>
      </w:r>
      <w:proofErr w:type="spellEnd"/>
      <w:r w:rsidR="00653FFD">
        <w:t> </w:t>
      </w:r>
      <w:r w:rsidR="00653FFD" w:rsidRPr="00AB6A3C">
        <w:t>»</w:t>
      </w:r>
      <w:r w:rsidRPr="00AB6A3C">
        <w:t xml:space="preserve"> est particulièrement intéressant dans le contexte qui nous occupe, car nous l’avons vu dans les documents d’archives, l’or et l’argent apparaissent régulièrement, ainsi que l’oripeau. Dans le même ordre d’idée, d’autres extraits soulignent le grand nombre d’armoiries exposées parmi les décors éphémères</w:t>
      </w:r>
      <w:r w:rsidR="00653FFD">
        <w:t> :</w:t>
      </w:r>
      <w:r w:rsidRPr="00AB6A3C">
        <w:t xml:space="preserve"> </w:t>
      </w:r>
      <w:r w:rsidR="00653FFD">
        <w:t>« </w:t>
      </w:r>
      <w:r w:rsidRPr="00AB6A3C">
        <w:t xml:space="preserve">Au </w:t>
      </w:r>
      <w:proofErr w:type="spellStart"/>
      <w:r w:rsidRPr="00AB6A3C">
        <w:t>desus</w:t>
      </w:r>
      <w:proofErr w:type="spellEnd"/>
      <w:r w:rsidRPr="00AB6A3C">
        <w:t xml:space="preserve"> duquel </w:t>
      </w:r>
      <w:proofErr w:type="spellStart"/>
      <w:r w:rsidRPr="00AB6A3C">
        <w:t>estoit</w:t>
      </w:r>
      <w:proofErr w:type="spellEnd"/>
      <w:r w:rsidRPr="00AB6A3C">
        <w:t xml:space="preserve"> autre </w:t>
      </w:r>
      <w:proofErr w:type="spellStart"/>
      <w:r w:rsidRPr="00AB6A3C">
        <w:t>couroir</w:t>
      </w:r>
      <w:proofErr w:type="spellEnd"/>
      <w:r w:rsidRPr="00AB6A3C">
        <w:t xml:space="preserve"> à clair voie à la façon Ionique, composé de bien vint &amp; cinq, ou trente arcs enrichis de festons &amp; armoiries </w:t>
      </w:r>
      <w:proofErr w:type="spellStart"/>
      <w:r w:rsidRPr="00AB6A3C">
        <w:t>dudict</w:t>
      </w:r>
      <w:proofErr w:type="spellEnd"/>
      <w:r w:rsidRPr="00AB6A3C">
        <w:t xml:space="preserve"> Seigneur, &amp; de la Ville</w:t>
      </w:r>
      <w:r w:rsidRPr="00AB6A3C">
        <w:rPr>
          <w:vertAlign w:val="superscript"/>
        </w:rPr>
        <w:footnoteReference w:id="23"/>
      </w:r>
      <w:r w:rsidR="00653FFD">
        <w:t> </w:t>
      </w:r>
      <w:r w:rsidR="00653FFD" w:rsidRPr="00AB6A3C">
        <w:t>»</w:t>
      </w:r>
      <w:r w:rsidRPr="00AB6A3C">
        <w:t xml:space="preserve">, ou encore, l’auteur remarque aux Augustins </w:t>
      </w:r>
      <w:r w:rsidR="00653FFD">
        <w:t>« </w:t>
      </w:r>
      <w:r w:rsidRPr="00AB6A3C">
        <w:t xml:space="preserve">une infinité de factures, enrichies des couleurs </w:t>
      </w:r>
      <w:proofErr w:type="spellStart"/>
      <w:r w:rsidRPr="00AB6A3C">
        <w:t>dudict</w:t>
      </w:r>
      <w:proofErr w:type="spellEnd"/>
      <w:r w:rsidRPr="00AB6A3C">
        <w:t xml:space="preserve"> Seigneur &amp; de la Ville. [...] Et en l’arc du milieu </w:t>
      </w:r>
      <w:proofErr w:type="spellStart"/>
      <w:r w:rsidRPr="00AB6A3C">
        <w:t>estoit</w:t>
      </w:r>
      <w:proofErr w:type="spellEnd"/>
      <w:r w:rsidRPr="00AB6A3C">
        <w:t xml:space="preserve"> un grand nombre de fleurs de lis d’</w:t>
      </w:r>
      <w:proofErr w:type="spellStart"/>
      <w:r w:rsidRPr="00AB6A3C">
        <w:t>asur</w:t>
      </w:r>
      <w:proofErr w:type="spellEnd"/>
      <w:r w:rsidRPr="00AB6A3C">
        <w:t xml:space="preserve"> en champ d’or. [...] Semblablement les deux arcs, </w:t>
      </w:r>
      <w:proofErr w:type="spellStart"/>
      <w:r w:rsidRPr="00AB6A3C">
        <w:t>costoians</w:t>
      </w:r>
      <w:proofErr w:type="spellEnd"/>
      <w:r w:rsidRPr="00AB6A3C">
        <w:t xml:space="preserve"> </w:t>
      </w:r>
      <w:proofErr w:type="spellStart"/>
      <w:r w:rsidRPr="00AB6A3C">
        <w:t>celuy</w:t>
      </w:r>
      <w:proofErr w:type="spellEnd"/>
      <w:r w:rsidRPr="00AB6A3C">
        <w:t xml:space="preserve"> du milieu, </w:t>
      </w:r>
      <w:proofErr w:type="spellStart"/>
      <w:r w:rsidRPr="00AB6A3C">
        <w:t>estoient</w:t>
      </w:r>
      <w:proofErr w:type="spellEnd"/>
      <w:r w:rsidRPr="00AB6A3C">
        <w:t xml:space="preserve"> </w:t>
      </w:r>
      <w:proofErr w:type="spellStart"/>
      <w:r w:rsidRPr="00AB6A3C">
        <w:t>renouvellez</w:t>
      </w:r>
      <w:proofErr w:type="spellEnd"/>
      <w:r w:rsidRPr="00AB6A3C">
        <w:t xml:space="preserve"> par dedans de </w:t>
      </w:r>
      <w:proofErr w:type="spellStart"/>
      <w:r w:rsidRPr="00AB6A3C">
        <w:t>clefz</w:t>
      </w:r>
      <w:proofErr w:type="spellEnd"/>
      <w:r w:rsidRPr="00AB6A3C">
        <w:t xml:space="preserve"> d’or en champs de gueules</w:t>
      </w:r>
      <w:r w:rsidR="00944BBE" w:rsidRPr="00AB6A3C">
        <w:rPr>
          <w:vertAlign w:val="superscript"/>
        </w:rPr>
        <w:footnoteReference w:id="24"/>
      </w:r>
      <w:r w:rsidR="00944BBE" w:rsidRPr="00AB6A3C">
        <w:t>.</w:t>
      </w:r>
      <w:r w:rsidR="00653FFD">
        <w:t> </w:t>
      </w:r>
      <w:r w:rsidR="00653FFD" w:rsidRPr="00AB6A3C">
        <w:t>»</w:t>
      </w:r>
      <w:r w:rsidRPr="00AB6A3C">
        <w:t xml:space="preserve"> La rencontre dans les comptes de la ville de paiements pour des milliers de blasons semble ainsi confirmée par le rapport visuel d’Honoré Henry. Vis-à-vis des documents, il convient également de remarquer la concordance iconographique entre son texte et les archives conservées. En effet, nous retrouvons dans les deux cas une distinction importante entre les petites et les grandes armes, notamment au </w:t>
      </w:r>
      <w:r w:rsidR="00944BBE">
        <w:t>p</w:t>
      </w:r>
      <w:r w:rsidRPr="00AB6A3C">
        <w:t xml:space="preserve">alais des Papes, dont l’entrée </w:t>
      </w:r>
      <w:r w:rsidR="00653FFD">
        <w:t>« </w:t>
      </w:r>
      <w:proofErr w:type="spellStart"/>
      <w:r w:rsidRPr="00AB6A3C">
        <w:rPr>
          <w:iCs/>
        </w:rPr>
        <w:t>estoit</w:t>
      </w:r>
      <w:proofErr w:type="spellEnd"/>
      <w:r w:rsidRPr="00AB6A3C">
        <w:rPr>
          <w:iCs/>
        </w:rPr>
        <w:t xml:space="preserve"> ornée de festons &amp; </w:t>
      </w:r>
      <w:proofErr w:type="spellStart"/>
      <w:r w:rsidRPr="00AB6A3C">
        <w:rPr>
          <w:iCs/>
        </w:rPr>
        <w:t>entrelassements</w:t>
      </w:r>
      <w:proofErr w:type="spellEnd"/>
      <w:r w:rsidRPr="00AB6A3C">
        <w:rPr>
          <w:iCs/>
        </w:rPr>
        <w:t xml:space="preserve"> magnifiques, bayes, &amp; </w:t>
      </w:r>
      <w:proofErr w:type="spellStart"/>
      <w:r w:rsidRPr="00AB6A3C">
        <w:rPr>
          <w:iCs/>
        </w:rPr>
        <w:t>tymbres</w:t>
      </w:r>
      <w:proofErr w:type="spellEnd"/>
      <w:r w:rsidRPr="00AB6A3C">
        <w:rPr>
          <w:iCs/>
        </w:rPr>
        <w:t xml:space="preserve"> remplis par le dedans de petites armoiries &amp; par dehors de quatre grands </w:t>
      </w:r>
      <w:proofErr w:type="spellStart"/>
      <w:r w:rsidRPr="00AB6A3C">
        <w:rPr>
          <w:iCs/>
        </w:rPr>
        <w:t>escussons</w:t>
      </w:r>
      <w:proofErr w:type="spellEnd"/>
      <w:r w:rsidRPr="00AB6A3C">
        <w:rPr>
          <w:iCs/>
        </w:rPr>
        <w:t xml:space="preserve"> de </w:t>
      </w:r>
      <w:proofErr w:type="spellStart"/>
      <w:r w:rsidRPr="00AB6A3C">
        <w:rPr>
          <w:iCs/>
        </w:rPr>
        <w:t>luy</w:t>
      </w:r>
      <w:proofErr w:type="spellEnd"/>
      <w:r w:rsidRPr="00AB6A3C">
        <w:rPr>
          <w:iCs/>
        </w:rPr>
        <w:t xml:space="preserve">, &amp; messeigneurs ses trois </w:t>
      </w:r>
      <w:proofErr w:type="spellStart"/>
      <w:r w:rsidRPr="00AB6A3C">
        <w:rPr>
          <w:iCs/>
        </w:rPr>
        <w:t>freres</w:t>
      </w:r>
      <w:proofErr w:type="spellEnd"/>
      <w:r w:rsidR="00944BBE" w:rsidRPr="00AB6A3C">
        <w:rPr>
          <w:vertAlign w:val="superscript"/>
        </w:rPr>
        <w:footnoteReference w:id="25"/>
      </w:r>
      <w:r w:rsidR="00653FFD">
        <w:t> </w:t>
      </w:r>
      <w:r w:rsidR="00653FFD" w:rsidRPr="00AB6A3C">
        <w:t>»</w:t>
      </w:r>
      <w:r w:rsidRPr="00AB6A3C">
        <w:t xml:space="preserve">. Bien qu’il soit difficile de savoir à quelle taille ces blasons correspondaient, il semble notable que l’on privilégie des armoiries de grande taille pour les lieux les plus significatifs, en l’occurrence le </w:t>
      </w:r>
      <w:r w:rsidR="00C76CCC">
        <w:t>p</w:t>
      </w:r>
      <w:r w:rsidRPr="00AB6A3C">
        <w:t xml:space="preserve">alais. </w:t>
      </w:r>
    </w:p>
    <w:p w14:paraId="2155CFB4" w14:textId="39E849B3" w:rsidR="00116B1B" w:rsidRPr="00AB6A3C" w:rsidRDefault="00116B1B" w:rsidP="000469B2">
      <w:pPr>
        <w:pStyle w:val="Titre1"/>
      </w:pPr>
      <w:r w:rsidRPr="00AB6A3C">
        <w:t xml:space="preserve">Avignon, une </w:t>
      </w:r>
      <w:r w:rsidR="00653FFD">
        <w:t>« </w:t>
      </w:r>
      <w:proofErr w:type="spellStart"/>
      <w:r w:rsidRPr="00AB6A3C">
        <w:t>Altera</w:t>
      </w:r>
      <w:proofErr w:type="spellEnd"/>
      <w:r w:rsidRPr="00AB6A3C">
        <w:t xml:space="preserve"> Roma</w:t>
      </w:r>
      <w:r w:rsidR="00653FFD">
        <w:t> </w:t>
      </w:r>
      <w:r w:rsidR="00653FFD" w:rsidRPr="00AB6A3C">
        <w:t>»</w:t>
      </w:r>
    </w:p>
    <w:p w14:paraId="740DF285" w14:textId="2B680A8F" w:rsidR="00116B1B" w:rsidRPr="00AB6A3C" w:rsidRDefault="00116B1B" w:rsidP="000469B2">
      <w:r w:rsidRPr="00AB6A3C">
        <w:t>Comme le texte d’Honoré Henry nous le confirme, les armes du légat Alexandre Farnèse apparaissent presque systématiquement avec les armes de la ville d’Avignon, permettant à la cité pontificale de réaffirmer son obéissance à Rome. En se plaçant sous la protection de son nouveau dirigeant, la ville espère en retirer non seulement sa bienveillance, mais surtout des bénéfices concrets. Concept éminemment politique et religieux, le principe d’</w:t>
      </w:r>
      <w:proofErr w:type="spellStart"/>
      <w:r w:rsidRPr="00AB6A3C">
        <w:rPr>
          <w:i/>
        </w:rPr>
        <w:t>Altera</w:t>
      </w:r>
      <w:proofErr w:type="spellEnd"/>
      <w:r w:rsidRPr="00AB6A3C">
        <w:rPr>
          <w:i/>
        </w:rPr>
        <w:t xml:space="preserve"> Roma</w:t>
      </w:r>
      <w:r w:rsidRPr="00AB6A3C">
        <w:t xml:space="preserve"> est adopté très tôt par les papes avignonnais. Par exemple, une chaire en ogive à Notre-Dame-des-Doms qui servait de trône pontifical depuis 1307 était soutenue par trois anges et complétée de l’inscription </w:t>
      </w:r>
      <w:r w:rsidR="00653FFD">
        <w:t>« </w:t>
      </w:r>
      <w:r w:rsidRPr="00AB6A3C">
        <w:rPr>
          <w:i/>
          <w:iCs/>
        </w:rPr>
        <w:t>SEDES SVMMORVM PONTIFCVM QVI AB AN. M.CCC.VII. PER PLVS QVAM LXX. ANN. AVENIONE ALTERA ROMA DEGENTES ORBI CHRISTIANO PRAEFERVNT</w:t>
      </w:r>
      <w:r w:rsidR="00C76CCC" w:rsidRPr="00AB6A3C">
        <w:rPr>
          <w:vertAlign w:val="superscript"/>
        </w:rPr>
        <w:footnoteReference w:id="26"/>
      </w:r>
      <w:r w:rsidR="00653FFD">
        <w:t> </w:t>
      </w:r>
      <w:r w:rsidR="00653FFD" w:rsidRPr="00AB6A3C">
        <w:t>»</w:t>
      </w:r>
      <w:r w:rsidRPr="00AB6A3C">
        <w:rPr>
          <w:i/>
        </w:rPr>
        <w:t>.</w:t>
      </w:r>
      <w:r w:rsidRPr="00AB6A3C">
        <w:t xml:space="preserve"> Dans la même idée, Clément</w:t>
      </w:r>
      <w:r w:rsidR="00B4133E">
        <w:t> </w:t>
      </w:r>
      <w:r w:rsidRPr="00AB6A3C">
        <w:t xml:space="preserve">VI renomma de nombreux sites de la ville afin de refléter ses origines romaines. En 1344, il donna le nom de </w:t>
      </w:r>
      <w:r w:rsidRPr="00AB6A3C">
        <w:rPr>
          <w:i/>
        </w:rPr>
        <w:t>Roma</w:t>
      </w:r>
      <w:r w:rsidRPr="00AB6A3C">
        <w:t xml:space="preserve"> à la chapelle Saint-Michel, </w:t>
      </w:r>
      <w:r w:rsidRPr="00AB6A3C">
        <w:lastRenderedPageBreak/>
        <w:t xml:space="preserve">située au-dessus de la </w:t>
      </w:r>
      <w:r w:rsidR="00B4133E">
        <w:t>t</w:t>
      </w:r>
      <w:r w:rsidRPr="00AB6A3C">
        <w:t>our de la Garde</w:t>
      </w:r>
      <w:r w:rsidR="00B4133E">
        <w:t>-</w:t>
      </w:r>
      <w:r w:rsidRPr="00AB6A3C">
        <w:t>robe</w:t>
      </w:r>
      <w:r w:rsidR="00B4133E">
        <w:t xml:space="preserve"> du palais</w:t>
      </w:r>
      <w:r w:rsidRPr="00AB6A3C">
        <w:t>, et il construisit sa propre chapelle de Saint-Pierre pour les couronnements des papes</w:t>
      </w:r>
      <w:r w:rsidRPr="00AB6A3C">
        <w:rPr>
          <w:vertAlign w:val="superscript"/>
        </w:rPr>
        <w:footnoteReference w:id="27"/>
      </w:r>
      <w:r w:rsidRPr="00AB6A3C">
        <w:t xml:space="preserve">. Cette tradition se poursuit toujours au </w:t>
      </w:r>
      <w:proofErr w:type="spellStart"/>
      <w:r w:rsidR="00B4133E" w:rsidRPr="00B4133E">
        <w:rPr>
          <w:smallCaps/>
        </w:rPr>
        <w:t>xvi</w:t>
      </w:r>
      <w:r w:rsidRPr="00AB6A3C">
        <w:rPr>
          <w:vertAlign w:val="superscript"/>
        </w:rPr>
        <w:t>e</w:t>
      </w:r>
      <w:proofErr w:type="spellEnd"/>
      <w:r w:rsidR="00B4133E">
        <w:t> </w:t>
      </w:r>
      <w:r w:rsidRPr="00AB6A3C">
        <w:t xml:space="preserve">siècle. Pierre </w:t>
      </w:r>
      <w:proofErr w:type="spellStart"/>
      <w:r w:rsidRPr="00AB6A3C">
        <w:t>Pansier</w:t>
      </w:r>
      <w:proofErr w:type="spellEnd"/>
      <w:r w:rsidRPr="00AB6A3C">
        <w:t xml:space="preserve"> relève qu’un ouvrage imprimé en 1500 à Avignon, dont nous ne conservons pas d’exemplaire, portait la mention</w:t>
      </w:r>
      <w:r w:rsidR="00653FFD">
        <w:t> :</w:t>
      </w:r>
      <w:r w:rsidRPr="00AB6A3C">
        <w:t xml:space="preserve"> </w:t>
      </w:r>
      <w:r w:rsidR="00653FFD">
        <w:t>« </w:t>
      </w:r>
      <w:proofErr w:type="spellStart"/>
      <w:r w:rsidRPr="00AB6A3C">
        <w:rPr>
          <w:i/>
        </w:rPr>
        <w:t>Impressit</w:t>
      </w:r>
      <w:proofErr w:type="spellEnd"/>
      <w:r w:rsidRPr="00AB6A3C">
        <w:rPr>
          <w:i/>
        </w:rPr>
        <w:t xml:space="preserve"> </w:t>
      </w:r>
      <w:proofErr w:type="spellStart"/>
      <w:r w:rsidRPr="00AB6A3C">
        <w:rPr>
          <w:i/>
        </w:rPr>
        <w:t>Dominicus</w:t>
      </w:r>
      <w:proofErr w:type="spellEnd"/>
      <w:r w:rsidRPr="00AB6A3C">
        <w:rPr>
          <w:i/>
        </w:rPr>
        <w:t xml:space="preserve"> </w:t>
      </w:r>
      <w:proofErr w:type="spellStart"/>
      <w:r w:rsidRPr="00AB6A3C">
        <w:rPr>
          <w:i/>
        </w:rPr>
        <w:t>Anselmus</w:t>
      </w:r>
      <w:proofErr w:type="spellEnd"/>
      <w:r w:rsidRPr="00AB6A3C">
        <w:rPr>
          <w:i/>
        </w:rPr>
        <w:t xml:space="preserve"> </w:t>
      </w:r>
      <w:proofErr w:type="spellStart"/>
      <w:r w:rsidRPr="00AB6A3C">
        <w:rPr>
          <w:i/>
        </w:rPr>
        <w:t>Avenionensis</w:t>
      </w:r>
      <w:proofErr w:type="spellEnd"/>
      <w:r w:rsidRPr="00AB6A3C">
        <w:rPr>
          <w:i/>
        </w:rPr>
        <w:t xml:space="preserve">, </w:t>
      </w:r>
      <w:proofErr w:type="spellStart"/>
      <w:r w:rsidRPr="00AB6A3C">
        <w:rPr>
          <w:i/>
        </w:rPr>
        <w:t>Avenione</w:t>
      </w:r>
      <w:proofErr w:type="spellEnd"/>
      <w:r w:rsidRPr="00AB6A3C">
        <w:rPr>
          <w:i/>
        </w:rPr>
        <w:t xml:space="preserve"> </w:t>
      </w:r>
      <w:proofErr w:type="spellStart"/>
      <w:r w:rsidRPr="00AB6A3C">
        <w:rPr>
          <w:i/>
        </w:rPr>
        <w:t>altera</w:t>
      </w:r>
      <w:proofErr w:type="spellEnd"/>
      <w:r w:rsidRPr="00AB6A3C">
        <w:rPr>
          <w:i/>
        </w:rPr>
        <w:t xml:space="preserve"> Roma ultimo </w:t>
      </w:r>
      <w:proofErr w:type="spellStart"/>
      <w:r w:rsidRPr="00AB6A3C">
        <w:rPr>
          <w:i/>
        </w:rPr>
        <w:t>kalendas</w:t>
      </w:r>
      <w:proofErr w:type="spellEnd"/>
      <w:r w:rsidRPr="00AB6A3C">
        <w:rPr>
          <w:i/>
        </w:rPr>
        <w:t xml:space="preserve"> </w:t>
      </w:r>
      <w:proofErr w:type="spellStart"/>
      <w:r w:rsidRPr="00AB6A3C">
        <w:rPr>
          <w:i/>
        </w:rPr>
        <w:t>martii</w:t>
      </w:r>
      <w:proofErr w:type="spellEnd"/>
      <w:r w:rsidRPr="00AB6A3C">
        <w:rPr>
          <w:i/>
        </w:rPr>
        <w:t xml:space="preserve"> 1500</w:t>
      </w:r>
      <w:r w:rsidR="0075273F" w:rsidRPr="00AB6A3C">
        <w:rPr>
          <w:vertAlign w:val="superscript"/>
        </w:rPr>
        <w:footnoteReference w:id="28"/>
      </w:r>
      <w:r w:rsidR="00653FFD">
        <w:t> </w:t>
      </w:r>
      <w:r w:rsidR="00653FFD" w:rsidRPr="00AB6A3C">
        <w:t>»</w:t>
      </w:r>
      <w:r w:rsidRPr="00AB6A3C">
        <w:t xml:space="preserve">. Cette politique identitaire se poursuit encore au </w:t>
      </w:r>
      <w:proofErr w:type="spellStart"/>
      <w:r w:rsidR="0075273F" w:rsidRPr="0075273F">
        <w:rPr>
          <w:smallCaps/>
        </w:rPr>
        <w:t>xvii</w:t>
      </w:r>
      <w:r w:rsidRPr="00AB6A3C">
        <w:rPr>
          <w:vertAlign w:val="superscript"/>
        </w:rPr>
        <w:t>e</w:t>
      </w:r>
      <w:proofErr w:type="spellEnd"/>
      <w:r w:rsidR="0075273F">
        <w:t> </w:t>
      </w:r>
      <w:r w:rsidRPr="00AB6A3C">
        <w:t xml:space="preserve">siècle et l’on trouve de nombreuses références visuelles au statut particulier de la ville, comme en atteste le frontispice du </w:t>
      </w:r>
      <w:r w:rsidRPr="00AB6A3C">
        <w:rPr>
          <w:i/>
        </w:rPr>
        <w:t xml:space="preserve">Recueil de statuts et de privilèges de la ville d’Avignon </w:t>
      </w:r>
      <w:r w:rsidRPr="00AB6A3C">
        <w:t xml:space="preserve">(Avignon, </w:t>
      </w:r>
      <w:r w:rsidR="0075273F">
        <w:t>bibliothèque municipale</w:t>
      </w:r>
      <w:r w:rsidRPr="00AB6A3C">
        <w:t>, ms.</w:t>
      </w:r>
      <w:r w:rsidR="0075273F">
        <w:t> </w:t>
      </w:r>
      <w:r w:rsidRPr="00AB6A3C">
        <w:t xml:space="preserve">2834, </w:t>
      </w:r>
      <w:proofErr w:type="spellStart"/>
      <w:r w:rsidR="0075273F" w:rsidRPr="0075273F">
        <w:rPr>
          <w:smallCaps/>
        </w:rPr>
        <w:t>xiv</w:t>
      </w:r>
      <w:r w:rsidRPr="00AB6A3C">
        <w:rPr>
          <w:vertAlign w:val="superscript"/>
        </w:rPr>
        <w:t>e</w:t>
      </w:r>
      <w:r w:rsidRPr="00AB6A3C">
        <w:t>-</w:t>
      </w:r>
      <w:r w:rsidR="0075273F" w:rsidRPr="0075273F">
        <w:rPr>
          <w:smallCaps/>
        </w:rPr>
        <w:t>xv</w:t>
      </w:r>
      <w:r w:rsidRPr="00AB6A3C">
        <w:rPr>
          <w:vertAlign w:val="superscript"/>
        </w:rPr>
        <w:t>e</w:t>
      </w:r>
      <w:proofErr w:type="spellEnd"/>
      <w:r w:rsidR="0075273F">
        <w:t> </w:t>
      </w:r>
      <w:r w:rsidRPr="00AB6A3C">
        <w:t xml:space="preserve">siècles et </w:t>
      </w:r>
      <w:proofErr w:type="spellStart"/>
      <w:r w:rsidR="0075273F" w:rsidRPr="0075273F">
        <w:rPr>
          <w:smallCaps/>
        </w:rPr>
        <w:t>xvii</w:t>
      </w:r>
      <w:r w:rsidRPr="00AB6A3C">
        <w:rPr>
          <w:vertAlign w:val="superscript"/>
        </w:rPr>
        <w:t>e</w:t>
      </w:r>
      <w:proofErr w:type="spellEnd"/>
      <w:r w:rsidR="0075273F" w:rsidRPr="0075273F">
        <w:t> </w:t>
      </w:r>
      <w:r w:rsidRPr="00AB6A3C">
        <w:t>siècle), où l’expression SPQA apparaît sur des étendards rouges à la place du traditionnel SPQR</w:t>
      </w:r>
      <w:r w:rsidR="005B5ADD" w:rsidRPr="00AB6A3C">
        <w:rPr>
          <w:rStyle w:val="Appelnotedebasdep"/>
          <w:rFonts w:ascii="Times New Roman" w:eastAsia="Times New Roman" w:hAnsi="Times New Roman" w:cs="Times New Roman"/>
          <w:sz w:val="24"/>
          <w:szCs w:val="24"/>
        </w:rPr>
        <w:footnoteReference w:id="29"/>
      </w:r>
      <w:r w:rsidRPr="00AB6A3C">
        <w:t xml:space="preserve"> (</w:t>
      </w:r>
      <w:r w:rsidR="00653FFD">
        <w:t>fig. </w:t>
      </w:r>
      <w:r w:rsidR="003E135A">
        <w:t>13</w:t>
      </w:r>
      <w:r w:rsidR="00BB41E6">
        <w:t>3</w:t>
      </w:r>
      <w:r w:rsidRPr="00AB6A3C">
        <w:t xml:space="preserve">). Deux gerfauts, emblèmes de la cité, entourent les anciennes armoiries de la ville (toutefois sans le dôme crucigère sur la tour du milieu) complétées du texte </w:t>
      </w:r>
      <w:r w:rsidR="00653FFD">
        <w:t>« </w:t>
      </w:r>
      <w:r w:rsidRPr="00AB6A3C">
        <w:rPr>
          <w:i/>
          <w:iCs/>
        </w:rPr>
        <w:t>SENATUS POPULUSQUE AVENIONENSIS</w:t>
      </w:r>
      <w:r w:rsidR="00653FFD">
        <w:t> </w:t>
      </w:r>
      <w:r w:rsidR="00653FFD" w:rsidRPr="00AB6A3C">
        <w:t>»</w:t>
      </w:r>
      <w:r w:rsidRPr="00AB6A3C">
        <w:t>. Des devises sont également inscrites dans des cartouches</w:t>
      </w:r>
      <w:r w:rsidR="00653FFD">
        <w:t> </w:t>
      </w:r>
      <w:r w:rsidR="00653FFD" w:rsidRPr="00AB6A3C">
        <w:t>:</w:t>
      </w:r>
      <w:r w:rsidRPr="00AB6A3C">
        <w:t xml:space="preserve"> </w:t>
      </w:r>
      <w:r w:rsidR="00653FFD">
        <w:t>« </w:t>
      </w:r>
      <w:r w:rsidRPr="00AB6A3C">
        <w:rPr>
          <w:i/>
          <w:iCs/>
        </w:rPr>
        <w:t>FELI[CIUM] TEMPORUM / REPARATIO</w:t>
      </w:r>
      <w:r w:rsidR="00653FFD">
        <w:rPr>
          <w:i/>
          <w:iCs/>
        </w:rPr>
        <w:t> </w:t>
      </w:r>
      <w:r w:rsidR="00653FFD" w:rsidRPr="00AB6A3C">
        <w:rPr>
          <w:i/>
          <w:iCs/>
        </w:rPr>
        <w:t>»</w:t>
      </w:r>
      <w:r w:rsidRPr="00AB6A3C">
        <w:rPr>
          <w:i/>
          <w:iCs/>
        </w:rPr>
        <w:t xml:space="preserve">, </w:t>
      </w:r>
      <w:r w:rsidR="00653FFD">
        <w:rPr>
          <w:i/>
          <w:iCs/>
        </w:rPr>
        <w:t>« </w:t>
      </w:r>
      <w:r w:rsidRPr="00AB6A3C">
        <w:rPr>
          <w:i/>
          <w:iCs/>
        </w:rPr>
        <w:t>UNGUIBUS ET ROSTRO / ALISQUE ARMATUS IN / HOSTEM</w:t>
      </w:r>
      <w:r w:rsidR="00653FFD">
        <w:t> </w:t>
      </w:r>
      <w:r w:rsidR="00653FFD" w:rsidRPr="00AB6A3C">
        <w:t>»</w:t>
      </w:r>
      <w:r w:rsidRPr="00AB6A3C">
        <w:t xml:space="preserve"> avec les lettres </w:t>
      </w:r>
      <w:r w:rsidR="00653FFD">
        <w:t>« </w:t>
      </w:r>
      <w:r w:rsidRPr="00AB6A3C">
        <w:rPr>
          <w:i/>
          <w:iCs/>
        </w:rPr>
        <w:t>R.A</w:t>
      </w:r>
      <w:r w:rsidR="00653FFD">
        <w:t> </w:t>
      </w:r>
      <w:r w:rsidR="00653FFD" w:rsidRPr="00AB6A3C">
        <w:t>»</w:t>
      </w:r>
      <w:r w:rsidRPr="00AB6A3C">
        <w:t xml:space="preserve">, soit la devise de la ville avec l’expression </w:t>
      </w:r>
      <w:proofErr w:type="spellStart"/>
      <w:r w:rsidRPr="00AB6A3C">
        <w:rPr>
          <w:i/>
        </w:rPr>
        <w:t>respublica</w:t>
      </w:r>
      <w:proofErr w:type="spellEnd"/>
      <w:r w:rsidRPr="00AB6A3C">
        <w:rPr>
          <w:i/>
        </w:rPr>
        <w:t xml:space="preserve"> </w:t>
      </w:r>
      <w:proofErr w:type="spellStart"/>
      <w:r w:rsidRPr="00AB6A3C">
        <w:rPr>
          <w:i/>
        </w:rPr>
        <w:t>avenionensis</w:t>
      </w:r>
      <w:proofErr w:type="spellEnd"/>
      <w:r w:rsidRPr="00AB6A3C">
        <w:t xml:space="preserve">, et </w:t>
      </w:r>
      <w:r w:rsidR="00653FFD">
        <w:t>« </w:t>
      </w:r>
      <w:r w:rsidRPr="00AB6A3C">
        <w:rPr>
          <w:i/>
          <w:iCs/>
        </w:rPr>
        <w:t>SINGULIS VARIUS / UTILIS OMNIBUS</w:t>
      </w:r>
      <w:r w:rsidR="00653FFD">
        <w:t> </w:t>
      </w:r>
      <w:r w:rsidR="00653FFD" w:rsidRPr="00AB6A3C">
        <w:t>»</w:t>
      </w:r>
      <w:r w:rsidRPr="00AB6A3C">
        <w:t xml:space="preserve"> (différent pour chacun, avantageux pour tous</w:t>
      </w:r>
      <w:r w:rsidR="00653FFD">
        <w:t> </w:t>
      </w:r>
      <w:r w:rsidR="00653FFD" w:rsidRPr="00AB6A3C">
        <w:t>»</w:t>
      </w:r>
      <w:r w:rsidRPr="00AB6A3C">
        <w:t xml:space="preserve">). L’expression </w:t>
      </w:r>
      <w:r w:rsidR="00653FFD">
        <w:t>« </w:t>
      </w:r>
      <w:proofErr w:type="spellStart"/>
      <w:r w:rsidRPr="00AB6A3C">
        <w:rPr>
          <w:i/>
          <w:iCs/>
        </w:rPr>
        <w:t>Felicium</w:t>
      </w:r>
      <w:proofErr w:type="spellEnd"/>
      <w:r w:rsidRPr="00AB6A3C">
        <w:rPr>
          <w:i/>
          <w:iCs/>
        </w:rPr>
        <w:t xml:space="preserve"> </w:t>
      </w:r>
      <w:proofErr w:type="spellStart"/>
      <w:r w:rsidRPr="00AB6A3C">
        <w:rPr>
          <w:i/>
          <w:iCs/>
        </w:rPr>
        <w:t>temporum</w:t>
      </w:r>
      <w:proofErr w:type="spellEnd"/>
      <w:r w:rsidRPr="00AB6A3C">
        <w:rPr>
          <w:i/>
          <w:iCs/>
        </w:rPr>
        <w:t xml:space="preserve"> </w:t>
      </w:r>
      <w:proofErr w:type="spellStart"/>
      <w:r w:rsidRPr="00AB6A3C">
        <w:rPr>
          <w:i/>
          <w:iCs/>
        </w:rPr>
        <w:t>reparatio</w:t>
      </w:r>
      <w:proofErr w:type="spellEnd"/>
      <w:r w:rsidR="00653FFD">
        <w:t> </w:t>
      </w:r>
      <w:r w:rsidR="00653FFD" w:rsidRPr="00AB6A3C">
        <w:t>»</w:t>
      </w:r>
      <w:r w:rsidRPr="00AB6A3C">
        <w:t xml:space="preserve"> semble faire allusion à des pièces de monnaie à l’effigie de différents empereurs romains à partir du règne de Constantin</w:t>
      </w:r>
      <w:r w:rsidRPr="00AB6A3C">
        <w:rPr>
          <w:rStyle w:val="Appelnotedebasdep"/>
          <w:rFonts w:ascii="Times New Roman" w:eastAsia="Times New Roman" w:hAnsi="Times New Roman" w:cs="Times New Roman"/>
          <w:sz w:val="24"/>
          <w:szCs w:val="24"/>
        </w:rPr>
        <w:footnoteReference w:id="30"/>
      </w:r>
      <w:r w:rsidRPr="00AB6A3C">
        <w:t>.</w:t>
      </w:r>
    </w:p>
    <w:p w14:paraId="561DD91E" w14:textId="67435BAA" w:rsidR="00116B1B" w:rsidRPr="00AB6A3C" w:rsidRDefault="00116B1B" w:rsidP="000469B2">
      <w:r w:rsidRPr="00AB6A3C">
        <w:t xml:space="preserve">Cette conscience civique s’étend bien au-delà du </w:t>
      </w:r>
      <w:proofErr w:type="spellStart"/>
      <w:r w:rsidR="005B5ADD" w:rsidRPr="005B5ADD">
        <w:rPr>
          <w:smallCaps/>
        </w:rPr>
        <w:t>xvi</w:t>
      </w:r>
      <w:r w:rsidRPr="00AB6A3C">
        <w:rPr>
          <w:vertAlign w:val="superscript"/>
        </w:rPr>
        <w:t>e</w:t>
      </w:r>
      <w:proofErr w:type="spellEnd"/>
      <w:r w:rsidR="005B5ADD">
        <w:t> </w:t>
      </w:r>
      <w:r w:rsidRPr="00AB6A3C">
        <w:t>siècle, comme en attestent deux gravures, peu étudiées. La première est un frontispice (</w:t>
      </w:r>
      <w:r w:rsidR="00653FFD">
        <w:t>fig. </w:t>
      </w:r>
      <w:r w:rsidR="00587764">
        <w:t>13</w:t>
      </w:r>
      <w:r w:rsidR="00BB41E6">
        <w:t>4</w:t>
      </w:r>
      <w:r w:rsidRPr="00AB6A3C">
        <w:t xml:space="preserve">), gravé pour un ouvrage non déterminé, conservé à la Bibliothèque nationale de France, qui fut </w:t>
      </w:r>
      <w:proofErr w:type="spellStart"/>
      <w:r w:rsidRPr="00AB6A3C">
        <w:t>ré-employé</w:t>
      </w:r>
      <w:proofErr w:type="spellEnd"/>
      <w:r w:rsidRPr="00AB6A3C">
        <w:t xml:space="preserve"> en 1648 pour l’</w:t>
      </w:r>
      <w:proofErr w:type="spellStart"/>
      <w:r w:rsidRPr="00AB6A3C">
        <w:rPr>
          <w:i/>
        </w:rPr>
        <w:t>Avenio</w:t>
      </w:r>
      <w:proofErr w:type="spellEnd"/>
      <w:r w:rsidRPr="00AB6A3C">
        <w:rPr>
          <w:i/>
        </w:rPr>
        <w:t xml:space="preserve"> Christiania</w:t>
      </w:r>
      <w:r w:rsidRPr="00AB6A3C">
        <w:t xml:space="preserve"> de Joseph-Marie Suarès, bibliothécaire pontifical. Il a cependant été réalisé en 1598 au plus tôt, car il porte non seulement la signature de Jean B</w:t>
      </w:r>
      <w:r w:rsidRPr="00D23EDC">
        <w:t>œ</w:t>
      </w:r>
      <w:r w:rsidRPr="00AB6A3C">
        <w:t xml:space="preserve">uf </w:t>
      </w:r>
      <w:r w:rsidR="00653FFD">
        <w:t>« </w:t>
      </w:r>
      <w:r w:rsidRPr="00AB6A3C">
        <w:rPr>
          <w:i/>
          <w:iCs/>
        </w:rPr>
        <w:t xml:space="preserve">Joannes Bouis </w:t>
      </w:r>
      <w:proofErr w:type="spellStart"/>
      <w:r w:rsidRPr="00AB6A3C">
        <w:rPr>
          <w:i/>
          <w:iCs/>
        </w:rPr>
        <w:t>Avenionensis</w:t>
      </w:r>
      <w:proofErr w:type="spellEnd"/>
      <w:r w:rsidRPr="00AB6A3C">
        <w:rPr>
          <w:i/>
          <w:iCs/>
        </w:rPr>
        <w:t xml:space="preserve"> </w:t>
      </w:r>
      <w:proofErr w:type="spellStart"/>
      <w:r w:rsidRPr="00AB6A3C">
        <w:rPr>
          <w:i/>
          <w:iCs/>
        </w:rPr>
        <w:t>fec</w:t>
      </w:r>
      <w:proofErr w:type="spellEnd"/>
      <w:r w:rsidRPr="00AB6A3C">
        <w:rPr>
          <w:i/>
          <w:iCs/>
        </w:rPr>
        <w:t>.</w:t>
      </w:r>
      <w:r w:rsidR="00653FFD">
        <w:t> </w:t>
      </w:r>
      <w:r w:rsidR="00653FFD" w:rsidRPr="00AB6A3C">
        <w:t>»</w:t>
      </w:r>
      <w:r w:rsidRPr="00AB6A3C">
        <w:t xml:space="preserve"> en bas, un graveur buriniste actif à Avignon entre l’extrême fin du </w:t>
      </w:r>
      <w:proofErr w:type="spellStart"/>
      <w:r w:rsidR="005B5ADD" w:rsidRPr="005B5ADD">
        <w:rPr>
          <w:smallCaps/>
        </w:rPr>
        <w:t>xvi</w:t>
      </w:r>
      <w:r w:rsidRPr="00AB6A3C">
        <w:rPr>
          <w:vertAlign w:val="superscript"/>
        </w:rPr>
        <w:t>e</w:t>
      </w:r>
      <w:proofErr w:type="spellEnd"/>
      <w:r w:rsidR="005B5ADD">
        <w:t> </w:t>
      </w:r>
      <w:r w:rsidRPr="00AB6A3C">
        <w:t>siècle et 1629, date de sa mort</w:t>
      </w:r>
      <w:r w:rsidRPr="00AB6A3C">
        <w:rPr>
          <w:vertAlign w:val="superscript"/>
        </w:rPr>
        <w:footnoteReference w:id="31"/>
      </w:r>
      <w:r w:rsidRPr="00AB6A3C">
        <w:t>, mais aussi les armoiries du pape Clément</w:t>
      </w:r>
      <w:r w:rsidR="005B5ADD">
        <w:t> </w:t>
      </w:r>
      <w:r w:rsidRPr="00AB6A3C">
        <w:t>VIII (1592-1605), du cardinal Ottavio Acquaviva (1591-1612), légat d’Avignon</w:t>
      </w:r>
      <w:r w:rsidR="005B5ADD">
        <w:t>,</w:t>
      </w:r>
      <w:r w:rsidRPr="00AB6A3C">
        <w:t xml:space="preserve"> et de l’archevêque Jean François </w:t>
      </w:r>
      <w:proofErr w:type="spellStart"/>
      <w:r w:rsidRPr="00AB6A3C">
        <w:t>Bordini</w:t>
      </w:r>
      <w:proofErr w:type="spellEnd"/>
      <w:r w:rsidR="005B5ADD" w:rsidRPr="00AB6A3C">
        <w:rPr>
          <w:vertAlign w:val="superscript"/>
        </w:rPr>
        <w:footnoteReference w:id="32"/>
      </w:r>
      <w:r w:rsidRPr="00AB6A3C">
        <w:t xml:space="preserve"> (1598-1609). Nous trouvons également les anciennes et nouvelles </w:t>
      </w:r>
      <w:r w:rsidRPr="00AB6A3C">
        <w:lastRenderedPageBreak/>
        <w:t>armoiries de la ville d’Avignon, une référence évidente au passé de la ville avant le séjour des papes, car elles furent modifiées par Clément</w:t>
      </w:r>
      <w:r w:rsidR="000045C0">
        <w:t> </w:t>
      </w:r>
      <w:r w:rsidRPr="00AB6A3C">
        <w:t xml:space="preserve">VI. Ces blasons ornent un portique aux colonnes torsadées d’ordre corinthien agrémenté de nombreuses figures saintes et éléments symboliques. Face à face se situent des statues de saint </w:t>
      </w:r>
      <w:proofErr w:type="spellStart"/>
      <w:r w:rsidRPr="00AB6A3C">
        <w:t>Ruf</w:t>
      </w:r>
      <w:proofErr w:type="spellEnd"/>
      <w:r w:rsidRPr="00AB6A3C">
        <w:t xml:space="preserve"> et de sainte Marthe, qui sont identifiables grâce à des inscriptions latines. Patronne de la ville, Marthe est considérée comme la première apôtresse d’Avignon, qu’elle avait évangélisée, faisant ainsi parfaitement pendant à </w:t>
      </w:r>
      <w:proofErr w:type="spellStart"/>
      <w:r w:rsidRPr="00AB6A3C">
        <w:t>Ruf</w:t>
      </w:r>
      <w:proofErr w:type="spellEnd"/>
      <w:r w:rsidRPr="00AB6A3C">
        <w:t xml:space="preserve">, premier évêque de la cité. En haut de l’attique se trouve la figure de la ville d’Avignon, </w:t>
      </w:r>
      <w:r w:rsidR="00653FFD">
        <w:t>« </w:t>
      </w:r>
      <w:proofErr w:type="spellStart"/>
      <w:r w:rsidRPr="00AB6A3C">
        <w:rPr>
          <w:i/>
        </w:rPr>
        <w:t>secu</w:t>
      </w:r>
      <w:proofErr w:type="spellEnd"/>
      <w:r w:rsidRPr="00AB6A3C">
        <w:rPr>
          <w:i/>
        </w:rPr>
        <w:t xml:space="preserve">[n]da </w:t>
      </w:r>
      <w:proofErr w:type="spellStart"/>
      <w:r w:rsidRPr="00AB6A3C">
        <w:rPr>
          <w:i/>
        </w:rPr>
        <w:t>sede</w:t>
      </w:r>
      <w:proofErr w:type="spellEnd"/>
      <w:r w:rsidRPr="00AB6A3C">
        <w:rPr>
          <w:i/>
        </w:rPr>
        <w:t xml:space="preserve"> </w:t>
      </w:r>
      <w:proofErr w:type="spellStart"/>
      <w:r w:rsidRPr="00AB6A3C">
        <w:rPr>
          <w:i/>
        </w:rPr>
        <w:t>sap</w:t>
      </w:r>
      <w:proofErr w:type="spellEnd"/>
      <w:r w:rsidRPr="00AB6A3C">
        <w:rPr>
          <w:i/>
        </w:rPr>
        <w:t>[</w:t>
      </w:r>
      <w:proofErr w:type="spellStart"/>
      <w:r w:rsidRPr="00AB6A3C">
        <w:rPr>
          <w:i/>
        </w:rPr>
        <w:t>ientiae</w:t>
      </w:r>
      <w:proofErr w:type="spellEnd"/>
      <w:r w:rsidRPr="00AB6A3C">
        <w:rPr>
          <w:i/>
        </w:rPr>
        <w:t>]</w:t>
      </w:r>
      <w:r w:rsidR="00653FFD">
        <w:t> </w:t>
      </w:r>
      <w:r w:rsidR="00653FFD" w:rsidRPr="00AB6A3C">
        <w:t>»</w:t>
      </w:r>
      <w:r w:rsidRPr="00AB6A3C">
        <w:t xml:space="preserve">, associée à la figure de la Vierge sur un trône, symbolisant la sagesse, tenant une tiare papale et encadrée par la Foi et la Vérité qui surmontent elles-mêmes la devise de la ville. Enfin, le trône de la figure d’Avignon est placé sous le nom de Jésus. Commandé par les jésuites, ainsi que nous le confirme l’inscription abrégée </w:t>
      </w:r>
      <w:r w:rsidR="00653FFD">
        <w:t>« </w:t>
      </w:r>
      <w:r w:rsidRPr="00AB6A3C">
        <w:rPr>
          <w:i/>
          <w:iCs/>
        </w:rPr>
        <w:t>SCHOL. RHETOR. AVEN. SOC. IESU. P. S. C. P. A. D.</w:t>
      </w:r>
      <w:r w:rsidR="00653FFD">
        <w:t> </w:t>
      </w:r>
      <w:r w:rsidR="00653FFD" w:rsidRPr="00AB6A3C">
        <w:t>»</w:t>
      </w:r>
      <w:r w:rsidRPr="00AB6A3C">
        <w:t xml:space="preserve">, il est vraisemblable que le frontispice ait été commandé dans le cadre de l’entrée du cardinal et archevêque </w:t>
      </w:r>
      <w:proofErr w:type="spellStart"/>
      <w:r w:rsidRPr="00AB6A3C">
        <w:t>Bordini</w:t>
      </w:r>
      <w:proofErr w:type="spellEnd"/>
      <w:r w:rsidRPr="00AB6A3C">
        <w:t xml:space="preserve"> à Avignon en 1598</w:t>
      </w:r>
      <w:r w:rsidRPr="00AB6A3C">
        <w:rPr>
          <w:vertAlign w:val="superscript"/>
        </w:rPr>
        <w:footnoteReference w:id="33"/>
      </w:r>
      <w:r w:rsidRPr="00AB6A3C">
        <w:t xml:space="preserve">. En effet, l’ordre était régulièrement sollicité par le conseil de ville depuis la fin du </w:t>
      </w:r>
      <w:proofErr w:type="spellStart"/>
      <w:r w:rsidR="003D7703" w:rsidRPr="003D7703">
        <w:rPr>
          <w:smallCaps/>
        </w:rPr>
        <w:t>xvi</w:t>
      </w:r>
      <w:r w:rsidRPr="00AB6A3C">
        <w:rPr>
          <w:vertAlign w:val="superscript"/>
        </w:rPr>
        <w:t>e</w:t>
      </w:r>
      <w:proofErr w:type="spellEnd"/>
      <w:r w:rsidR="003D7703">
        <w:t> </w:t>
      </w:r>
      <w:r w:rsidRPr="00AB6A3C">
        <w:t>siècle pour organiser ces somptueuses fêtes</w:t>
      </w:r>
      <w:r w:rsidRPr="00AB6A3C">
        <w:rPr>
          <w:vertAlign w:val="superscript"/>
        </w:rPr>
        <w:footnoteReference w:id="34"/>
      </w:r>
      <w:r w:rsidRPr="00AB6A3C">
        <w:t>. Le frontispice aurait donc pu servir de projet au livret qui aurait dû être imprimé pour relater l’événement. À nouveau, nous constatons qu’Avignon se réclame d’ascendance romaine et papale par un discours visuel qui honore ce lien avec Rome, autant par les armoiries de ses dirigeants, c’est-à-dire le pape, l’archevêque et le légat, que par les figures saintes et allégoriques qui font allusion au passé et au présent chrétien de la ville, iconographie renforcée par les anciennes et nouvelles armes d’Avignon.</w:t>
      </w:r>
    </w:p>
    <w:p w14:paraId="5A466D22" w14:textId="5F478D27" w:rsidR="003D7703" w:rsidRPr="003D7703" w:rsidRDefault="00116B1B" w:rsidP="000469B2">
      <w:r w:rsidRPr="00AB6A3C">
        <w:t>La seconde gravure (</w:t>
      </w:r>
      <w:r w:rsidR="00653FFD">
        <w:t>fig. </w:t>
      </w:r>
      <w:r w:rsidR="00587764">
        <w:t>13</w:t>
      </w:r>
      <w:r w:rsidR="00BB41E6">
        <w:t>5</w:t>
      </w:r>
      <w:r w:rsidRPr="00AB6A3C">
        <w:t xml:space="preserve">), illustrant le </w:t>
      </w:r>
      <w:proofErr w:type="spellStart"/>
      <w:r w:rsidRPr="00AB6A3C">
        <w:rPr>
          <w:i/>
        </w:rPr>
        <w:t>Bullarium</w:t>
      </w:r>
      <w:proofErr w:type="spellEnd"/>
      <w:r w:rsidRPr="00AB6A3C">
        <w:rPr>
          <w:i/>
        </w:rPr>
        <w:t xml:space="preserve"> </w:t>
      </w:r>
      <w:proofErr w:type="spellStart"/>
      <w:r w:rsidRPr="00AB6A3C">
        <w:rPr>
          <w:i/>
        </w:rPr>
        <w:t>civitatis</w:t>
      </w:r>
      <w:proofErr w:type="spellEnd"/>
      <w:r w:rsidRPr="00AB6A3C">
        <w:rPr>
          <w:i/>
        </w:rPr>
        <w:t xml:space="preserve"> </w:t>
      </w:r>
      <w:proofErr w:type="spellStart"/>
      <w:r w:rsidRPr="00AB6A3C">
        <w:rPr>
          <w:i/>
        </w:rPr>
        <w:t>Avenionensis</w:t>
      </w:r>
      <w:proofErr w:type="spellEnd"/>
      <w:r w:rsidRPr="00AB6A3C">
        <w:t xml:space="preserve"> </w:t>
      </w:r>
      <w:proofErr w:type="spellStart"/>
      <w:r w:rsidRPr="00AB6A3C">
        <w:rPr>
          <w:i/>
        </w:rPr>
        <w:t>seu</w:t>
      </w:r>
      <w:proofErr w:type="spellEnd"/>
      <w:r w:rsidRPr="00AB6A3C">
        <w:rPr>
          <w:i/>
        </w:rPr>
        <w:t xml:space="preserve"> </w:t>
      </w:r>
      <w:proofErr w:type="spellStart"/>
      <w:r w:rsidRPr="00AB6A3C">
        <w:rPr>
          <w:i/>
        </w:rPr>
        <w:t>Bullae</w:t>
      </w:r>
      <w:proofErr w:type="spellEnd"/>
      <w:r w:rsidRPr="00AB6A3C">
        <w:rPr>
          <w:i/>
        </w:rPr>
        <w:t xml:space="preserve"> </w:t>
      </w:r>
      <w:proofErr w:type="spellStart"/>
      <w:r w:rsidRPr="00AB6A3C">
        <w:rPr>
          <w:i/>
        </w:rPr>
        <w:t>ac</w:t>
      </w:r>
      <w:proofErr w:type="spellEnd"/>
      <w:r w:rsidRPr="00AB6A3C">
        <w:rPr>
          <w:i/>
        </w:rPr>
        <w:t xml:space="preserve"> </w:t>
      </w:r>
      <w:proofErr w:type="spellStart"/>
      <w:r w:rsidRPr="00AB6A3C">
        <w:rPr>
          <w:i/>
        </w:rPr>
        <w:t>constitutiones</w:t>
      </w:r>
      <w:proofErr w:type="spellEnd"/>
      <w:r w:rsidRPr="00AB6A3C">
        <w:rPr>
          <w:i/>
        </w:rPr>
        <w:t xml:space="preserve"> </w:t>
      </w:r>
      <w:proofErr w:type="spellStart"/>
      <w:r w:rsidRPr="00AB6A3C">
        <w:rPr>
          <w:i/>
        </w:rPr>
        <w:t>apostolicae</w:t>
      </w:r>
      <w:proofErr w:type="spellEnd"/>
      <w:r w:rsidRPr="00AB6A3C">
        <w:rPr>
          <w:i/>
        </w:rPr>
        <w:t xml:space="preserve"> </w:t>
      </w:r>
      <w:proofErr w:type="spellStart"/>
      <w:r w:rsidRPr="00AB6A3C">
        <w:rPr>
          <w:i/>
        </w:rPr>
        <w:t>summorum</w:t>
      </w:r>
      <w:proofErr w:type="spellEnd"/>
      <w:r w:rsidRPr="00AB6A3C">
        <w:rPr>
          <w:i/>
        </w:rPr>
        <w:t xml:space="preserve"> </w:t>
      </w:r>
      <w:proofErr w:type="spellStart"/>
      <w:r w:rsidRPr="00AB6A3C">
        <w:rPr>
          <w:i/>
        </w:rPr>
        <w:t>pontificum</w:t>
      </w:r>
      <w:proofErr w:type="spellEnd"/>
      <w:r w:rsidRPr="00AB6A3C">
        <w:rPr>
          <w:i/>
        </w:rPr>
        <w:t xml:space="preserve"> et </w:t>
      </w:r>
      <w:proofErr w:type="spellStart"/>
      <w:r w:rsidRPr="00AB6A3C">
        <w:rPr>
          <w:i/>
        </w:rPr>
        <w:t>diplomata</w:t>
      </w:r>
      <w:proofErr w:type="spellEnd"/>
      <w:r w:rsidRPr="00AB6A3C">
        <w:rPr>
          <w:i/>
        </w:rPr>
        <w:t xml:space="preserve"> regum</w:t>
      </w:r>
      <w:r w:rsidRPr="00AB6A3C">
        <w:t>, paru à Lyon en 1657, représente précisément cette vision d’</w:t>
      </w:r>
      <w:proofErr w:type="spellStart"/>
      <w:r w:rsidRPr="00AB6A3C">
        <w:rPr>
          <w:i/>
        </w:rPr>
        <w:t>Altera</w:t>
      </w:r>
      <w:proofErr w:type="spellEnd"/>
      <w:r w:rsidRPr="00AB6A3C">
        <w:rPr>
          <w:i/>
        </w:rPr>
        <w:t xml:space="preserve"> Roma</w:t>
      </w:r>
      <w:r w:rsidR="003D7703" w:rsidRPr="003D7703">
        <w:rPr>
          <w:iCs/>
        </w:rPr>
        <w:t>.</w:t>
      </w:r>
      <w:r w:rsidRPr="00AB6A3C">
        <w:t xml:space="preserve"> L’ouvrage recueille les statuts et privilèges, privilèges qui se trouvaient dans les bulles des Papes, dont les originaux risquaient davantage la destruction</w:t>
      </w:r>
      <w:r w:rsidRPr="00AB6A3C">
        <w:rPr>
          <w:vertAlign w:val="superscript"/>
        </w:rPr>
        <w:footnoteReference w:id="35"/>
      </w:r>
      <w:r w:rsidRPr="00AB6A3C">
        <w:t>. Le conseil municipal d’Avignon demanda ainsi au pape de les confirmer afin de les faire imprimer, dans ce recueil de bulles et autres documents concernant les privilèges de la ville. On observe sur la gravure des personnifications allégoriques féminines des concepts d’</w:t>
      </w:r>
      <w:proofErr w:type="spellStart"/>
      <w:r w:rsidRPr="00AB6A3C">
        <w:rPr>
          <w:i/>
        </w:rPr>
        <w:t>Altera</w:t>
      </w:r>
      <w:proofErr w:type="spellEnd"/>
      <w:r w:rsidRPr="00AB6A3C">
        <w:rPr>
          <w:i/>
        </w:rPr>
        <w:t xml:space="preserve"> Roma</w:t>
      </w:r>
      <w:r w:rsidRPr="00AB6A3C">
        <w:t xml:space="preserve"> et d’</w:t>
      </w:r>
      <w:proofErr w:type="spellStart"/>
      <w:r w:rsidRPr="00AB6A3C">
        <w:rPr>
          <w:i/>
        </w:rPr>
        <w:t>Avinio</w:t>
      </w:r>
      <w:proofErr w:type="spellEnd"/>
      <w:r w:rsidRPr="00AB6A3C">
        <w:rPr>
          <w:i/>
        </w:rPr>
        <w:t xml:space="preserve"> </w:t>
      </w:r>
      <w:proofErr w:type="spellStart"/>
      <w:r w:rsidRPr="00AB6A3C">
        <w:rPr>
          <w:i/>
        </w:rPr>
        <w:t>Cavarum</w:t>
      </w:r>
      <w:proofErr w:type="spellEnd"/>
      <w:r w:rsidRPr="00AB6A3C">
        <w:t xml:space="preserve">, c’est-à-dire de Rome et d’Avignon (cette dernière était considérée comme la ville de la Narbonnaise). Installées sur des piédestaux, elles se font face et entourent une représentation de la ville avec le </w:t>
      </w:r>
      <w:r w:rsidR="003D7703">
        <w:t>p</w:t>
      </w:r>
      <w:r w:rsidRPr="00AB6A3C">
        <w:t xml:space="preserve">alais des Papes trônant au centre, du Rhône et du pont </w:t>
      </w:r>
      <w:proofErr w:type="spellStart"/>
      <w:r w:rsidRPr="00AB6A3C">
        <w:t>Saint-Bénezet</w:t>
      </w:r>
      <w:proofErr w:type="spellEnd"/>
      <w:r w:rsidRPr="00AB6A3C">
        <w:t>. Cette vue est encadrée des armoiries de la ville et de celles du pape Alexandre</w:t>
      </w:r>
      <w:r w:rsidR="003D7703">
        <w:t> </w:t>
      </w:r>
      <w:r w:rsidRPr="00AB6A3C">
        <w:t>VII (1655-1667). On trouve également des anges portant des phylactères aux textes suivants</w:t>
      </w:r>
      <w:r w:rsidR="00653FFD">
        <w:t> :</w:t>
      </w:r>
      <w:r w:rsidRPr="00AB6A3C">
        <w:t xml:space="preserve"> </w:t>
      </w:r>
      <w:r w:rsidR="00653FFD">
        <w:t>« </w:t>
      </w:r>
      <w:proofErr w:type="spellStart"/>
      <w:r w:rsidRPr="00AB6A3C">
        <w:rPr>
          <w:i/>
        </w:rPr>
        <w:t>amica</w:t>
      </w:r>
      <w:proofErr w:type="spellEnd"/>
      <w:r w:rsidRPr="00AB6A3C">
        <w:rPr>
          <w:i/>
        </w:rPr>
        <w:t xml:space="preserve"> </w:t>
      </w:r>
      <w:proofErr w:type="spellStart"/>
      <w:r w:rsidRPr="00AB6A3C">
        <w:rPr>
          <w:i/>
        </w:rPr>
        <w:t>clavium</w:t>
      </w:r>
      <w:proofErr w:type="spellEnd"/>
      <w:r w:rsidRPr="00AB6A3C">
        <w:rPr>
          <w:i/>
        </w:rPr>
        <w:t xml:space="preserve"> </w:t>
      </w:r>
      <w:proofErr w:type="spellStart"/>
      <w:r w:rsidRPr="00AB6A3C">
        <w:rPr>
          <w:i/>
        </w:rPr>
        <w:t>veritas</w:t>
      </w:r>
      <w:proofErr w:type="spellEnd"/>
      <w:r w:rsidR="00653FFD">
        <w:t> </w:t>
      </w:r>
      <w:r w:rsidR="00653FFD" w:rsidRPr="00AB6A3C">
        <w:t>»</w:t>
      </w:r>
      <w:r w:rsidRPr="00AB6A3C">
        <w:t xml:space="preserve"> et </w:t>
      </w:r>
      <w:r w:rsidR="00653FFD">
        <w:t>« </w:t>
      </w:r>
      <w:proofErr w:type="spellStart"/>
      <w:r w:rsidRPr="00AB6A3C">
        <w:rPr>
          <w:i/>
        </w:rPr>
        <w:t>ungibus</w:t>
      </w:r>
      <w:proofErr w:type="spellEnd"/>
      <w:r w:rsidRPr="00AB6A3C">
        <w:rPr>
          <w:i/>
        </w:rPr>
        <w:t xml:space="preserve"> et </w:t>
      </w:r>
      <w:proofErr w:type="spellStart"/>
      <w:r w:rsidRPr="00AB6A3C">
        <w:rPr>
          <w:i/>
        </w:rPr>
        <w:t>rostro</w:t>
      </w:r>
      <w:proofErr w:type="spellEnd"/>
      <w:r w:rsidRPr="00AB6A3C">
        <w:rPr>
          <w:i/>
        </w:rPr>
        <w:t xml:space="preserve"> </w:t>
      </w:r>
      <w:proofErr w:type="spellStart"/>
      <w:r w:rsidRPr="00AB6A3C">
        <w:rPr>
          <w:i/>
        </w:rPr>
        <w:t>fidelitas</w:t>
      </w:r>
      <w:proofErr w:type="spellEnd"/>
      <w:r w:rsidR="00653FFD">
        <w:t> </w:t>
      </w:r>
      <w:r w:rsidR="00653FFD" w:rsidRPr="00AB6A3C">
        <w:t>»</w:t>
      </w:r>
      <w:r w:rsidRPr="00AB6A3C">
        <w:t xml:space="preserve">, soit </w:t>
      </w:r>
      <w:r w:rsidR="00653FFD">
        <w:t>« </w:t>
      </w:r>
      <w:r w:rsidRPr="00AB6A3C">
        <w:t xml:space="preserve">la vérité est amie des </w:t>
      </w:r>
      <w:r w:rsidRPr="00AB6A3C">
        <w:lastRenderedPageBreak/>
        <w:t>clés</w:t>
      </w:r>
      <w:r w:rsidR="00653FFD">
        <w:t> </w:t>
      </w:r>
      <w:r w:rsidR="00653FFD" w:rsidRPr="00AB6A3C">
        <w:t>»</w:t>
      </w:r>
      <w:r w:rsidRPr="00AB6A3C">
        <w:t xml:space="preserve"> et </w:t>
      </w:r>
      <w:r w:rsidR="00653FFD">
        <w:t>« </w:t>
      </w:r>
      <w:r w:rsidRPr="00AB6A3C">
        <w:t>fidélité de bec et ongles</w:t>
      </w:r>
      <w:r w:rsidR="00653FFD">
        <w:t> </w:t>
      </w:r>
      <w:r w:rsidR="00653FFD" w:rsidRPr="00AB6A3C">
        <w:t>»</w:t>
      </w:r>
      <w:r w:rsidRPr="00AB6A3C">
        <w:t xml:space="preserve"> (</w:t>
      </w:r>
      <w:r w:rsidR="00653FFD">
        <w:t>« </w:t>
      </w:r>
      <w:proofErr w:type="spellStart"/>
      <w:r w:rsidRPr="00AB6A3C">
        <w:rPr>
          <w:i/>
        </w:rPr>
        <w:t>ungibus</w:t>
      </w:r>
      <w:proofErr w:type="spellEnd"/>
      <w:r w:rsidRPr="00AB6A3C">
        <w:rPr>
          <w:i/>
        </w:rPr>
        <w:t xml:space="preserve"> et </w:t>
      </w:r>
      <w:proofErr w:type="spellStart"/>
      <w:r w:rsidRPr="00AB6A3C">
        <w:rPr>
          <w:i/>
        </w:rPr>
        <w:t>rostro</w:t>
      </w:r>
      <w:proofErr w:type="spellEnd"/>
      <w:r w:rsidR="00653FFD">
        <w:t> </w:t>
      </w:r>
      <w:r w:rsidR="00653FFD" w:rsidRPr="00AB6A3C">
        <w:t>»</w:t>
      </w:r>
      <w:r w:rsidRPr="00AB6A3C">
        <w:rPr>
          <w:i/>
        </w:rPr>
        <w:t xml:space="preserve"> </w:t>
      </w:r>
      <w:r w:rsidRPr="00AB6A3C">
        <w:t>est la devise d’Avignon, d’où les deux gerfauts entourant son blason). La figure de l’</w:t>
      </w:r>
      <w:proofErr w:type="spellStart"/>
      <w:r w:rsidRPr="00AB6A3C">
        <w:rPr>
          <w:i/>
        </w:rPr>
        <w:t>Altera</w:t>
      </w:r>
      <w:proofErr w:type="spellEnd"/>
      <w:r w:rsidRPr="00AB6A3C">
        <w:rPr>
          <w:i/>
        </w:rPr>
        <w:t xml:space="preserve"> Roma</w:t>
      </w:r>
      <w:r w:rsidRPr="00AB6A3C">
        <w:t xml:space="preserve"> est nue, portant un simple voilage sur son avant-bras gauche retombant pudiquement sur le bas du corps. Elle désigne de sa main droite son collier en forme de cœur, et sa main gauche tient un soleil, souvent porté par la figure de la vérité dans les livres d’emblèmes, faisant ainsi probablement référence à la devise </w:t>
      </w:r>
      <w:r w:rsidR="00653FFD">
        <w:t>« </w:t>
      </w:r>
      <w:proofErr w:type="spellStart"/>
      <w:r w:rsidRPr="00AB6A3C">
        <w:rPr>
          <w:i/>
        </w:rPr>
        <w:t>amica</w:t>
      </w:r>
      <w:proofErr w:type="spellEnd"/>
      <w:r w:rsidRPr="00AB6A3C">
        <w:rPr>
          <w:i/>
        </w:rPr>
        <w:t xml:space="preserve"> </w:t>
      </w:r>
      <w:proofErr w:type="spellStart"/>
      <w:r w:rsidRPr="00AB6A3C">
        <w:rPr>
          <w:i/>
        </w:rPr>
        <w:t>clavium</w:t>
      </w:r>
      <w:proofErr w:type="spellEnd"/>
      <w:r w:rsidRPr="00AB6A3C">
        <w:rPr>
          <w:i/>
        </w:rPr>
        <w:t xml:space="preserve"> </w:t>
      </w:r>
      <w:proofErr w:type="spellStart"/>
      <w:r w:rsidRPr="00AB6A3C">
        <w:rPr>
          <w:i/>
        </w:rPr>
        <w:t>veritas</w:t>
      </w:r>
      <w:proofErr w:type="spellEnd"/>
      <w:r w:rsidR="00653FFD">
        <w:t> </w:t>
      </w:r>
      <w:r w:rsidR="00653FFD" w:rsidRPr="00AB6A3C">
        <w:t>»</w:t>
      </w:r>
      <w:r w:rsidRPr="00AB6A3C">
        <w:t>. Quant à la représentation de l’</w:t>
      </w:r>
      <w:proofErr w:type="spellStart"/>
      <w:r w:rsidRPr="00AB6A3C">
        <w:rPr>
          <w:i/>
        </w:rPr>
        <w:t>Avinio</w:t>
      </w:r>
      <w:proofErr w:type="spellEnd"/>
      <w:r w:rsidRPr="00AB6A3C">
        <w:rPr>
          <w:i/>
        </w:rPr>
        <w:t xml:space="preserve"> </w:t>
      </w:r>
      <w:proofErr w:type="spellStart"/>
      <w:r w:rsidRPr="00AB6A3C">
        <w:rPr>
          <w:i/>
        </w:rPr>
        <w:t>Cavarum</w:t>
      </w:r>
      <w:proofErr w:type="spellEnd"/>
      <w:r w:rsidRPr="00AB6A3C">
        <w:t>, elle est vêtue d’une robe évoquant un modèle antique, avec à ses pieds un aigle. Elle arbore un chien autour du cou, symbole de fidélité qui doit faire allusion à la devise de la cité, et porte une clé dans sa main droite, probablement celle de la ville. Avignon est donc ici mise sur un pied d’égalité avec Rome, justifiant sa demande au pape de faire imprimer les statuts et privilèges qu’il lui accorde. C’est donc grâce à l’image, et surtout le discours héraldique et allégorique, qu’Avignon peut tisser ce lien immuable avec la cité pontificale, dont elle est en quelque sorte le substitut.</w:t>
      </w:r>
    </w:p>
    <w:p w14:paraId="103249B7" w14:textId="77777777" w:rsidR="00116B1B" w:rsidRPr="00AB6A3C" w:rsidRDefault="00116B1B" w:rsidP="000469B2">
      <w:pPr>
        <w:pStyle w:val="Titre1"/>
      </w:pPr>
      <w:r w:rsidRPr="00AB6A3C">
        <w:t>Conclusion</w:t>
      </w:r>
    </w:p>
    <w:p w14:paraId="6ECE8173" w14:textId="2DA0B53D" w:rsidR="00116B1B" w:rsidRDefault="00116B1B" w:rsidP="000469B2">
      <w:r w:rsidRPr="00AB6A3C">
        <w:t>Cette étude vise à démontrer que la question de la légitimation de la légation avignonnaise passe en grande partie par l’image, notamment par l’héraldique, mais aussi par les devises et les figures emblématiques, déployées lors de cérémonies grandioses</w:t>
      </w:r>
      <w:r w:rsidR="003D7703">
        <w:t>,</w:t>
      </w:r>
      <w:r w:rsidRPr="00AB6A3C">
        <w:t xml:space="preserve"> et par l’imprimé, dont on connaît bien le pouvoir de diffusion. Le pouvoir pontifical, malgré la distance géographique et politique, se construit à travers le concept de l’</w:t>
      </w:r>
      <w:proofErr w:type="spellStart"/>
      <w:r w:rsidRPr="00AB6A3C">
        <w:rPr>
          <w:i/>
        </w:rPr>
        <w:t>Altera</w:t>
      </w:r>
      <w:proofErr w:type="spellEnd"/>
      <w:r w:rsidRPr="00AB6A3C">
        <w:rPr>
          <w:i/>
        </w:rPr>
        <w:t xml:space="preserve"> Roma</w:t>
      </w:r>
      <w:r w:rsidRPr="00AB6A3C">
        <w:t xml:space="preserve"> qui vise à faire d’Avignon un autre centre névralgique de la papauté. La communication liée à cette représentation repose sur des outils visuels destinés à promouvoir la légation. Il s’agit donc de créer un lien de familiarité dans l’imaginaire collectif avignonnais, un objectif qui devient probablement d’autant plus important dans les années 1550 et à partir de la Contre-Réforme pour confirmer le statut d’Avignon comme défenseur du catholicisme face à un Languedoc et </w:t>
      </w:r>
      <w:proofErr w:type="gramStart"/>
      <w:r w:rsidRPr="00AB6A3C">
        <w:t>un Dauphiné protestants</w:t>
      </w:r>
      <w:proofErr w:type="gramEnd"/>
      <w:r w:rsidRPr="00AB6A3C">
        <w:t>. Cette volonté affichée d’apparenter Avignon à Rome se remarque également à travers les arts avignonnais de façon générale, surtout à partir des années 1525</w:t>
      </w:r>
      <w:r w:rsidR="003D7703">
        <w:t>,</w:t>
      </w:r>
      <w:r w:rsidRPr="00AB6A3C">
        <w:t xml:space="preserve"> avec des peintres français qui séjournent à Rome avant de s’établir à Avignon comme Henri </w:t>
      </w:r>
      <w:proofErr w:type="spellStart"/>
      <w:r w:rsidRPr="00AB6A3C">
        <w:t>Guigues</w:t>
      </w:r>
      <w:proofErr w:type="spellEnd"/>
      <w:r w:rsidRPr="00AB6A3C">
        <w:t>, qui importe de façon précoce les modèles de Raphaël en Provence, ou Simon de</w:t>
      </w:r>
      <w:r w:rsidR="003D7703">
        <w:t> </w:t>
      </w:r>
      <w:r w:rsidRPr="00AB6A3C">
        <w:t xml:space="preserve">Châlons, qui imite le </w:t>
      </w:r>
      <w:proofErr w:type="spellStart"/>
      <w:r w:rsidRPr="00AB6A3C">
        <w:t>Sanzio</w:t>
      </w:r>
      <w:proofErr w:type="spellEnd"/>
      <w:r w:rsidRPr="00AB6A3C">
        <w:t xml:space="preserve"> et Michel-Ange tout au long de sa carrière avignonnaise</w:t>
      </w:r>
      <w:r w:rsidRPr="00AB6A3C">
        <w:rPr>
          <w:vertAlign w:val="superscript"/>
        </w:rPr>
        <w:footnoteReference w:id="36"/>
      </w:r>
      <w:r w:rsidRPr="00AB6A3C">
        <w:t>. La pérennité et le succès que rencontrent les modèles romains à Avignon doivent sans doute à la politique de l’</w:t>
      </w:r>
      <w:proofErr w:type="spellStart"/>
      <w:r w:rsidRPr="00AB6A3C">
        <w:rPr>
          <w:i/>
        </w:rPr>
        <w:t>Altera</w:t>
      </w:r>
      <w:proofErr w:type="spellEnd"/>
      <w:r w:rsidRPr="00AB6A3C">
        <w:rPr>
          <w:i/>
        </w:rPr>
        <w:t xml:space="preserve"> Roma</w:t>
      </w:r>
      <w:r w:rsidRPr="00AB6A3C">
        <w:t xml:space="preserve">, qui veut elle aussi faire de ses peintres un </w:t>
      </w:r>
      <w:r w:rsidR="00653FFD">
        <w:t>« </w:t>
      </w:r>
      <w:r w:rsidRPr="00AB6A3C">
        <w:t>autre Raphaël</w:t>
      </w:r>
      <w:r w:rsidR="00653FFD">
        <w:t> </w:t>
      </w:r>
      <w:r w:rsidR="00653FFD" w:rsidRPr="00AB6A3C">
        <w:t>»</w:t>
      </w:r>
      <w:r w:rsidRPr="00AB6A3C">
        <w:t>.</w:t>
      </w:r>
    </w:p>
    <w:p w14:paraId="623E03A4" w14:textId="732219E3" w:rsidR="00940AB8" w:rsidRDefault="00940AB8" w:rsidP="00940AB8">
      <w:pPr>
        <w:pStyle w:val="TEIfigurestart"/>
      </w:pPr>
      <w:r>
        <w:t>— &lt;figure&gt; ——————————————————————————————————————————————————</w:t>
      </w:r>
    </w:p>
    <w:p w14:paraId="641F9A10" w14:textId="51BD71E9" w:rsidR="00F754B4" w:rsidRDefault="00EB05DF" w:rsidP="00EB05DF">
      <w:r>
        <w:rPr>
          <w:noProof/>
        </w:rPr>
        <w:lastRenderedPageBreak/>
        <w:drawing>
          <wp:inline distT="0" distB="0" distL="0" distR="0" wp14:anchorId="6BC7E7BC" wp14:editId="31AE4E1C">
            <wp:extent cx="4629150" cy="8892540"/>
            <wp:effectExtent l="0" t="0" r="0" b="3810"/>
            <wp:docPr id="1" name="Image 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link="rId7"/>
                    <a:stretch>
                      <a:fillRect/>
                    </a:stretch>
                  </pic:blipFill>
                  <pic:spPr>
                    <a:xfrm>
                      <a:off x="0" y="0"/>
                      <a:ext cx="4629150" cy="8892540"/>
                    </a:xfrm>
                    <a:prstGeom prst="rect">
                      <a:avLst/>
                    </a:prstGeom>
                  </pic:spPr>
                </pic:pic>
              </a:graphicData>
            </a:graphic>
          </wp:inline>
        </w:drawing>
      </w:r>
    </w:p>
    <w:p w14:paraId="5D7F11F5" w14:textId="001EA551" w:rsidR="00F754B4" w:rsidRDefault="00F754B4" w:rsidP="002A53B2">
      <w:pPr>
        <w:pStyle w:val="TEIfiguretitle"/>
        <w:rPr>
          <w:lang w:val="fr-CH"/>
        </w:rPr>
      </w:pPr>
      <w:r>
        <w:lastRenderedPageBreak/>
        <w:t>Figure 1</w:t>
      </w:r>
      <w:r w:rsidR="003055E3">
        <w:t>29</w:t>
      </w:r>
      <w:r>
        <w:t>.</w:t>
      </w:r>
      <w:r w:rsidR="00B00DB0" w:rsidRPr="00B00DB0">
        <w:rPr>
          <w:lang w:val="fr-CH"/>
        </w:rPr>
        <w:t xml:space="preserve"> </w:t>
      </w:r>
      <w:r w:rsidR="00B00DB0" w:rsidRPr="00AB6A3C">
        <w:rPr>
          <w:lang w:val="fr-CH"/>
        </w:rPr>
        <w:t xml:space="preserve">Bernard Salomon, dans </w:t>
      </w:r>
      <w:bookmarkStart w:id="1" w:name="_Hlk154499941"/>
      <w:r w:rsidR="00B00DB0" w:rsidRPr="00AB6A3C">
        <w:rPr>
          <w:i/>
          <w:lang w:val="fr-CH"/>
        </w:rPr>
        <w:t xml:space="preserve">La </w:t>
      </w:r>
      <w:proofErr w:type="spellStart"/>
      <w:r w:rsidR="00B00DB0" w:rsidRPr="00AB6A3C">
        <w:rPr>
          <w:i/>
          <w:lang w:val="fr-CH"/>
        </w:rPr>
        <w:t>Magnificque</w:t>
      </w:r>
      <w:proofErr w:type="spellEnd"/>
      <w:r w:rsidR="00B00DB0" w:rsidRPr="00AB6A3C">
        <w:rPr>
          <w:i/>
          <w:lang w:val="fr-CH"/>
        </w:rPr>
        <w:t xml:space="preserve"> et </w:t>
      </w:r>
      <w:proofErr w:type="spellStart"/>
      <w:r w:rsidR="00B00DB0" w:rsidRPr="00AB6A3C">
        <w:rPr>
          <w:i/>
          <w:lang w:val="fr-CH"/>
        </w:rPr>
        <w:t>triumphante</w:t>
      </w:r>
      <w:proofErr w:type="spellEnd"/>
      <w:r w:rsidR="00B00DB0" w:rsidRPr="00AB6A3C">
        <w:rPr>
          <w:i/>
          <w:lang w:val="fr-CH"/>
        </w:rPr>
        <w:t xml:space="preserve"> entrée de Carpentras, </w:t>
      </w:r>
      <w:proofErr w:type="spellStart"/>
      <w:r w:rsidR="00B00DB0" w:rsidRPr="00AB6A3C">
        <w:rPr>
          <w:i/>
          <w:lang w:val="fr-CH"/>
        </w:rPr>
        <w:t>faicte</w:t>
      </w:r>
      <w:proofErr w:type="spellEnd"/>
      <w:r w:rsidR="00B00DB0" w:rsidRPr="00AB6A3C">
        <w:rPr>
          <w:i/>
          <w:lang w:val="fr-CH"/>
        </w:rPr>
        <w:t xml:space="preserve"> à </w:t>
      </w:r>
      <w:proofErr w:type="spellStart"/>
      <w:r w:rsidR="00B00DB0" w:rsidRPr="00AB6A3C">
        <w:rPr>
          <w:i/>
          <w:lang w:val="fr-CH"/>
        </w:rPr>
        <w:t>tresillustre</w:t>
      </w:r>
      <w:proofErr w:type="spellEnd"/>
      <w:r w:rsidR="00B00DB0" w:rsidRPr="00AB6A3C">
        <w:rPr>
          <w:i/>
          <w:lang w:val="fr-CH"/>
        </w:rPr>
        <w:t xml:space="preserve"> &amp; </w:t>
      </w:r>
      <w:proofErr w:type="spellStart"/>
      <w:r w:rsidR="00B00DB0" w:rsidRPr="00AB6A3C">
        <w:rPr>
          <w:i/>
          <w:lang w:val="fr-CH"/>
        </w:rPr>
        <w:t>trespuisssant</w:t>
      </w:r>
      <w:proofErr w:type="spellEnd"/>
      <w:r w:rsidR="00B00DB0" w:rsidRPr="00AB6A3C">
        <w:rPr>
          <w:i/>
          <w:lang w:val="fr-CH"/>
        </w:rPr>
        <w:t xml:space="preserve"> prince ALEXANDRE FARNES, Cardinal, </w:t>
      </w:r>
      <w:proofErr w:type="spellStart"/>
      <w:r w:rsidR="00B00DB0" w:rsidRPr="00AB6A3C">
        <w:rPr>
          <w:i/>
          <w:lang w:val="fr-CH"/>
        </w:rPr>
        <w:t>Legat</w:t>
      </w:r>
      <w:proofErr w:type="spellEnd"/>
      <w:r w:rsidR="00B00DB0" w:rsidRPr="00AB6A3C">
        <w:rPr>
          <w:i/>
          <w:lang w:val="fr-CH"/>
        </w:rPr>
        <w:t xml:space="preserve"> d’Avignon, </w:t>
      </w:r>
      <w:proofErr w:type="spellStart"/>
      <w:r w:rsidR="00B00DB0" w:rsidRPr="00AB6A3C">
        <w:rPr>
          <w:i/>
          <w:lang w:val="fr-CH"/>
        </w:rPr>
        <w:t>Vicechancelier</w:t>
      </w:r>
      <w:proofErr w:type="spellEnd"/>
      <w:r w:rsidR="00B00DB0" w:rsidRPr="00AB6A3C">
        <w:rPr>
          <w:i/>
          <w:lang w:val="fr-CH"/>
        </w:rPr>
        <w:t xml:space="preserve"> du S.</w:t>
      </w:r>
      <w:r w:rsidR="00B00DB0">
        <w:rPr>
          <w:i/>
          <w:lang w:val="fr-CH"/>
        </w:rPr>
        <w:t> </w:t>
      </w:r>
      <w:proofErr w:type="spellStart"/>
      <w:r w:rsidR="00B00DB0" w:rsidRPr="00AB6A3C">
        <w:rPr>
          <w:i/>
          <w:lang w:val="fr-CH"/>
        </w:rPr>
        <w:t>siege</w:t>
      </w:r>
      <w:proofErr w:type="spellEnd"/>
      <w:r w:rsidR="00B00DB0" w:rsidRPr="00AB6A3C">
        <w:rPr>
          <w:i/>
          <w:lang w:val="fr-CH"/>
        </w:rPr>
        <w:t xml:space="preserve"> Apostolique</w:t>
      </w:r>
      <w:r w:rsidR="00B00DB0" w:rsidRPr="00AB6A3C">
        <w:rPr>
          <w:lang w:val="fr-CH"/>
        </w:rPr>
        <w:t xml:space="preserve"> par Antoine </w:t>
      </w:r>
      <w:proofErr w:type="spellStart"/>
      <w:r w:rsidR="00B00DB0" w:rsidRPr="00AB6A3C">
        <w:rPr>
          <w:lang w:val="fr-CH"/>
        </w:rPr>
        <w:t>Blégier</w:t>
      </w:r>
      <w:proofErr w:type="spellEnd"/>
      <w:r w:rsidR="00B00DB0" w:rsidRPr="00AB6A3C">
        <w:rPr>
          <w:lang w:val="fr-CH"/>
        </w:rPr>
        <w:t xml:space="preserve">, Avignon, </w:t>
      </w:r>
      <w:r w:rsidR="00B00DB0" w:rsidRPr="00AB6A3C">
        <w:t>Par Macé Bonhomme, aux Changes,</w:t>
      </w:r>
      <w:r w:rsidR="00B00DB0" w:rsidRPr="00AB6A3C">
        <w:rPr>
          <w:lang w:val="fr-CH"/>
        </w:rPr>
        <w:t xml:space="preserve"> 1553</w:t>
      </w:r>
      <w:bookmarkEnd w:id="1"/>
      <w:r w:rsidR="00B00DB0" w:rsidRPr="00AB6A3C">
        <w:rPr>
          <w:lang w:val="fr-CH"/>
        </w:rPr>
        <w:t>, p</w:t>
      </w:r>
      <w:r w:rsidR="00B00DB0">
        <w:rPr>
          <w:lang w:val="fr-CH"/>
        </w:rPr>
        <w:t>. </w:t>
      </w:r>
      <w:r w:rsidR="00B00DB0" w:rsidRPr="00AB6A3C">
        <w:rPr>
          <w:lang w:val="fr-CH"/>
        </w:rPr>
        <w:t>Da verso</w:t>
      </w:r>
      <w:r w:rsidR="00900A01">
        <w:rPr>
          <w:lang w:val="fr-CH"/>
        </w:rPr>
        <w:t>, c</w:t>
      </w:r>
      <w:r w:rsidR="00900A01" w:rsidRPr="00B77437">
        <w:rPr>
          <w:lang w:val="fr-CH"/>
        </w:rPr>
        <w:t xml:space="preserve">ollection particulière, </w:t>
      </w:r>
      <w:r w:rsidR="00900A01">
        <w:rPr>
          <w:lang w:val="fr-CH"/>
        </w:rPr>
        <w:t xml:space="preserve">Camille </w:t>
      </w:r>
      <w:proofErr w:type="spellStart"/>
      <w:r w:rsidR="00900A01">
        <w:rPr>
          <w:lang w:val="fr-CH"/>
        </w:rPr>
        <w:t>Larraz</w:t>
      </w:r>
      <w:proofErr w:type="spellEnd"/>
      <w:r w:rsidR="00B00DB0" w:rsidRPr="00AB6A3C">
        <w:rPr>
          <w:lang w:val="fr-CH"/>
        </w:rPr>
        <w:t>.</w:t>
      </w:r>
    </w:p>
    <w:p w14:paraId="32B8B5C5" w14:textId="7E480116" w:rsidR="00940AB8" w:rsidRDefault="00940AB8" w:rsidP="00940AB8">
      <w:pPr>
        <w:pStyle w:val="TEIfigureend"/>
      </w:pPr>
      <w:r>
        <w:t>— &lt;/figure&gt; ——————————————————————————————————————————————————</w:t>
      </w:r>
    </w:p>
    <w:p w14:paraId="6AC426F1" w14:textId="5D16BA93" w:rsidR="00940AB8" w:rsidRDefault="00940AB8" w:rsidP="00940AB8">
      <w:pPr>
        <w:pStyle w:val="TEIfigurestart"/>
      </w:pPr>
      <w:r>
        <w:t>— &lt;figure&gt; ——————————————————————————————————————————————————</w:t>
      </w:r>
    </w:p>
    <w:p w14:paraId="30E0FA36" w14:textId="2ED3C06D" w:rsidR="00F754B4" w:rsidRDefault="00EB05DF" w:rsidP="00EB05DF">
      <w:r>
        <w:rPr>
          <w:noProof/>
        </w:rPr>
        <w:lastRenderedPageBreak/>
        <w:drawing>
          <wp:inline distT="0" distB="0" distL="0" distR="0" wp14:anchorId="0C89E480" wp14:editId="28B87718">
            <wp:extent cx="5295265" cy="8892540"/>
            <wp:effectExtent l="0" t="0" r="635" b="3810"/>
            <wp:docPr id="2" name="Image 2"/>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link="rId8"/>
                    <a:stretch>
                      <a:fillRect/>
                    </a:stretch>
                  </pic:blipFill>
                  <pic:spPr>
                    <a:xfrm>
                      <a:off x="0" y="0"/>
                      <a:ext cx="5295265" cy="8892540"/>
                    </a:xfrm>
                    <a:prstGeom prst="rect">
                      <a:avLst/>
                    </a:prstGeom>
                  </pic:spPr>
                </pic:pic>
              </a:graphicData>
            </a:graphic>
          </wp:inline>
        </w:drawing>
      </w:r>
    </w:p>
    <w:p w14:paraId="48B8BBA2" w14:textId="0216DB33" w:rsidR="00F754B4" w:rsidRDefault="00F754B4" w:rsidP="002A53B2">
      <w:pPr>
        <w:pStyle w:val="TEIfiguretitle"/>
        <w:rPr>
          <w:lang w:val="fr-CH"/>
        </w:rPr>
      </w:pPr>
      <w:r>
        <w:lastRenderedPageBreak/>
        <w:t>Figure 13</w:t>
      </w:r>
      <w:r w:rsidR="003055E3">
        <w:t>0</w:t>
      </w:r>
      <w:r>
        <w:t>.</w:t>
      </w:r>
      <w:r w:rsidR="00B00DB0">
        <w:t xml:space="preserve"> </w:t>
      </w:r>
      <w:r w:rsidR="00B00DB0" w:rsidRPr="00AB6A3C">
        <w:rPr>
          <w:lang w:val="fr-CH"/>
        </w:rPr>
        <w:t xml:space="preserve">Bernard Salomon, dans </w:t>
      </w:r>
      <w:r w:rsidR="00B00DB0" w:rsidRPr="00AB6A3C">
        <w:rPr>
          <w:i/>
          <w:lang w:val="fr-CH"/>
        </w:rPr>
        <w:t xml:space="preserve">La </w:t>
      </w:r>
      <w:proofErr w:type="spellStart"/>
      <w:r w:rsidR="00B00DB0" w:rsidRPr="00AB6A3C">
        <w:rPr>
          <w:i/>
          <w:lang w:val="fr-CH"/>
        </w:rPr>
        <w:t>Magnificque</w:t>
      </w:r>
      <w:proofErr w:type="spellEnd"/>
      <w:r w:rsidR="00B00DB0" w:rsidRPr="00AB6A3C">
        <w:rPr>
          <w:i/>
          <w:lang w:val="fr-CH"/>
        </w:rPr>
        <w:t xml:space="preserve"> et </w:t>
      </w:r>
      <w:proofErr w:type="spellStart"/>
      <w:r w:rsidR="00B00DB0" w:rsidRPr="00AB6A3C">
        <w:rPr>
          <w:i/>
          <w:lang w:val="fr-CH"/>
        </w:rPr>
        <w:t>triumphante</w:t>
      </w:r>
      <w:proofErr w:type="spellEnd"/>
      <w:r w:rsidR="00B00DB0" w:rsidRPr="00AB6A3C">
        <w:rPr>
          <w:i/>
          <w:lang w:val="fr-CH"/>
        </w:rPr>
        <w:t xml:space="preserve"> entrée de Carpentras… </w:t>
      </w:r>
      <w:r w:rsidR="00B00DB0" w:rsidRPr="00AB6A3C">
        <w:rPr>
          <w:lang w:val="fr-CH"/>
        </w:rPr>
        <w:t xml:space="preserve">par Antoine </w:t>
      </w:r>
      <w:proofErr w:type="spellStart"/>
      <w:r w:rsidR="00B00DB0" w:rsidRPr="00AB6A3C">
        <w:rPr>
          <w:lang w:val="fr-CH"/>
        </w:rPr>
        <w:t>Blégier</w:t>
      </w:r>
      <w:proofErr w:type="spellEnd"/>
      <w:r w:rsidR="00B00DB0" w:rsidRPr="00AB6A3C">
        <w:rPr>
          <w:lang w:val="fr-CH"/>
        </w:rPr>
        <w:t>, Avignon, 1553, p</w:t>
      </w:r>
      <w:r w:rsidR="00B00DB0">
        <w:rPr>
          <w:lang w:val="fr-CH"/>
        </w:rPr>
        <w:t>. </w:t>
      </w:r>
      <w:r w:rsidR="00B00DB0" w:rsidRPr="00AB6A3C">
        <w:rPr>
          <w:lang w:val="fr-CH"/>
        </w:rPr>
        <w:t>D</w:t>
      </w:r>
      <w:r w:rsidR="00900A01">
        <w:rPr>
          <w:lang w:val="fr-CH"/>
        </w:rPr>
        <w:t>, c</w:t>
      </w:r>
      <w:r w:rsidR="00900A01" w:rsidRPr="00B77437">
        <w:rPr>
          <w:lang w:val="fr-CH"/>
        </w:rPr>
        <w:t xml:space="preserve">ollection particulière, </w:t>
      </w:r>
      <w:r w:rsidR="00900A01">
        <w:rPr>
          <w:lang w:val="fr-CH"/>
        </w:rPr>
        <w:t xml:space="preserve">Camille </w:t>
      </w:r>
      <w:proofErr w:type="spellStart"/>
      <w:r w:rsidR="00900A01">
        <w:rPr>
          <w:lang w:val="fr-CH"/>
        </w:rPr>
        <w:t>Larraz</w:t>
      </w:r>
      <w:proofErr w:type="spellEnd"/>
      <w:r w:rsidR="00B00DB0" w:rsidRPr="00AB6A3C">
        <w:rPr>
          <w:lang w:val="fr-CH"/>
        </w:rPr>
        <w:t>.</w:t>
      </w:r>
    </w:p>
    <w:p w14:paraId="41E3D95E" w14:textId="4C007890" w:rsidR="00940AB8" w:rsidRDefault="00940AB8" w:rsidP="00940AB8">
      <w:pPr>
        <w:pStyle w:val="TEIfigureend"/>
      </w:pPr>
      <w:r>
        <w:t>— &lt;/figure&gt; ——————————————————————————————————————————————————</w:t>
      </w:r>
    </w:p>
    <w:p w14:paraId="1E0D2CCB" w14:textId="34E8BBE9" w:rsidR="00940AB8" w:rsidRDefault="00940AB8" w:rsidP="00940AB8">
      <w:pPr>
        <w:pStyle w:val="TEIfigurestart"/>
      </w:pPr>
      <w:r>
        <w:t>— &lt;figure&gt; ——————————————————————————————————————————————————</w:t>
      </w:r>
    </w:p>
    <w:p w14:paraId="30534D1A" w14:textId="29077A1E" w:rsidR="00F754B4" w:rsidRDefault="00EB05DF" w:rsidP="00EB05DF">
      <w:r>
        <w:rPr>
          <w:noProof/>
        </w:rPr>
        <w:drawing>
          <wp:inline distT="0" distB="0" distL="0" distR="0" wp14:anchorId="1EE4A6C5" wp14:editId="70BAF815">
            <wp:extent cx="5760720" cy="7726045"/>
            <wp:effectExtent l="0" t="0" r="0" b="8255"/>
            <wp:docPr id="3" name="Image 3"/>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link="rId9"/>
                    <a:stretch>
                      <a:fillRect/>
                    </a:stretch>
                  </pic:blipFill>
                  <pic:spPr>
                    <a:xfrm>
                      <a:off x="0" y="0"/>
                      <a:ext cx="5760720" cy="7726045"/>
                    </a:xfrm>
                    <a:prstGeom prst="rect">
                      <a:avLst/>
                    </a:prstGeom>
                  </pic:spPr>
                </pic:pic>
              </a:graphicData>
            </a:graphic>
          </wp:inline>
        </w:drawing>
      </w:r>
    </w:p>
    <w:p w14:paraId="720C5FC8" w14:textId="7A7C2A34" w:rsidR="00B00DB0" w:rsidRDefault="00F754B4" w:rsidP="002A53B2">
      <w:pPr>
        <w:pStyle w:val="TEIfiguretitle"/>
        <w:rPr>
          <w:lang w:val="fr-CH"/>
        </w:rPr>
      </w:pPr>
      <w:r>
        <w:lastRenderedPageBreak/>
        <w:t>Figure 13</w:t>
      </w:r>
      <w:r w:rsidR="003055E3">
        <w:t>1</w:t>
      </w:r>
      <w:r>
        <w:t>.</w:t>
      </w:r>
      <w:r w:rsidR="00B00DB0" w:rsidRPr="00B00DB0">
        <w:rPr>
          <w:lang w:val="fr-CH"/>
        </w:rPr>
        <w:t xml:space="preserve"> </w:t>
      </w:r>
      <w:r w:rsidR="00B00DB0" w:rsidRPr="00AB6A3C">
        <w:rPr>
          <w:lang w:val="fr-CH"/>
        </w:rPr>
        <w:t>Avignon, Archives municipales, CC</w:t>
      </w:r>
      <w:r w:rsidR="00B00DB0">
        <w:rPr>
          <w:lang w:val="fr-CH"/>
        </w:rPr>
        <w:t> </w:t>
      </w:r>
      <w:r w:rsidR="00B00DB0" w:rsidRPr="00AB6A3C">
        <w:rPr>
          <w:lang w:val="fr-CH"/>
        </w:rPr>
        <w:t xml:space="preserve">468, Comptes de Gaspard </w:t>
      </w:r>
      <w:proofErr w:type="spellStart"/>
      <w:r w:rsidR="00B00DB0" w:rsidRPr="00AB6A3C">
        <w:rPr>
          <w:lang w:val="fr-CH"/>
        </w:rPr>
        <w:t>Droin</w:t>
      </w:r>
      <w:proofErr w:type="spellEnd"/>
      <w:r w:rsidR="00B00DB0" w:rsidRPr="00AB6A3C">
        <w:rPr>
          <w:lang w:val="fr-CH"/>
        </w:rPr>
        <w:t>, dépenses extraordinaires, non numéroté</w:t>
      </w:r>
      <w:r w:rsidR="00900A01">
        <w:rPr>
          <w:lang w:val="fr-CH"/>
        </w:rPr>
        <w:t>, c</w:t>
      </w:r>
      <w:r w:rsidR="00900A01" w:rsidRPr="00B77437">
        <w:rPr>
          <w:lang w:val="fr-CH"/>
        </w:rPr>
        <w:t xml:space="preserve">ollection particulière, </w:t>
      </w:r>
      <w:r w:rsidR="00900A01">
        <w:rPr>
          <w:lang w:val="fr-CH"/>
        </w:rPr>
        <w:t xml:space="preserve">Camille </w:t>
      </w:r>
      <w:proofErr w:type="spellStart"/>
      <w:r w:rsidR="00900A01">
        <w:rPr>
          <w:lang w:val="fr-CH"/>
        </w:rPr>
        <w:t>Larraz</w:t>
      </w:r>
      <w:proofErr w:type="spellEnd"/>
      <w:r w:rsidR="00B00DB0" w:rsidRPr="00AB6A3C">
        <w:rPr>
          <w:lang w:val="fr-CH"/>
        </w:rPr>
        <w:t>.</w:t>
      </w:r>
    </w:p>
    <w:p w14:paraId="086C1184" w14:textId="5F7DB402" w:rsidR="00940AB8" w:rsidRDefault="00940AB8" w:rsidP="00940AB8">
      <w:pPr>
        <w:pStyle w:val="TEIfigureend"/>
        <w:rPr>
          <w:lang w:val="fr-CH"/>
        </w:rPr>
      </w:pPr>
      <w:r>
        <w:rPr>
          <w:lang w:val="fr-CH"/>
        </w:rPr>
        <w:t>— &lt;/figure&gt; ——————————————————————————————————————————————————</w:t>
      </w:r>
    </w:p>
    <w:p w14:paraId="7679EA77" w14:textId="09A0E305" w:rsidR="00940AB8" w:rsidRDefault="00940AB8" w:rsidP="00940AB8">
      <w:pPr>
        <w:pStyle w:val="TEIfigurestart"/>
      </w:pPr>
      <w:r>
        <w:t>— &lt;figure&gt; ——————————————————————————————————————————————————</w:t>
      </w:r>
    </w:p>
    <w:p w14:paraId="652802C1" w14:textId="06016A27" w:rsidR="00F754B4" w:rsidRDefault="00EB05DF" w:rsidP="00EB05DF">
      <w:r>
        <w:rPr>
          <w:noProof/>
        </w:rPr>
        <w:drawing>
          <wp:inline distT="0" distB="0" distL="0" distR="0" wp14:anchorId="7F521848" wp14:editId="523C9F37">
            <wp:extent cx="5760720" cy="4886325"/>
            <wp:effectExtent l="0" t="0" r="0" b="9525"/>
            <wp:docPr id="4" name="Image 4"/>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link="rId10"/>
                    <a:stretch>
                      <a:fillRect/>
                    </a:stretch>
                  </pic:blipFill>
                  <pic:spPr>
                    <a:xfrm>
                      <a:off x="0" y="0"/>
                      <a:ext cx="5760720" cy="4886325"/>
                    </a:xfrm>
                    <a:prstGeom prst="rect">
                      <a:avLst/>
                    </a:prstGeom>
                  </pic:spPr>
                </pic:pic>
              </a:graphicData>
            </a:graphic>
          </wp:inline>
        </w:drawing>
      </w:r>
    </w:p>
    <w:p w14:paraId="7EA0ED4F" w14:textId="3E24CE71" w:rsidR="00F754B4" w:rsidRDefault="00F754B4" w:rsidP="002A53B2">
      <w:pPr>
        <w:pStyle w:val="TEIfiguretitle"/>
        <w:rPr>
          <w:lang w:val="fr-CH"/>
        </w:rPr>
      </w:pPr>
      <w:r>
        <w:t>Figure 13</w:t>
      </w:r>
      <w:r w:rsidR="003055E3">
        <w:t>2</w:t>
      </w:r>
      <w:r>
        <w:t>.</w:t>
      </w:r>
      <w:r w:rsidR="00B00DB0" w:rsidRPr="00B00DB0">
        <w:rPr>
          <w:lang w:val="fr-CH"/>
        </w:rPr>
        <w:t xml:space="preserve"> </w:t>
      </w:r>
      <w:r w:rsidR="00B00DB0" w:rsidRPr="00AB6A3C">
        <w:rPr>
          <w:lang w:val="fr-CH"/>
        </w:rPr>
        <w:t xml:space="preserve">Bernard Salomon, dans </w:t>
      </w:r>
      <w:r w:rsidR="00B00DB0" w:rsidRPr="00AB6A3C">
        <w:rPr>
          <w:i/>
          <w:lang w:val="fr-CH"/>
        </w:rPr>
        <w:t xml:space="preserve">La </w:t>
      </w:r>
      <w:proofErr w:type="spellStart"/>
      <w:r w:rsidR="00B00DB0" w:rsidRPr="00AB6A3C">
        <w:rPr>
          <w:i/>
          <w:lang w:val="fr-CH"/>
        </w:rPr>
        <w:t>Magnificque</w:t>
      </w:r>
      <w:proofErr w:type="spellEnd"/>
      <w:r w:rsidR="00B00DB0" w:rsidRPr="00AB6A3C">
        <w:rPr>
          <w:i/>
          <w:lang w:val="fr-CH"/>
        </w:rPr>
        <w:t xml:space="preserve"> et </w:t>
      </w:r>
      <w:proofErr w:type="spellStart"/>
      <w:r w:rsidR="00B00DB0" w:rsidRPr="00AB6A3C">
        <w:rPr>
          <w:i/>
          <w:lang w:val="fr-CH"/>
        </w:rPr>
        <w:t>triumphante</w:t>
      </w:r>
      <w:proofErr w:type="spellEnd"/>
      <w:r w:rsidR="00B00DB0" w:rsidRPr="00AB6A3C">
        <w:rPr>
          <w:i/>
          <w:lang w:val="fr-CH"/>
        </w:rPr>
        <w:t xml:space="preserve"> entrée de Carpentras… </w:t>
      </w:r>
      <w:r w:rsidR="00B00DB0" w:rsidRPr="00AB6A3C">
        <w:rPr>
          <w:lang w:val="fr-CH"/>
        </w:rPr>
        <w:t xml:space="preserve">par Antoine </w:t>
      </w:r>
      <w:proofErr w:type="spellStart"/>
      <w:r w:rsidR="00B00DB0" w:rsidRPr="00AB6A3C">
        <w:rPr>
          <w:lang w:val="fr-CH"/>
        </w:rPr>
        <w:t>Blégier</w:t>
      </w:r>
      <w:proofErr w:type="spellEnd"/>
      <w:r w:rsidR="00B00DB0" w:rsidRPr="00AB6A3C">
        <w:rPr>
          <w:lang w:val="fr-CH"/>
        </w:rPr>
        <w:t>, Avignon, 1553, p</w:t>
      </w:r>
      <w:r w:rsidR="00B00DB0">
        <w:rPr>
          <w:lang w:val="fr-CH"/>
        </w:rPr>
        <w:t>. </w:t>
      </w:r>
      <w:r w:rsidR="00B00DB0" w:rsidRPr="00AB6A3C">
        <w:rPr>
          <w:lang w:val="fr-CH"/>
        </w:rPr>
        <w:t>B</w:t>
      </w:r>
      <w:r w:rsidR="00B00DB0">
        <w:rPr>
          <w:lang w:val="fr-CH"/>
        </w:rPr>
        <w:t> </w:t>
      </w:r>
      <w:r w:rsidR="00B00DB0" w:rsidRPr="00AB6A3C">
        <w:rPr>
          <w:lang w:val="fr-CH"/>
        </w:rPr>
        <w:t>ii</w:t>
      </w:r>
      <w:r w:rsidR="00900A01">
        <w:rPr>
          <w:lang w:val="fr-CH"/>
        </w:rPr>
        <w:t>, c</w:t>
      </w:r>
      <w:r w:rsidR="00900A01" w:rsidRPr="00B77437">
        <w:rPr>
          <w:lang w:val="fr-CH"/>
        </w:rPr>
        <w:t xml:space="preserve">ollection particulière, </w:t>
      </w:r>
      <w:r w:rsidR="00900A01">
        <w:rPr>
          <w:lang w:val="fr-CH"/>
        </w:rPr>
        <w:t xml:space="preserve">Camille </w:t>
      </w:r>
      <w:proofErr w:type="spellStart"/>
      <w:r w:rsidR="00900A01">
        <w:rPr>
          <w:lang w:val="fr-CH"/>
        </w:rPr>
        <w:t>Larraz</w:t>
      </w:r>
      <w:proofErr w:type="spellEnd"/>
      <w:r w:rsidR="00B00DB0" w:rsidRPr="00AB6A3C">
        <w:rPr>
          <w:lang w:val="fr-CH"/>
        </w:rPr>
        <w:t>.</w:t>
      </w:r>
    </w:p>
    <w:p w14:paraId="25109E98" w14:textId="7C31FA53" w:rsidR="00940AB8" w:rsidRDefault="00940AB8" w:rsidP="00940AB8">
      <w:pPr>
        <w:pStyle w:val="TEIfigureend"/>
      </w:pPr>
      <w:r>
        <w:t>— &lt;/figure&gt; ——————————————————————————————————————————————————</w:t>
      </w:r>
    </w:p>
    <w:p w14:paraId="26D0655D" w14:textId="4F16DE6A" w:rsidR="00940AB8" w:rsidRDefault="00940AB8" w:rsidP="00940AB8">
      <w:pPr>
        <w:pStyle w:val="TEIfigurestart"/>
      </w:pPr>
      <w:r>
        <w:t>— &lt;figure&gt; ——————————————————————————————————————————————————</w:t>
      </w:r>
    </w:p>
    <w:p w14:paraId="0C3FCA15" w14:textId="064EB73A" w:rsidR="00F754B4" w:rsidRDefault="00EB05DF" w:rsidP="00EB05DF">
      <w:r>
        <w:rPr>
          <w:noProof/>
        </w:rPr>
        <w:lastRenderedPageBreak/>
        <w:drawing>
          <wp:inline distT="0" distB="0" distL="0" distR="0" wp14:anchorId="14D7E791" wp14:editId="16537F09">
            <wp:extent cx="4857750" cy="7010400"/>
            <wp:effectExtent l="0" t="0" r="0" b="0"/>
            <wp:docPr id="5" name="Image 5"/>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link="rId11"/>
                    <a:stretch>
                      <a:fillRect/>
                    </a:stretch>
                  </pic:blipFill>
                  <pic:spPr>
                    <a:xfrm>
                      <a:off x="0" y="0"/>
                      <a:ext cx="4857750" cy="7010400"/>
                    </a:xfrm>
                    <a:prstGeom prst="rect">
                      <a:avLst/>
                    </a:prstGeom>
                  </pic:spPr>
                </pic:pic>
              </a:graphicData>
            </a:graphic>
          </wp:inline>
        </w:drawing>
      </w:r>
    </w:p>
    <w:p w14:paraId="5C8F7399" w14:textId="23CD7276" w:rsidR="00F754B4" w:rsidRDefault="00F754B4" w:rsidP="002A53B2">
      <w:pPr>
        <w:pStyle w:val="TEIfiguretitle"/>
      </w:pPr>
      <w:r>
        <w:t>Figure 13</w:t>
      </w:r>
      <w:r w:rsidR="003055E3">
        <w:t>3</w:t>
      </w:r>
      <w:r>
        <w:t>.</w:t>
      </w:r>
      <w:r w:rsidR="00B00DB0" w:rsidRPr="00B00DB0">
        <w:rPr>
          <w:lang w:val="fr-CH"/>
        </w:rPr>
        <w:t xml:space="preserve"> </w:t>
      </w:r>
      <w:r w:rsidR="00B00DB0" w:rsidRPr="00AB6A3C">
        <w:rPr>
          <w:lang w:val="fr-CH"/>
        </w:rPr>
        <w:t xml:space="preserve">Anonyme, </w:t>
      </w:r>
      <w:bookmarkStart w:id="2" w:name="_Hlk154500068"/>
      <w:r w:rsidR="00B00DB0" w:rsidRPr="00AB6A3C">
        <w:rPr>
          <w:i/>
        </w:rPr>
        <w:t>Recueil de statuts et de privilèges de la ville d’Avignon</w:t>
      </w:r>
      <w:bookmarkEnd w:id="2"/>
      <w:r w:rsidR="00B00DB0" w:rsidRPr="00AB6A3C">
        <w:t xml:space="preserve">, Avignon, </w:t>
      </w:r>
      <w:r w:rsidR="00B00DB0">
        <w:t>BM</w:t>
      </w:r>
      <w:r w:rsidR="00B00DB0" w:rsidRPr="00AB6A3C">
        <w:t>, ms.</w:t>
      </w:r>
      <w:r w:rsidR="00B00DB0">
        <w:t> </w:t>
      </w:r>
      <w:r w:rsidR="00B00DB0" w:rsidRPr="00AB6A3C">
        <w:t>2</w:t>
      </w:r>
      <w:r w:rsidR="00587764">
        <w:t>8</w:t>
      </w:r>
      <w:r w:rsidR="00B00DB0" w:rsidRPr="00AB6A3C">
        <w:t>84.</w:t>
      </w:r>
    </w:p>
    <w:p w14:paraId="1BACCBE5" w14:textId="3B5F7AA0" w:rsidR="00940AB8" w:rsidRDefault="00940AB8" w:rsidP="00940AB8">
      <w:pPr>
        <w:pStyle w:val="TEIfigureend"/>
      </w:pPr>
      <w:r>
        <w:t>— &lt;/figure&gt; ——————————————————————————————————————————————————</w:t>
      </w:r>
    </w:p>
    <w:p w14:paraId="0DD97E55" w14:textId="73CE0B28" w:rsidR="00940AB8" w:rsidRDefault="00940AB8" w:rsidP="00940AB8">
      <w:pPr>
        <w:pStyle w:val="TEIfigurestart"/>
      </w:pPr>
      <w:r>
        <w:t>— &lt;figure&gt; ——————————————————————————————————————————————————</w:t>
      </w:r>
    </w:p>
    <w:p w14:paraId="22F31B87" w14:textId="77777777" w:rsidR="00065B6C" w:rsidRDefault="00EB05DF" w:rsidP="00EB05DF">
      <w:r>
        <w:rPr>
          <w:noProof/>
        </w:rPr>
        <w:lastRenderedPageBreak/>
        <w:drawing>
          <wp:inline distT="0" distB="0" distL="0" distR="0" wp14:anchorId="3FF1ED72" wp14:editId="12408389">
            <wp:extent cx="5741670" cy="8892540"/>
            <wp:effectExtent l="0" t="0" r="0" b="3810"/>
            <wp:docPr id="6" name="Image 6"/>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link="rId12"/>
                    <a:stretch>
                      <a:fillRect/>
                    </a:stretch>
                  </pic:blipFill>
                  <pic:spPr>
                    <a:xfrm>
                      <a:off x="0" y="0"/>
                      <a:ext cx="5741670" cy="8892540"/>
                    </a:xfrm>
                    <a:prstGeom prst="rect">
                      <a:avLst/>
                    </a:prstGeom>
                  </pic:spPr>
                </pic:pic>
              </a:graphicData>
            </a:graphic>
          </wp:inline>
        </w:drawing>
      </w:r>
    </w:p>
    <w:p w14:paraId="558255B4" w14:textId="1C6D2A0E" w:rsidR="00F754B4" w:rsidRDefault="00F754B4" w:rsidP="00065B6C">
      <w:pPr>
        <w:pStyle w:val="TEIfiguretitle"/>
        <w:rPr>
          <w:lang w:val="fr-CH"/>
        </w:rPr>
      </w:pPr>
      <w:r>
        <w:t>Figure 13</w:t>
      </w:r>
      <w:r w:rsidR="003055E3">
        <w:t>4</w:t>
      </w:r>
      <w:r>
        <w:t>.</w:t>
      </w:r>
      <w:r w:rsidR="00B00DB0" w:rsidRPr="00B00DB0">
        <w:rPr>
          <w:lang w:val="fr-CH"/>
        </w:rPr>
        <w:t xml:space="preserve"> </w:t>
      </w:r>
      <w:r w:rsidR="00B00DB0" w:rsidRPr="00AB6A3C">
        <w:rPr>
          <w:lang w:val="fr-CH"/>
        </w:rPr>
        <w:t xml:space="preserve">Jean Bœuf, </w:t>
      </w:r>
      <w:r w:rsidR="00B00DB0" w:rsidRPr="00AB6A3C">
        <w:rPr>
          <w:i/>
          <w:lang w:val="fr-CH"/>
        </w:rPr>
        <w:t>Frontispice</w:t>
      </w:r>
      <w:r w:rsidR="00B00DB0" w:rsidRPr="00AB6A3C">
        <w:rPr>
          <w:lang w:val="fr-CH"/>
        </w:rPr>
        <w:t xml:space="preserve">, vers 1598. Paris, </w:t>
      </w:r>
      <w:r w:rsidR="00B00DB0">
        <w:rPr>
          <w:lang w:val="fr-CH"/>
        </w:rPr>
        <w:t>BNF</w:t>
      </w:r>
      <w:r w:rsidR="00B00DB0" w:rsidRPr="00AB6A3C">
        <w:rPr>
          <w:lang w:val="fr-CH"/>
        </w:rPr>
        <w:t xml:space="preserve">, </w:t>
      </w:r>
      <w:bookmarkStart w:id="3" w:name="_Hlk154500197"/>
      <w:r w:rsidR="00B00DB0" w:rsidRPr="00AB6A3C">
        <w:rPr>
          <w:lang w:val="fr-CH"/>
        </w:rPr>
        <w:t>Latin 8971</w:t>
      </w:r>
      <w:bookmarkEnd w:id="3"/>
      <w:r w:rsidR="00B00DB0" w:rsidRPr="00AB6A3C">
        <w:rPr>
          <w:lang w:val="fr-CH"/>
        </w:rPr>
        <w:t>.</w:t>
      </w:r>
    </w:p>
    <w:p w14:paraId="2CF5FBEA" w14:textId="428F04DA" w:rsidR="00940AB8" w:rsidRDefault="00940AB8" w:rsidP="00940AB8">
      <w:pPr>
        <w:pStyle w:val="TEIfigureend"/>
      </w:pPr>
      <w:r>
        <w:t>— &lt;/figure&gt; ——————————————————————————————————————————————————</w:t>
      </w:r>
    </w:p>
    <w:p w14:paraId="10D89CD7" w14:textId="1B0F6EE7" w:rsidR="00940AB8" w:rsidRDefault="00940AB8" w:rsidP="00940AB8">
      <w:pPr>
        <w:pStyle w:val="TEIfigurestart"/>
      </w:pPr>
      <w:r>
        <w:t>— &lt;figure&gt; ——————————————————————————————————————————————————</w:t>
      </w:r>
    </w:p>
    <w:p w14:paraId="4F759E88" w14:textId="0E017396" w:rsidR="00F754B4" w:rsidRDefault="00EB05DF" w:rsidP="00EB05DF">
      <w:r>
        <w:rPr>
          <w:noProof/>
        </w:rPr>
        <w:drawing>
          <wp:inline distT="0" distB="0" distL="0" distR="0" wp14:anchorId="68BBE72E" wp14:editId="58BC4945">
            <wp:extent cx="5684520" cy="3898392"/>
            <wp:effectExtent l="0" t="0" r="0" b="6985"/>
            <wp:docPr id="7" name="Image 7"/>
            <wp:cNvGraphicFramePr/>
            <a:graphic xmlns:a="http://schemas.openxmlformats.org/drawingml/2006/main">
              <a:graphicData uri="http://schemas.openxmlformats.org/drawingml/2006/picture">
                <pic:pic xmlns:pic="http://schemas.openxmlformats.org/drawingml/2006/picture">
                  <pic:nvPicPr>
                    <pic:cNvPr id="7" name=""/>
                    <pic:cNvPicPr/>
                  </pic:nvPicPr>
                  <pic:blipFill>
                    <a:blip r:link="rId13"/>
                    <a:stretch>
                      <a:fillRect/>
                    </a:stretch>
                  </pic:blipFill>
                  <pic:spPr>
                    <a:xfrm>
                      <a:off x="0" y="0"/>
                      <a:ext cx="5684520" cy="3898392"/>
                    </a:xfrm>
                    <a:prstGeom prst="rect">
                      <a:avLst/>
                    </a:prstGeom>
                  </pic:spPr>
                </pic:pic>
              </a:graphicData>
            </a:graphic>
          </wp:inline>
        </w:drawing>
      </w:r>
    </w:p>
    <w:p w14:paraId="770878D9" w14:textId="6105A751" w:rsidR="00F754B4" w:rsidRDefault="00F754B4" w:rsidP="002A53B2">
      <w:pPr>
        <w:pStyle w:val="TEIfiguretitle"/>
      </w:pPr>
      <w:r>
        <w:t>Figure 13</w:t>
      </w:r>
      <w:r w:rsidR="003055E3">
        <w:t>5</w:t>
      </w:r>
      <w:r>
        <w:t>.</w:t>
      </w:r>
      <w:r w:rsidR="00B00DB0" w:rsidRPr="00B00DB0">
        <w:rPr>
          <w:lang w:val="fr-CH"/>
        </w:rPr>
        <w:t xml:space="preserve"> </w:t>
      </w:r>
      <w:r w:rsidR="00B00DB0" w:rsidRPr="00AB6A3C">
        <w:rPr>
          <w:lang w:val="fr-CH"/>
        </w:rPr>
        <w:t xml:space="preserve">Anonyme, page de titre du </w:t>
      </w:r>
      <w:bookmarkStart w:id="4" w:name="_Hlk154499372"/>
      <w:proofErr w:type="spellStart"/>
      <w:r w:rsidR="00B00DB0" w:rsidRPr="00AB6A3C">
        <w:rPr>
          <w:i/>
          <w:iCs/>
          <w:color w:val="000000"/>
        </w:rPr>
        <w:t>Bullarium</w:t>
      </w:r>
      <w:proofErr w:type="spellEnd"/>
      <w:r w:rsidR="00B00DB0" w:rsidRPr="00AB6A3C">
        <w:rPr>
          <w:i/>
          <w:iCs/>
          <w:color w:val="000000"/>
        </w:rPr>
        <w:t xml:space="preserve"> </w:t>
      </w:r>
      <w:proofErr w:type="spellStart"/>
      <w:r w:rsidR="00B00DB0" w:rsidRPr="00AB6A3C">
        <w:rPr>
          <w:i/>
          <w:iCs/>
          <w:color w:val="000000"/>
        </w:rPr>
        <w:t>civitatis</w:t>
      </w:r>
      <w:proofErr w:type="spellEnd"/>
      <w:r w:rsidR="00B00DB0" w:rsidRPr="00AB6A3C">
        <w:rPr>
          <w:i/>
          <w:iCs/>
          <w:color w:val="000000"/>
        </w:rPr>
        <w:t xml:space="preserve"> </w:t>
      </w:r>
      <w:proofErr w:type="spellStart"/>
      <w:r w:rsidR="00B00DB0" w:rsidRPr="00AB6A3C">
        <w:rPr>
          <w:i/>
          <w:iCs/>
          <w:color w:val="000000"/>
        </w:rPr>
        <w:t>Avenionensis</w:t>
      </w:r>
      <w:proofErr w:type="spellEnd"/>
      <w:r w:rsidR="00B00DB0" w:rsidRPr="00AB6A3C">
        <w:rPr>
          <w:color w:val="000000"/>
        </w:rPr>
        <w:t xml:space="preserve"> </w:t>
      </w:r>
      <w:proofErr w:type="spellStart"/>
      <w:r w:rsidR="00B00DB0" w:rsidRPr="00AB6A3C">
        <w:rPr>
          <w:i/>
          <w:iCs/>
          <w:color w:val="000000"/>
        </w:rPr>
        <w:t>seu</w:t>
      </w:r>
      <w:proofErr w:type="spellEnd"/>
      <w:r w:rsidR="00B00DB0" w:rsidRPr="00AB6A3C">
        <w:rPr>
          <w:i/>
          <w:iCs/>
          <w:color w:val="000000"/>
        </w:rPr>
        <w:t xml:space="preserve"> </w:t>
      </w:r>
      <w:proofErr w:type="spellStart"/>
      <w:r w:rsidR="00B00DB0" w:rsidRPr="00AB6A3C">
        <w:rPr>
          <w:i/>
          <w:iCs/>
          <w:color w:val="000000"/>
        </w:rPr>
        <w:t>Bullae</w:t>
      </w:r>
      <w:bookmarkEnd w:id="4"/>
      <w:proofErr w:type="spellEnd"/>
      <w:r w:rsidR="00B00DB0" w:rsidRPr="00AB6A3C">
        <w:rPr>
          <w:iCs/>
          <w:color w:val="000000"/>
        </w:rPr>
        <w:t xml:space="preserve">, Lyon, </w:t>
      </w:r>
      <w:r w:rsidR="00B00DB0">
        <w:t xml:space="preserve">Joannis Amati Candy, </w:t>
      </w:r>
      <w:r w:rsidR="00B00DB0" w:rsidRPr="00AB6A3C">
        <w:rPr>
          <w:iCs/>
          <w:color w:val="000000"/>
        </w:rPr>
        <w:t>1657.</w:t>
      </w:r>
      <w:r w:rsidR="00B00DB0">
        <w:rPr>
          <w:iCs/>
          <w:color w:val="000000"/>
        </w:rPr>
        <w:t xml:space="preserve"> Paris, </w:t>
      </w:r>
      <w:r w:rsidR="00B00DB0">
        <w:t>BNF, département Philosophie, histoire, sciences de l’homme, FOL-LK7-647.</w:t>
      </w:r>
    </w:p>
    <w:p w14:paraId="30F0A5A5" w14:textId="3A1E6418" w:rsidR="00940AB8" w:rsidRDefault="00940AB8" w:rsidP="00940AB8">
      <w:pPr>
        <w:pStyle w:val="TEIfigureend"/>
      </w:pPr>
      <w:r>
        <w:t>— &lt;/figure&gt; ——————————————————————————————————————————————————</w:t>
      </w:r>
    </w:p>
    <w:sectPr w:rsidR="00940AB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061AD0" w14:textId="77777777" w:rsidR="00116B1B" w:rsidRDefault="00116B1B" w:rsidP="00116B1B">
      <w:pPr>
        <w:spacing w:after="0" w:line="240" w:lineRule="auto"/>
      </w:pPr>
      <w:r>
        <w:separator/>
      </w:r>
    </w:p>
  </w:endnote>
  <w:endnote w:type="continuationSeparator" w:id="0">
    <w:p w14:paraId="599A923B" w14:textId="77777777" w:rsidR="00116B1B" w:rsidRDefault="00116B1B" w:rsidP="00116B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Baghdad">
    <w:altName w:val="Times New Roman"/>
    <w:charset w:val="B2"/>
    <w:family w:val="auto"/>
    <w:pitch w:val="variable"/>
    <w:sig w:usb0="80002003" w:usb1="80000000" w:usb2="00000008" w:usb3="00000000" w:csb0="0000004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Times">
    <w:panose1 w:val="02020603050405020304"/>
    <w:charset w:val="00"/>
    <w:family w:val="auto"/>
    <w:pitch w:val="variable"/>
    <w:sig w:usb0="E00002FF" w:usb1="5000205A" w:usb2="00000000" w:usb3="00000000" w:csb0="0000019F" w:csb1="00000000"/>
  </w:font>
  <w:font w:name="Junicode">
    <w:altName w:val="MS Gothic"/>
    <w:charset w:val="4D"/>
    <w:family w:val="roman"/>
    <w:pitch w:val="variable"/>
    <w:sig w:usb0="E40000FF" w:usb1="5200E4FF" w:usb2="00408004" w:usb3="00000000" w:csb0="8000009B" w:csb1="00000000"/>
  </w:font>
  <w:font w:name="Myriad Pro">
    <w:altName w:val="Segoe UI"/>
    <w:panose1 w:val="020B0503030403020204"/>
    <w:charset w:val="00"/>
    <w:family w:val="swiss"/>
    <w:notTrueType/>
    <w:pitch w:val="variable"/>
    <w:sig w:usb0="20000287" w:usb1="00000001" w:usb2="00000000" w:usb3="00000000" w:csb0="0000019F" w:csb1="00000000"/>
  </w:font>
  <w:font w:name="Courier">
    <w:panose1 w:val="02070409020205020404"/>
    <w:charset w:val="00"/>
    <w:family w:val="auto"/>
    <w:pitch w:val="variable"/>
    <w:sig w:usb0="00000003" w:usb1="00000000" w:usb2="00000000" w:usb3="00000000" w:csb0="00000003" w:csb1="00000000"/>
  </w:font>
  <w:font w:name="Arial MT">
    <w:altName w:val="Arial"/>
    <w:charset w:val="01"/>
    <w:family w:val="roman"/>
    <w:pitch w:val="variable"/>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CMU Bright Roman">
    <w:altName w:val="Cambria Math"/>
    <w:charset w:val="00"/>
    <w:family w:val="auto"/>
    <w:pitch w:val="variable"/>
    <w:sig w:usb0="E10002FF" w:usb1="5201E9EB" w:usb2="00020004" w:usb3="00000000" w:csb0="000001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28186C" w14:textId="77777777" w:rsidR="00116B1B" w:rsidRDefault="00116B1B" w:rsidP="00116B1B">
      <w:pPr>
        <w:spacing w:after="0" w:line="240" w:lineRule="auto"/>
      </w:pPr>
      <w:r>
        <w:separator/>
      </w:r>
    </w:p>
  </w:footnote>
  <w:footnote w:type="continuationSeparator" w:id="0">
    <w:p w14:paraId="21FA2ED6" w14:textId="77777777" w:rsidR="00116B1B" w:rsidRDefault="00116B1B" w:rsidP="00116B1B">
      <w:pPr>
        <w:spacing w:after="0" w:line="240" w:lineRule="auto"/>
      </w:pPr>
      <w:r>
        <w:continuationSeparator/>
      </w:r>
    </w:p>
  </w:footnote>
  <w:footnote w:id="1">
    <w:p w14:paraId="658955D9" w14:textId="199AF0F1" w:rsidR="00116B1B" w:rsidRPr="00240950" w:rsidRDefault="00116B1B" w:rsidP="00940AB8">
      <w:pPr>
        <w:pStyle w:val="Notedebasdepage"/>
      </w:pPr>
      <w:r w:rsidRPr="00240950">
        <w:rPr>
          <w:vertAlign w:val="superscript"/>
        </w:rPr>
        <w:footnoteRef/>
      </w:r>
      <w:r w:rsidRPr="00240950">
        <w:t xml:space="preserve"> Notamment par Olivier Rouchon, </w:t>
      </w:r>
      <w:r w:rsidR="00653FFD">
        <w:t>« </w:t>
      </w:r>
      <w:r w:rsidRPr="00240950">
        <w:t>Rituels publics, souveraineté et identité citadine. Les cérémonies d’entrée en Avignon (</w:t>
      </w:r>
      <w:proofErr w:type="spellStart"/>
      <w:r w:rsidR="00AD5822" w:rsidRPr="00AD5822">
        <w:rPr>
          <w:smallCaps/>
        </w:rPr>
        <w:t>xvi</w:t>
      </w:r>
      <w:r w:rsidRPr="00240950">
        <w:rPr>
          <w:vertAlign w:val="superscript"/>
        </w:rPr>
        <w:t>e</w:t>
      </w:r>
      <w:r w:rsidRPr="00240950">
        <w:t>-</w:t>
      </w:r>
      <w:r w:rsidR="00AD5822" w:rsidRPr="00AD5822">
        <w:rPr>
          <w:smallCaps/>
        </w:rPr>
        <w:t>xvii</w:t>
      </w:r>
      <w:r w:rsidRPr="00240950">
        <w:rPr>
          <w:vertAlign w:val="superscript"/>
        </w:rPr>
        <w:t>e</w:t>
      </w:r>
      <w:proofErr w:type="spellEnd"/>
      <w:r w:rsidR="00AD5822">
        <w:t> </w:t>
      </w:r>
      <w:r w:rsidRPr="00240950">
        <w:t>siècles)</w:t>
      </w:r>
      <w:r w:rsidR="00653FFD">
        <w:t> </w:t>
      </w:r>
      <w:r w:rsidR="00653FFD" w:rsidRPr="00240950">
        <w:t>»</w:t>
      </w:r>
      <w:r w:rsidRPr="00240950">
        <w:t xml:space="preserve">, </w:t>
      </w:r>
      <w:r w:rsidRPr="00240950">
        <w:rPr>
          <w:i/>
        </w:rPr>
        <w:t>Cahiers de la Méditerranée</w:t>
      </w:r>
      <w:r w:rsidRPr="00240950">
        <w:t xml:space="preserve">, </w:t>
      </w:r>
      <w:r w:rsidR="00AD5822">
        <w:t>n</w:t>
      </w:r>
      <w:r w:rsidR="00AD5822" w:rsidRPr="00AD5822">
        <w:rPr>
          <w:vertAlign w:val="superscript"/>
        </w:rPr>
        <w:t>o</w:t>
      </w:r>
      <w:r w:rsidR="00AD5822">
        <w:t> </w:t>
      </w:r>
      <w:r w:rsidRPr="00240950">
        <w:t>77, 2008, p.</w:t>
      </w:r>
      <w:r w:rsidR="00AD5822">
        <w:t> </w:t>
      </w:r>
      <w:r w:rsidRPr="00240950">
        <w:t>39-59, https</w:t>
      </w:r>
      <w:r w:rsidR="00653FFD">
        <w:t>://</w:t>
      </w:r>
      <w:r w:rsidRPr="00240950">
        <w:t>journals.openedition.org/cdlm/4362.</w:t>
      </w:r>
    </w:p>
  </w:footnote>
  <w:footnote w:id="2">
    <w:p w14:paraId="60AF5553" w14:textId="287EDE86" w:rsidR="00116B1B" w:rsidRPr="00240950" w:rsidRDefault="00116B1B" w:rsidP="00653FFD">
      <w:pPr>
        <w:pStyle w:val="Notedebasdepage"/>
      </w:pPr>
      <w:r w:rsidRPr="00240950">
        <w:rPr>
          <w:vertAlign w:val="superscript"/>
        </w:rPr>
        <w:footnoteRef/>
      </w:r>
      <w:r w:rsidRPr="00240950">
        <w:t xml:space="preserve"> Bernard Barbiche et Ségolène de</w:t>
      </w:r>
      <w:r w:rsidR="00E413A5">
        <w:t> </w:t>
      </w:r>
      <w:r w:rsidRPr="00240950">
        <w:t xml:space="preserve">Dainville-Barbiche, </w:t>
      </w:r>
      <w:r w:rsidR="00653FFD">
        <w:t>« </w:t>
      </w:r>
      <w:r w:rsidRPr="00240950">
        <w:t xml:space="preserve">Les légats </w:t>
      </w:r>
      <w:r w:rsidRPr="00240950">
        <w:rPr>
          <w:i/>
        </w:rPr>
        <w:t>a latere</w:t>
      </w:r>
      <w:r w:rsidRPr="00240950">
        <w:t xml:space="preserve"> en France et leurs facultés aux </w:t>
      </w:r>
      <w:proofErr w:type="spellStart"/>
      <w:r w:rsidR="00653FFD" w:rsidRPr="00653FFD">
        <w:rPr>
          <w:smallCaps/>
        </w:rPr>
        <w:t>xvi</w:t>
      </w:r>
      <w:r w:rsidRPr="00240950">
        <w:rPr>
          <w:vertAlign w:val="superscript"/>
        </w:rPr>
        <w:t>e</w:t>
      </w:r>
      <w:proofErr w:type="spellEnd"/>
      <w:r w:rsidRPr="00240950">
        <w:t xml:space="preserve"> et </w:t>
      </w:r>
      <w:proofErr w:type="spellStart"/>
      <w:r w:rsidR="00653FFD" w:rsidRPr="00653FFD">
        <w:rPr>
          <w:smallCaps/>
        </w:rPr>
        <w:t>xvii</w:t>
      </w:r>
      <w:r w:rsidRPr="00240950">
        <w:rPr>
          <w:vertAlign w:val="superscript"/>
        </w:rPr>
        <w:t>e</w:t>
      </w:r>
      <w:proofErr w:type="spellEnd"/>
      <w:r w:rsidR="00653FFD">
        <w:t> </w:t>
      </w:r>
      <w:r w:rsidRPr="00240950">
        <w:t>siècles</w:t>
      </w:r>
      <w:r w:rsidR="00653FFD">
        <w:t> </w:t>
      </w:r>
      <w:r w:rsidR="00653FFD" w:rsidRPr="00240950">
        <w:t>»</w:t>
      </w:r>
      <w:r w:rsidRPr="00240950">
        <w:t xml:space="preserve">, </w:t>
      </w:r>
      <w:proofErr w:type="spellStart"/>
      <w:r w:rsidRPr="00240950">
        <w:rPr>
          <w:i/>
        </w:rPr>
        <w:t>Archivum</w:t>
      </w:r>
      <w:proofErr w:type="spellEnd"/>
      <w:r w:rsidRPr="00240950">
        <w:rPr>
          <w:i/>
        </w:rPr>
        <w:t xml:space="preserve"> </w:t>
      </w:r>
      <w:proofErr w:type="spellStart"/>
      <w:r w:rsidRPr="00240950">
        <w:rPr>
          <w:i/>
        </w:rPr>
        <w:t>Historiae</w:t>
      </w:r>
      <w:proofErr w:type="spellEnd"/>
      <w:r w:rsidRPr="00240950">
        <w:rPr>
          <w:i/>
        </w:rPr>
        <w:t xml:space="preserve"> </w:t>
      </w:r>
      <w:proofErr w:type="spellStart"/>
      <w:r w:rsidRPr="00240950">
        <w:rPr>
          <w:i/>
        </w:rPr>
        <w:t>Pontificae</w:t>
      </w:r>
      <w:proofErr w:type="spellEnd"/>
      <w:r w:rsidRPr="00240950">
        <w:t>,</w:t>
      </w:r>
      <w:r w:rsidR="00653FFD">
        <w:t xml:space="preserve"> </w:t>
      </w:r>
      <w:r w:rsidR="003B30B6">
        <w:t>n</w:t>
      </w:r>
      <w:r w:rsidR="003B30B6" w:rsidRPr="003B30B6">
        <w:rPr>
          <w:vertAlign w:val="superscript"/>
        </w:rPr>
        <w:t>o</w:t>
      </w:r>
      <w:r w:rsidR="00653FFD">
        <w:t> </w:t>
      </w:r>
      <w:r w:rsidRPr="00240950">
        <w:t>23, 1985,</w:t>
      </w:r>
      <w:r w:rsidR="00653FFD">
        <w:t xml:space="preserve"> p. </w:t>
      </w:r>
      <w:r w:rsidR="00653FFD" w:rsidRPr="00240950">
        <w:t>9</w:t>
      </w:r>
      <w:r w:rsidRPr="00240950">
        <w:t>3-165, ici</w:t>
      </w:r>
      <w:r w:rsidR="00653FFD">
        <w:t xml:space="preserve"> p. </w:t>
      </w:r>
      <w:r w:rsidR="00653FFD" w:rsidRPr="00240950">
        <w:t>9</w:t>
      </w:r>
      <w:r w:rsidRPr="00240950">
        <w:t>4.</w:t>
      </w:r>
    </w:p>
  </w:footnote>
  <w:footnote w:id="3">
    <w:p w14:paraId="416935C8" w14:textId="10EE7B94" w:rsidR="00116B1B" w:rsidRPr="00240950" w:rsidRDefault="00116B1B" w:rsidP="00653FFD">
      <w:pPr>
        <w:pStyle w:val="Notedebasdepage"/>
      </w:pPr>
      <w:r w:rsidRPr="00240950">
        <w:rPr>
          <w:vertAlign w:val="superscript"/>
        </w:rPr>
        <w:footnoteRef/>
      </w:r>
      <w:r w:rsidRPr="00240950">
        <w:t xml:space="preserve"> Yves Pauwels, </w:t>
      </w:r>
      <w:r w:rsidR="00653FFD">
        <w:t>« </w:t>
      </w:r>
      <w:r w:rsidRPr="00240950">
        <w:t>Le thème de l’arc de triomphe dans l’architecture urbaine à la Renaissance, entre pouvoir politique et pouvoir religieux</w:t>
      </w:r>
      <w:r w:rsidR="00653FFD">
        <w:t> </w:t>
      </w:r>
      <w:r w:rsidR="00653FFD" w:rsidRPr="00240950">
        <w:t>»</w:t>
      </w:r>
      <w:r w:rsidRPr="00240950">
        <w:t xml:space="preserve">, </w:t>
      </w:r>
      <w:r w:rsidR="00440381">
        <w:t xml:space="preserve">dans </w:t>
      </w:r>
      <w:r w:rsidR="00440381" w:rsidRPr="00240950">
        <w:t>Patrick Boucheron et Jean-Philippe Genet (</w:t>
      </w:r>
      <w:proofErr w:type="spellStart"/>
      <w:r w:rsidR="00440381" w:rsidRPr="00240950">
        <w:t>dir</w:t>
      </w:r>
      <w:proofErr w:type="spellEnd"/>
      <w:r w:rsidR="00440381" w:rsidRPr="00240950">
        <w:t xml:space="preserve">.), </w:t>
      </w:r>
      <w:r w:rsidRPr="00240950">
        <w:rPr>
          <w:i/>
        </w:rPr>
        <w:t>Marquer la ville. Signes, traces, empreintes du pouvoir (</w:t>
      </w:r>
      <w:proofErr w:type="spellStart"/>
      <w:r w:rsidR="00440381" w:rsidRPr="00440381">
        <w:rPr>
          <w:i/>
          <w:smallCaps/>
        </w:rPr>
        <w:t>xiii</w:t>
      </w:r>
      <w:r w:rsidRPr="00240950">
        <w:rPr>
          <w:i/>
          <w:vertAlign w:val="superscript"/>
        </w:rPr>
        <w:t>e</w:t>
      </w:r>
      <w:r w:rsidRPr="00240950">
        <w:rPr>
          <w:i/>
        </w:rPr>
        <w:t>-</w:t>
      </w:r>
      <w:r w:rsidR="00440381" w:rsidRPr="00440381">
        <w:rPr>
          <w:i/>
          <w:smallCaps/>
        </w:rPr>
        <w:t>xvi</w:t>
      </w:r>
      <w:r w:rsidRPr="00240950">
        <w:rPr>
          <w:i/>
          <w:vertAlign w:val="superscript"/>
        </w:rPr>
        <w:t>e</w:t>
      </w:r>
      <w:proofErr w:type="spellEnd"/>
      <w:r w:rsidR="00440381">
        <w:rPr>
          <w:i/>
        </w:rPr>
        <w:t> </w:t>
      </w:r>
      <w:r w:rsidRPr="00240950">
        <w:rPr>
          <w:i/>
        </w:rPr>
        <w:t>siècle)</w:t>
      </w:r>
      <w:r w:rsidRPr="00240950">
        <w:t>, Paris-Rome, Éditions de la Sorbonne-École française de Rome, 2014,</w:t>
      </w:r>
      <w:r w:rsidR="00653FFD">
        <w:t xml:space="preserve"> p. </w:t>
      </w:r>
      <w:r w:rsidR="00653FFD" w:rsidRPr="00240950">
        <w:t>1</w:t>
      </w:r>
      <w:r w:rsidRPr="00240950">
        <w:t>81-188.</w:t>
      </w:r>
    </w:p>
  </w:footnote>
  <w:footnote w:id="4">
    <w:p w14:paraId="7C411152" w14:textId="77777777" w:rsidR="00116B1B" w:rsidRPr="00240950" w:rsidRDefault="00116B1B" w:rsidP="00440381">
      <w:pPr>
        <w:pStyle w:val="Notedebasdepage"/>
      </w:pPr>
      <w:r w:rsidRPr="00240950">
        <w:rPr>
          <w:vertAlign w:val="superscript"/>
        </w:rPr>
        <w:footnoteRef/>
      </w:r>
      <w:r w:rsidRPr="00240950">
        <w:t xml:space="preserve"> La page de couverture présente les armoiries de la ville d’Avignon.</w:t>
      </w:r>
    </w:p>
  </w:footnote>
  <w:footnote w:id="5">
    <w:p w14:paraId="6742648F" w14:textId="0C22D1F0" w:rsidR="00116B1B" w:rsidRPr="00B65667" w:rsidRDefault="00116B1B" w:rsidP="00440381">
      <w:pPr>
        <w:pStyle w:val="Notedebasdepage"/>
        <w:rPr>
          <w:lang w:val="en-GB"/>
        </w:rPr>
      </w:pPr>
      <w:r w:rsidRPr="00240950">
        <w:rPr>
          <w:vertAlign w:val="superscript"/>
        </w:rPr>
        <w:footnoteRef/>
      </w:r>
      <w:r w:rsidRPr="00B65667">
        <w:rPr>
          <w:lang w:val="en-GB"/>
        </w:rPr>
        <w:t xml:space="preserve"> O</w:t>
      </w:r>
      <w:r w:rsidR="00440381">
        <w:rPr>
          <w:lang w:val="en-GB"/>
        </w:rPr>
        <w:t xml:space="preserve">livier </w:t>
      </w:r>
      <w:proofErr w:type="spellStart"/>
      <w:r w:rsidRPr="00B65667">
        <w:rPr>
          <w:lang w:val="en-GB"/>
        </w:rPr>
        <w:t>Rouchon</w:t>
      </w:r>
      <w:proofErr w:type="spellEnd"/>
      <w:r w:rsidRPr="00B65667">
        <w:rPr>
          <w:lang w:val="en-GB"/>
        </w:rPr>
        <w:t>,</w:t>
      </w:r>
      <w:r w:rsidRPr="003B30B6">
        <w:rPr>
          <w:iCs/>
          <w:lang w:val="en-GB"/>
        </w:rPr>
        <w:t xml:space="preserve"> </w:t>
      </w:r>
      <w:r w:rsidR="003B30B6" w:rsidRPr="003B30B6">
        <w:rPr>
          <w:iCs/>
          <w:lang w:val="en-GB"/>
        </w:rPr>
        <w:t>art. </w:t>
      </w:r>
      <w:proofErr w:type="spellStart"/>
      <w:r w:rsidR="003B30B6" w:rsidRPr="003B30B6">
        <w:rPr>
          <w:iCs/>
          <w:lang w:val="en-GB"/>
        </w:rPr>
        <w:t>cité</w:t>
      </w:r>
      <w:proofErr w:type="spellEnd"/>
      <w:r w:rsidRPr="00B65667">
        <w:rPr>
          <w:lang w:val="en-GB"/>
        </w:rPr>
        <w:t xml:space="preserve"> et Richard Cooper, </w:t>
      </w:r>
      <w:r w:rsidR="00653FFD">
        <w:rPr>
          <w:lang w:val="en-GB"/>
        </w:rPr>
        <w:t>« </w:t>
      </w:r>
      <w:r w:rsidRPr="00B65667">
        <w:rPr>
          <w:lang w:val="en-GB"/>
        </w:rPr>
        <w:t>Legate’s Luxury</w:t>
      </w:r>
      <w:r w:rsidR="00653FFD" w:rsidRPr="00B65667">
        <w:rPr>
          <w:lang w:val="en-GB"/>
        </w:rPr>
        <w:t>:</w:t>
      </w:r>
      <w:r w:rsidRPr="00B65667">
        <w:rPr>
          <w:lang w:val="en-GB"/>
        </w:rPr>
        <w:t xml:space="preserve"> </w:t>
      </w:r>
      <w:proofErr w:type="gramStart"/>
      <w:r w:rsidRPr="00B65667">
        <w:rPr>
          <w:lang w:val="en-GB"/>
        </w:rPr>
        <w:t>the</w:t>
      </w:r>
      <w:proofErr w:type="gramEnd"/>
      <w:r w:rsidRPr="00B65667">
        <w:rPr>
          <w:lang w:val="en-GB"/>
        </w:rPr>
        <w:t xml:space="preserve"> Entries of Cardinal Alessandro Farnese to Avignon and </w:t>
      </w:r>
      <w:proofErr w:type="spellStart"/>
      <w:r w:rsidRPr="00B65667">
        <w:rPr>
          <w:lang w:val="en-GB"/>
        </w:rPr>
        <w:t>Carpentras</w:t>
      </w:r>
      <w:proofErr w:type="spellEnd"/>
      <w:r w:rsidRPr="00B65667">
        <w:rPr>
          <w:lang w:val="en-GB"/>
        </w:rPr>
        <w:t>, 1553</w:t>
      </w:r>
      <w:r w:rsidR="00653FFD">
        <w:rPr>
          <w:lang w:val="en-GB"/>
        </w:rPr>
        <w:t> </w:t>
      </w:r>
      <w:r w:rsidR="00653FFD" w:rsidRPr="00B65667">
        <w:rPr>
          <w:lang w:val="en-GB"/>
        </w:rPr>
        <w:t>»</w:t>
      </w:r>
      <w:r w:rsidRPr="00B65667">
        <w:rPr>
          <w:lang w:val="en-GB"/>
        </w:rPr>
        <w:t xml:space="preserve">, </w:t>
      </w:r>
      <w:r w:rsidR="00440381">
        <w:rPr>
          <w:lang w:val="en-GB"/>
        </w:rPr>
        <w:t xml:space="preserve">dans </w:t>
      </w:r>
      <w:r w:rsidR="00440381" w:rsidRPr="00B65667">
        <w:rPr>
          <w:lang w:val="en-GB"/>
        </w:rPr>
        <w:t xml:space="preserve">Nicolas Russell et Hélène </w:t>
      </w:r>
      <w:proofErr w:type="spellStart"/>
      <w:r w:rsidR="00440381" w:rsidRPr="00B65667">
        <w:rPr>
          <w:lang w:val="en-GB"/>
        </w:rPr>
        <w:t>Visentin</w:t>
      </w:r>
      <w:proofErr w:type="spellEnd"/>
      <w:r w:rsidR="00440381" w:rsidRPr="00B65667">
        <w:rPr>
          <w:lang w:val="en-GB"/>
        </w:rPr>
        <w:t xml:space="preserve"> (dir.), </w:t>
      </w:r>
      <w:r w:rsidRPr="00B65667">
        <w:rPr>
          <w:i/>
          <w:lang w:val="en-GB"/>
        </w:rPr>
        <w:t>French Ceremonial Entries in the Sixteenth century</w:t>
      </w:r>
      <w:r w:rsidR="00653FFD" w:rsidRPr="00B65667">
        <w:rPr>
          <w:i/>
          <w:lang w:val="en-GB"/>
        </w:rPr>
        <w:t>:</w:t>
      </w:r>
      <w:r w:rsidRPr="00B65667">
        <w:rPr>
          <w:i/>
          <w:lang w:val="en-GB"/>
        </w:rPr>
        <w:t xml:space="preserve"> Event, Image, Text</w:t>
      </w:r>
      <w:r w:rsidRPr="00B65667">
        <w:rPr>
          <w:lang w:val="en-GB"/>
        </w:rPr>
        <w:t xml:space="preserve">, Toronto, </w:t>
      </w:r>
      <w:proofErr w:type="spellStart"/>
      <w:r w:rsidRPr="00B65667">
        <w:rPr>
          <w:lang w:val="en-GB"/>
        </w:rPr>
        <w:t>Center</w:t>
      </w:r>
      <w:proofErr w:type="spellEnd"/>
      <w:r w:rsidRPr="00B65667">
        <w:rPr>
          <w:lang w:val="en-GB"/>
        </w:rPr>
        <w:t xml:space="preserve"> for Renaissance and Reformation Studies, 2007,</w:t>
      </w:r>
      <w:r w:rsidR="00653FFD">
        <w:rPr>
          <w:lang w:val="en-GB"/>
        </w:rPr>
        <w:t xml:space="preserve"> p. </w:t>
      </w:r>
      <w:r w:rsidR="00653FFD" w:rsidRPr="00B65667">
        <w:rPr>
          <w:lang w:val="en-GB"/>
        </w:rPr>
        <w:t>1</w:t>
      </w:r>
      <w:r w:rsidRPr="00B65667">
        <w:rPr>
          <w:lang w:val="en-GB"/>
        </w:rPr>
        <w:t>33-161.</w:t>
      </w:r>
    </w:p>
  </w:footnote>
  <w:footnote w:id="6">
    <w:p w14:paraId="209F6854" w14:textId="5FE25B2F" w:rsidR="00653FFD" w:rsidRPr="00240950" w:rsidRDefault="00653FFD" w:rsidP="00440381">
      <w:pPr>
        <w:pStyle w:val="Notedebasdepage"/>
      </w:pPr>
      <w:r w:rsidRPr="00240950">
        <w:rPr>
          <w:vertAlign w:val="superscript"/>
        </w:rPr>
        <w:footnoteRef/>
      </w:r>
      <w:r w:rsidRPr="00240950">
        <w:t xml:space="preserve"> Honoré Henry, </w:t>
      </w:r>
      <w:r w:rsidRPr="00440381">
        <w:rPr>
          <w:i/>
          <w:iCs/>
        </w:rPr>
        <w:t xml:space="preserve">La magnifique entrée du </w:t>
      </w:r>
      <w:proofErr w:type="spellStart"/>
      <w:r w:rsidRPr="00440381">
        <w:rPr>
          <w:i/>
          <w:iCs/>
        </w:rPr>
        <w:t>reverendissime</w:t>
      </w:r>
      <w:proofErr w:type="spellEnd"/>
      <w:r w:rsidRPr="00440381">
        <w:rPr>
          <w:i/>
          <w:iCs/>
        </w:rPr>
        <w:t xml:space="preserve"> et très illustre seigneur, Monseigneur Alexandre, Cardinal de </w:t>
      </w:r>
      <w:proofErr w:type="spellStart"/>
      <w:r w:rsidRPr="00440381">
        <w:rPr>
          <w:i/>
          <w:iCs/>
        </w:rPr>
        <w:t>Farnez</w:t>
      </w:r>
      <w:proofErr w:type="spellEnd"/>
      <w:r w:rsidRPr="00440381">
        <w:rPr>
          <w:i/>
          <w:iCs/>
        </w:rPr>
        <w:t xml:space="preserve">, </w:t>
      </w:r>
      <w:proofErr w:type="spellStart"/>
      <w:r w:rsidRPr="00440381">
        <w:rPr>
          <w:i/>
          <w:iCs/>
        </w:rPr>
        <w:t>Vichancelier</w:t>
      </w:r>
      <w:proofErr w:type="spellEnd"/>
      <w:r w:rsidRPr="00440381">
        <w:rPr>
          <w:i/>
          <w:iCs/>
        </w:rPr>
        <w:t xml:space="preserve"> du </w:t>
      </w:r>
      <w:proofErr w:type="spellStart"/>
      <w:r w:rsidRPr="00440381">
        <w:rPr>
          <w:i/>
          <w:iCs/>
        </w:rPr>
        <w:t>Sainct</w:t>
      </w:r>
      <w:proofErr w:type="spellEnd"/>
      <w:r w:rsidRPr="00440381">
        <w:rPr>
          <w:i/>
          <w:iCs/>
        </w:rPr>
        <w:t xml:space="preserve"> </w:t>
      </w:r>
      <w:proofErr w:type="spellStart"/>
      <w:r w:rsidRPr="00440381">
        <w:rPr>
          <w:i/>
          <w:iCs/>
        </w:rPr>
        <w:t>siege</w:t>
      </w:r>
      <w:proofErr w:type="spellEnd"/>
      <w:r w:rsidRPr="00440381">
        <w:rPr>
          <w:i/>
          <w:iCs/>
        </w:rPr>
        <w:t xml:space="preserve"> apostolique, et </w:t>
      </w:r>
      <w:proofErr w:type="spellStart"/>
      <w:r w:rsidRPr="00440381">
        <w:rPr>
          <w:i/>
          <w:iCs/>
        </w:rPr>
        <w:t>Legat</w:t>
      </w:r>
      <w:proofErr w:type="spellEnd"/>
      <w:r w:rsidRPr="00440381">
        <w:rPr>
          <w:i/>
          <w:iCs/>
        </w:rPr>
        <w:t xml:space="preserve"> de la ville et Cité d’Avignon, </w:t>
      </w:r>
      <w:proofErr w:type="spellStart"/>
      <w:r w:rsidRPr="00440381">
        <w:rPr>
          <w:i/>
          <w:iCs/>
        </w:rPr>
        <w:t>faicte</w:t>
      </w:r>
      <w:proofErr w:type="spellEnd"/>
      <w:r w:rsidRPr="00440381">
        <w:rPr>
          <w:i/>
          <w:iCs/>
        </w:rPr>
        <w:t xml:space="preserve"> en icelle le </w:t>
      </w:r>
      <w:r w:rsidRPr="00440381">
        <w:rPr>
          <w:i/>
          <w:iCs/>
          <w:smallCaps/>
        </w:rPr>
        <w:t>xvi</w:t>
      </w:r>
      <w:r w:rsidR="00440381">
        <w:rPr>
          <w:i/>
          <w:iCs/>
        </w:rPr>
        <w:t> </w:t>
      </w:r>
      <w:r w:rsidRPr="00440381">
        <w:rPr>
          <w:i/>
          <w:iCs/>
        </w:rPr>
        <w:t>mars 1553</w:t>
      </w:r>
      <w:r w:rsidRPr="00240950">
        <w:t xml:space="preserve">, Avignon, </w:t>
      </w:r>
      <w:r w:rsidR="003B30B6">
        <w:t xml:space="preserve">s. n., </w:t>
      </w:r>
      <w:r w:rsidRPr="00240950">
        <w:t>1553, p.</w:t>
      </w:r>
      <w:r w:rsidR="00440381">
        <w:t> </w:t>
      </w:r>
      <w:r w:rsidRPr="00240950">
        <w:t>C</w:t>
      </w:r>
      <w:r w:rsidR="00440381">
        <w:t> </w:t>
      </w:r>
      <w:r w:rsidRPr="00B661C8">
        <w:t>iii</w:t>
      </w:r>
      <w:r w:rsidRPr="00240950">
        <w:t>.</w:t>
      </w:r>
    </w:p>
  </w:footnote>
  <w:footnote w:id="7">
    <w:p w14:paraId="0C98100E" w14:textId="1E08BB1A" w:rsidR="00440381" w:rsidRPr="00240950" w:rsidRDefault="00440381" w:rsidP="00E413A5">
      <w:pPr>
        <w:pStyle w:val="Notedebasdepage"/>
      </w:pPr>
      <w:r w:rsidRPr="00240950">
        <w:rPr>
          <w:vertAlign w:val="superscript"/>
        </w:rPr>
        <w:footnoteRef/>
      </w:r>
      <w:r w:rsidRPr="00240950">
        <w:t xml:space="preserve"> </w:t>
      </w:r>
      <w:r w:rsidRPr="00240950">
        <w:rPr>
          <w:i/>
        </w:rPr>
        <w:t>Entrée à Rouen du roi Henr</w:t>
      </w:r>
      <w:r w:rsidR="003B30B6">
        <w:rPr>
          <w:i/>
        </w:rPr>
        <w:t>i</w:t>
      </w:r>
      <w:r w:rsidR="00E413A5">
        <w:rPr>
          <w:i/>
        </w:rPr>
        <w:t> </w:t>
      </w:r>
      <w:r w:rsidRPr="00240950">
        <w:rPr>
          <w:i/>
        </w:rPr>
        <w:t>IV en 1596</w:t>
      </w:r>
      <w:r w:rsidR="003B30B6">
        <w:rPr>
          <w:i/>
        </w:rPr>
        <w:t>,</w:t>
      </w:r>
      <w:r w:rsidR="003B30B6" w:rsidRPr="003B30B6">
        <w:rPr>
          <w:rFonts w:eastAsia="Times New Roman"/>
          <w:i/>
          <w:iCs/>
        </w:rPr>
        <w:t xml:space="preserve"> </w:t>
      </w:r>
      <w:r w:rsidR="003B30B6" w:rsidRPr="00F82CBC">
        <w:rPr>
          <w:rFonts w:eastAsia="Times New Roman"/>
          <w:i/>
          <w:iCs/>
        </w:rPr>
        <w:t>précédée d’une introduction par J. Félix et de notes par Ch. de Robillard de Beaurepaire</w:t>
      </w:r>
      <w:r w:rsidR="003B30B6" w:rsidRPr="00F82CBC">
        <w:rPr>
          <w:rFonts w:eastAsia="Times New Roman"/>
        </w:rPr>
        <w:t>,</w:t>
      </w:r>
      <w:r w:rsidRPr="00240950">
        <w:t xml:space="preserve"> Rouen, </w:t>
      </w:r>
      <w:r w:rsidR="003B30B6">
        <w:t>Imprimerie</w:t>
      </w:r>
      <w:r w:rsidRPr="00240950">
        <w:t xml:space="preserve"> de E. </w:t>
      </w:r>
      <w:proofErr w:type="spellStart"/>
      <w:r w:rsidRPr="00240950">
        <w:t>Cagniard</w:t>
      </w:r>
      <w:proofErr w:type="spellEnd"/>
      <w:r w:rsidRPr="00240950">
        <w:t>, 1887, p.</w:t>
      </w:r>
      <w:r w:rsidR="00E413A5">
        <w:t> </w:t>
      </w:r>
      <w:r w:rsidRPr="00240950">
        <w:t>XLIII.</w:t>
      </w:r>
    </w:p>
  </w:footnote>
  <w:footnote w:id="8">
    <w:p w14:paraId="01486D2E" w14:textId="6A5D7145" w:rsidR="00440381" w:rsidRPr="00240950" w:rsidRDefault="00440381" w:rsidP="00E413A5">
      <w:pPr>
        <w:pStyle w:val="Notedebasdepage"/>
      </w:pPr>
      <w:r w:rsidRPr="00240950">
        <w:rPr>
          <w:vertAlign w:val="superscript"/>
        </w:rPr>
        <w:footnoteRef/>
      </w:r>
      <w:r w:rsidRPr="00240950">
        <w:t xml:space="preserve"> B</w:t>
      </w:r>
      <w:r w:rsidR="00E413A5">
        <w:t>ernard</w:t>
      </w:r>
      <w:r w:rsidRPr="00240950">
        <w:t xml:space="preserve"> Barbiche et S</w:t>
      </w:r>
      <w:r w:rsidR="00E413A5">
        <w:t>égolène</w:t>
      </w:r>
      <w:r w:rsidRPr="00240950">
        <w:t xml:space="preserve"> de</w:t>
      </w:r>
      <w:r w:rsidR="00E413A5">
        <w:t> </w:t>
      </w:r>
      <w:r w:rsidRPr="00240950">
        <w:t xml:space="preserve">Dainville-Barbiche, </w:t>
      </w:r>
      <w:r w:rsidR="00E413A5">
        <w:rPr>
          <w:iCs/>
        </w:rPr>
        <w:t>a</w:t>
      </w:r>
      <w:r>
        <w:rPr>
          <w:iCs/>
        </w:rPr>
        <w:t>rt. cit</w:t>
      </w:r>
      <w:r w:rsidR="00E413A5">
        <w:rPr>
          <w:iCs/>
        </w:rPr>
        <w:t>é</w:t>
      </w:r>
      <w:r w:rsidRPr="00CE0A74">
        <w:rPr>
          <w:iCs/>
        </w:rPr>
        <w:t>,</w:t>
      </w:r>
      <w:r>
        <w:t xml:space="preserve"> p. </w:t>
      </w:r>
      <w:r w:rsidRPr="00240950">
        <w:t>106.</w:t>
      </w:r>
    </w:p>
  </w:footnote>
  <w:footnote w:id="9">
    <w:p w14:paraId="465E8775" w14:textId="77777777" w:rsidR="003E135A" w:rsidRPr="00240950" w:rsidRDefault="003E135A" w:rsidP="003E135A">
      <w:pPr>
        <w:pStyle w:val="Notedebasdepage"/>
      </w:pPr>
      <w:r w:rsidRPr="00240950">
        <w:rPr>
          <w:vertAlign w:val="superscript"/>
        </w:rPr>
        <w:footnoteRef/>
      </w:r>
      <w:r w:rsidRPr="00B65667">
        <w:rPr>
          <w:lang w:val="en-GB"/>
        </w:rPr>
        <w:t xml:space="preserve"> H</w:t>
      </w:r>
      <w:r>
        <w:rPr>
          <w:lang w:val="en-GB"/>
        </w:rPr>
        <w:t>onoré</w:t>
      </w:r>
      <w:r w:rsidRPr="00B65667">
        <w:rPr>
          <w:lang w:val="en-GB"/>
        </w:rPr>
        <w:t xml:space="preserve"> Henry, </w:t>
      </w:r>
      <w:r>
        <w:rPr>
          <w:i/>
          <w:lang w:val="en-GB"/>
        </w:rPr>
        <w:t>op. cit.</w:t>
      </w:r>
      <w:r w:rsidRPr="00B65667">
        <w:rPr>
          <w:lang w:val="en-GB"/>
        </w:rPr>
        <w:t>, p.</w:t>
      </w:r>
      <w:r>
        <w:rPr>
          <w:lang w:val="en-GB"/>
        </w:rPr>
        <w:t> </w:t>
      </w:r>
      <w:r w:rsidRPr="00B65667">
        <w:rPr>
          <w:lang w:val="en-GB"/>
        </w:rPr>
        <w:t>B</w:t>
      </w:r>
      <w:r>
        <w:rPr>
          <w:lang w:val="en-GB"/>
        </w:rPr>
        <w:t> </w:t>
      </w:r>
      <w:r w:rsidRPr="00B661C8">
        <w:rPr>
          <w:lang w:val="en-GB"/>
        </w:rPr>
        <w:t>ii</w:t>
      </w:r>
      <w:r w:rsidRPr="00B65667">
        <w:rPr>
          <w:lang w:val="en-GB"/>
        </w:rPr>
        <w:t xml:space="preserve">. </w:t>
      </w:r>
      <w:r w:rsidRPr="00240950">
        <w:t xml:space="preserve">Saint </w:t>
      </w:r>
      <w:proofErr w:type="spellStart"/>
      <w:r w:rsidRPr="00240950">
        <w:t>Véran</w:t>
      </w:r>
      <w:proofErr w:type="spellEnd"/>
      <w:r w:rsidRPr="00240950">
        <w:t xml:space="preserve"> est la première étape du parcours, juste en-dehors de la ville. La représentation du </w:t>
      </w:r>
      <w:r>
        <w:t>c</w:t>
      </w:r>
      <w:r w:rsidRPr="00240950">
        <w:t xml:space="preserve">omtat Venaissin dans la galerie des cartes du Vatican par Antonio </w:t>
      </w:r>
      <w:proofErr w:type="spellStart"/>
      <w:r w:rsidRPr="00240950">
        <w:t>Danti</w:t>
      </w:r>
      <w:proofErr w:type="spellEnd"/>
      <w:r w:rsidRPr="00240950">
        <w:t xml:space="preserve"> (1581) montre bien le lieu hors des remparts.</w:t>
      </w:r>
    </w:p>
  </w:footnote>
  <w:footnote w:id="10">
    <w:p w14:paraId="7B6CF852" w14:textId="53C576C0" w:rsidR="007E312D" w:rsidRPr="00B661C8" w:rsidRDefault="007E312D" w:rsidP="00B661C8">
      <w:pPr>
        <w:pStyle w:val="Notedebasdepage"/>
      </w:pPr>
      <w:r w:rsidRPr="00240950">
        <w:rPr>
          <w:vertAlign w:val="superscript"/>
        </w:rPr>
        <w:footnoteRef/>
      </w:r>
      <w:r w:rsidRPr="00B661C8">
        <w:t xml:space="preserve"> H</w:t>
      </w:r>
      <w:r w:rsidR="00B661C8" w:rsidRPr="00B661C8">
        <w:t>onoré</w:t>
      </w:r>
      <w:r w:rsidRPr="00B661C8">
        <w:t xml:space="preserve"> Henry, </w:t>
      </w:r>
      <w:r w:rsidRPr="00B661C8">
        <w:rPr>
          <w:i/>
        </w:rPr>
        <w:t>op. </w:t>
      </w:r>
      <w:proofErr w:type="spellStart"/>
      <w:proofErr w:type="gramStart"/>
      <w:r w:rsidRPr="00B661C8">
        <w:rPr>
          <w:i/>
        </w:rPr>
        <w:t>cit</w:t>
      </w:r>
      <w:proofErr w:type="spellEnd"/>
      <w:proofErr w:type="gramEnd"/>
      <w:r w:rsidRPr="00B661C8">
        <w:rPr>
          <w:i/>
        </w:rPr>
        <w:t>.,</w:t>
      </w:r>
      <w:r w:rsidRPr="00B661C8">
        <w:t xml:space="preserve"> </w:t>
      </w:r>
      <w:r w:rsidR="00B661C8" w:rsidRPr="00B661C8">
        <w:t>p. </w:t>
      </w:r>
      <w:r w:rsidRPr="00B661C8">
        <w:t>B</w:t>
      </w:r>
      <w:r w:rsidR="00B661C8" w:rsidRPr="00B661C8">
        <w:t> </w:t>
      </w:r>
      <w:proofErr w:type="spellStart"/>
      <w:r w:rsidRPr="00B661C8">
        <w:t>iiiiv</w:t>
      </w:r>
      <w:proofErr w:type="spellEnd"/>
      <w:r w:rsidR="00B661C8" w:rsidRPr="00B661C8">
        <w:t xml:space="preserve"> à </w:t>
      </w:r>
      <w:r w:rsidRPr="00B661C8">
        <w:t>B</w:t>
      </w:r>
      <w:r w:rsidR="00B661C8" w:rsidRPr="00B661C8">
        <w:t> </w:t>
      </w:r>
      <w:r w:rsidRPr="00B661C8">
        <w:t>v</w:t>
      </w:r>
      <w:r w:rsidR="00B661C8" w:rsidRPr="00B661C8">
        <w:t> ;</w:t>
      </w:r>
      <w:r w:rsidRPr="00B661C8">
        <w:t xml:space="preserve"> et R</w:t>
      </w:r>
      <w:r w:rsidR="00B661C8">
        <w:t>ichard</w:t>
      </w:r>
      <w:r w:rsidRPr="00B661C8">
        <w:t xml:space="preserve"> Cooper, art.</w:t>
      </w:r>
      <w:r w:rsidR="00B661C8" w:rsidRPr="00B661C8">
        <w:t> </w:t>
      </w:r>
      <w:r w:rsidRPr="00B661C8">
        <w:t>cit</w:t>
      </w:r>
      <w:r w:rsidR="00B661C8" w:rsidRPr="00B661C8">
        <w:t>é</w:t>
      </w:r>
      <w:r w:rsidRPr="00B661C8">
        <w:t>, p. 138</w:t>
      </w:r>
      <w:r w:rsidR="00B661C8" w:rsidRPr="00B661C8">
        <w:t xml:space="preserve"> et </w:t>
      </w:r>
      <w:r w:rsidRPr="00B661C8">
        <w:t>139.</w:t>
      </w:r>
    </w:p>
  </w:footnote>
  <w:footnote w:id="11">
    <w:p w14:paraId="2F752FDB" w14:textId="0ECDCECD" w:rsidR="00B661C8" w:rsidRPr="00B661C8" w:rsidRDefault="00B661C8" w:rsidP="00B661C8">
      <w:pPr>
        <w:pStyle w:val="Notedebasdepage"/>
      </w:pPr>
      <w:r w:rsidRPr="00240950">
        <w:rPr>
          <w:vertAlign w:val="superscript"/>
        </w:rPr>
        <w:footnoteRef/>
      </w:r>
      <w:r w:rsidRPr="00B661C8">
        <w:t xml:space="preserve"> Olivier Rouchon, art. cité. </w:t>
      </w:r>
    </w:p>
  </w:footnote>
  <w:footnote w:id="12">
    <w:p w14:paraId="17954003" w14:textId="37864DD7" w:rsidR="00B661C8" w:rsidRPr="00240950" w:rsidRDefault="00116B1B" w:rsidP="00B661C8">
      <w:pPr>
        <w:pStyle w:val="Notedebasdepage"/>
      </w:pPr>
      <w:r w:rsidRPr="00240950">
        <w:rPr>
          <w:vertAlign w:val="superscript"/>
        </w:rPr>
        <w:footnoteRef/>
      </w:r>
      <w:r w:rsidRPr="00240950">
        <w:t xml:space="preserve"> Voir le manuscrit de Pierre </w:t>
      </w:r>
      <w:proofErr w:type="spellStart"/>
      <w:r w:rsidRPr="00240950">
        <w:t>Pansier</w:t>
      </w:r>
      <w:proofErr w:type="spellEnd"/>
      <w:r w:rsidRPr="00240950">
        <w:t xml:space="preserve">, </w:t>
      </w:r>
      <w:r w:rsidRPr="00240950">
        <w:rPr>
          <w:i/>
        </w:rPr>
        <w:t xml:space="preserve">Les peintres d’Avignon au </w:t>
      </w:r>
      <w:proofErr w:type="spellStart"/>
      <w:r w:rsidR="00B661C8" w:rsidRPr="00B661C8">
        <w:rPr>
          <w:i/>
          <w:smallCaps/>
        </w:rPr>
        <w:t>xvi</w:t>
      </w:r>
      <w:r w:rsidRPr="00240950">
        <w:rPr>
          <w:i/>
          <w:vertAlign w:val="superscript"/>
        </w:rPr>
        <w:t>e</w:t>
      </w:r>
      <w:proofErr w:type="spellEnd"/>
      <w:r w:rsidR="00B661C8">
        <w:rPr>
          <w:i/>
        </w:rPr>
        <w:t> </w:t>
      </w:r>
      <w:r w:rsidRPr="00240950">
        <w:rPr>
          <w:i/>
        </w:rPr>
        <w:t>siècle</w:t>
      </w:r>
      <w:r w:rsidR="00B661C8">
        <w:rPr>
          <w:i/>
        </w:rPr>
        <w:t>.</w:t>
      </w:r>
      <w:r w:rsidRPr="00240950">
        <w:rPr>
          <w:i/>
        </w:rPr>
        <w:t xml:space="preserve"> Biographies et documents</w:t>
      </w:r>
      <w:r w:rsidRPr="00240950">
        <w:t xml:space="preserve">, Avignon, </w:t>
      </w:r>
      <w:r w:rsidR="00B00DB0">
        <w:t>BM</w:t>
      </w:r>
      <w:r w:rsidRPr="00240950">
        <w:t>, ms.</w:t>
      </w:r>
      <w:r w:rsidR="00B661C8">
        <w:t> </w:t>
      </w:r>
      <w:r w:rsidRPr="00240950">
        <w:t>5712</w:t>
      </w:r>
      <w:r w:rsidR="00B661C8">
        <w:t> ;</w:t>
      </w:r>
      <w:r w:rsidRPr="00240950">
        <w:t xml:space="preserve"> et Camille </w:t>
      </w:r>
      <w:proofErr w:type="spellStart"/>
      <w:r w:rsidRPr="00240950">
        <w:t>Larraz</w:t>
      </w:r>
      <w:proofErr w:type="spellEnd"/>
      <w:r w:rsidRPr="00240950">
        <w:t xml:space="preserve">, </w:t>
      </w:r>
      <w:r w:rsidRPr="00240950">
        <w:rPr>
          <w:i/>
        </w:rPr>
        <w:t>Simon de</w:t>
      </w:r>
      <w:r w:rsidR="00646BF6">
        <w:rPr>
          <w:i/>
        </w:rPr>
        <w:t> </w:t>
      </w:r>
      <w:r w:rsidRPr="00240950">
        <w:rPr>
          <w:i/>
        </w:rPr>
        <w:t>Châlons</w:t>
      </w:r>
      <w:r w:rsidRPr="00240950">
        <w:t xml:space="preserve">, </w:t>
      </w:r>
      <w:proofErr w:type="spellStart"/>
      <w:r w:rsidRPr="00240950">
        <w:t>Cinisello</w:t>
      </w:r>
      <w:proofErr w:type="spellEnd"/>
      <w:r w:rsidRPr="00240950">
        <w:t xml:space="preserve"> Balsamo, Silvana </w:t>
      </w:r>
      <w:proofErr w:type="spellStart"/>
      <w:r w:rsidRPr="00240950">
        <w:t>Editoriale</w:t>
      </w:r>
      <w:proofErr w:type="spellEnd"/>
      <w:r w:rsidRPr="00240950">
        <w:t>, 2022.</w:t>
      </w:r>
    </w:p>
  </w:footnote>
  <w:footnote w:id="13">
    <w:p w14:paraId="639D2EB6" w14:textId="1189FC6A" w:rsidR="00116B1B" w:rsidRPr="00240950" w:rsidRDefault="00116B1B" w:rsidP="00A148AB">
      <w:pPr>
        <w:pStyle w:val="Notedebasdepage"/>
      </w:pPr>
      <w:r w:rsidRPr="00240950">
        <w:rPr>
          <w:vertAlign w:val="superscript"/>
        </w:rPr>
        <w:footnoteRef/>
      </w:r>
      <w:r w:rsidRPr="00240950">
        <w:t xml:space="preserve"> P</w:t>
      </w:r>
      <w:r w:rsidR="00A148AB">
        <w:t>ierre</w:t>
      </w:r>
      <w:r w:rsidRPr="00240950">
        <w:t xml:space="preserve"> </w:t>
      </w:r>
      <w:proofErr w:type="spellStart"/>
      <w:r w:rsidRPr="00240950">
        <w:t>Pansier</w:t>
      </w:r>
      <w:proofErr w:type="spellEnd"/>
      <w:r w:rsidRPr="00240950">
        <w:t xml:space="preserve">, </w:t>
      </w:r>
      <w:r w:rsidRPr="00240950">
        <w:rPr>
          <w:rFonts w:eastAsia="Times New Roman"/>
          <w:i/>
        </w:rPr>
        <w:t>Les peintres d’Avignon…</w:t>
      </w:r>
      <w:r w:rsidRPr="00A148AB">
        <w:rPr>
          <w:rFonts w:eastAsia="Times New Roman"/>
          <w:iCs/>
        </w:rPr>
        <w:t>,</w:t>
      </w:r>
      <w:r w:rsidRPr="00240950">
        <w:rPr>
          <w:rFonts w:eastAsia="Times New Roman"/>
          <w:i/>
        </w:rPr>
        <w:t xml:space="preserve"> </w:t>
      </w:r>
      <w:r w:rsidR="00653FFD">
        <w:rPr>
          <w:i/>
        </w:rPr>
        <w:t>op. </w:t>
      </w:r>
      <w:proofErr w:type="spellStart"/>
      <w:proofErr w:type="gramStart"/>
      <w:r w:rsidR="00653FFD">
        <w:rPr>
          <w:i/>
        </w:rPr>
        <w:t>cit</w:t>
      </w:r>
      <w:proofErr w:type="spellEnd"/>
      <w:proofErr w:type="gramEnd"/>
      <w:r w:rsidR="00653FFD">
        <w:rPr>
          <w:i/>
        </w:rPr>
        <w:t>.</w:t>
      </w:r>
      <w:r w:rsidRPr="00240950">
        <w:t>, fol.</w:t>
      </w:r>
      <w:r w:rsidR="00A148AB">
        <w:t> </w:t>
      </w:r>
      <w:r w:rsidRPr="00240950">
        <w:t>365, 391, 516</w:t>
      </w:r>
      <w:r w:rsidR="00A148AB">
        <w:t xml:space="preserve"> et</w:t>
      </w:r>
      <w:r w:rsidRPr="00240950">
        <w:t xml:space="preserve"> 517.</w:t>
      </w:r>
    </w:p>
  </w:footnote>
  <w:footnote w:id="14">
    <w:p w14:paraId="30AD8DFE" w14:textId="21923D08" w:rsidR="00A148AB" w:rsidRPr="002A53B2" w:rsidRDefault="00A148AB" w:rsidP="00A148AB">
      <w:pPr>
        <w:pStyle w:val="Notedebasdepage"/>
        <w:rPr>
          <w:lang w:val="en-GB"/>
        </w:rPr>
      </w:pPr>
      <w:r w:rsidRPr="00240950">
        <w:rPr>
          <w:vertAlign w:val="superscript"/>
        </w:rPr>
        <w:footnoteRef/>
      </w:r>
      <w:r w:rsidRPr="002A53B2">
        <w:rPr>
          <w:lang w:val="en-GB"/>
        </w:rPr>
        <w:t xml:space="preserve"> </w:t>
      </w:r>
      <w:r w:rsidRPr="002A53B2">
        <w:rPr>
          <w:i/>
          <w:lang w:val="en-GB"/>
        </w:rPr>
        <w:t>Ibid.</w:t>
      </w:r>
    </w:p>
  </w:footnote>
  <w:footnote w:id="15">
    <w:p w14:paraId="05CE4F5B" w14:textId="1FB35BDC" w:rsidR="00116B1B" w:rsidRPr="00B00DB0" w:rsidRDefault="00116B1B" w:rsidP="00A148AB">
      <w:pPr>
        <w:pStyle w:val="Notedebasdepage"/>
        <w:rPr>
          <w:lang w:val="en-GB"/>
        </w:rPr>
      </w:pPr>
      <w:r w:rsidRPr="00240950">
        <w:rPr>
          <w:vertAlign w:val="superscript"/>
        </w:rPr>
        <w:footnoteRef/>
      </w:r>
      <w:r w:rsidRPr="00B00DB0">
        <w:rPr>
          <w:lang w:val="en-GB"/>
        </w:rPr>
        <w:t xml:space="preserve"> Avignon, </w:t>
      </w:r>
      <w:r w:rsidR="00B00DB0" w:rsidRPr="00B00DB0">
        <w:rPr>
          <w:lang w:val="en-GB"/>
        </w:rPr>
        <w:t>AM</w:t>
      </w:r>
      <w:r w:rsidRPr="00B00DB0">
        <w:rPr>
          <w:lang w:val="en-GB"/>
        </w:rPr>
        <w:t>, CC</w:t>
      </w:r>
      <w:proofErr w:type="gramStart"/>
      <w:r w:rsidRPr="00B00DB0">
        <w:rPr>
          <w:lang w:val="en-GB"/>
        </w:rPr>
        <w:t>468</w:t>
      </w:r>
      <w:r w:rsidR="00653FFD" w:rsidRPr="00B00DB0">
        <w:rPr>
          <w:lang w:val="en-GB"/>
        </w:rPr>
        <w:t> ;</w:t>
      </w:r>
      <w:proofErr w:type="gramEnd"/>
      <w:r w:rsidRPr="00B00DB0">
        <w:rPr>
          <w:lang w:val="en-GB"/>
        </w:rPr>
        <w:t xml:space="preserve"> Avignon, </w:t>
      </w:r>
      <w:r w:rsidR="00B00DB0" w:rsidRPr="00B00DB0">
        <w:rPr>
          <w:lang w:val="en-GB"/>
        </w:rPr>
        <w:t>BM</w:t>
      </w:r>
      <w:r w:rsidRPr="00B00DB0">
        <w:rPr>
          <w:rFonts w:eastAsia="Times New Roman"/>
          <w:lang w:val="en-GB"/>
        </w:rPr>
        <w:t xml:space="preserve">, </w:t>
      </w:r>
      <w:proofErr w:type="spellStart"/>
      <w:r w:rsidRPr="00B00DB0">
        <w:rPr>
          <w:rFonts w:eastAsia="Times New Roman"/>
          <w:lang w:val="en-GB"/>
        </w:rPr>
        <w:t>ms</w:t>
      </w:r>
      <w:proofErr w:type="spellEnd"/>
      <w:r w:rsidRPr="00B00DB0">
        <w:rPr>
          <w:rFonts w:eastAsia="Times New Roman"/>
          <w:lang w:val="en-GB"/>
        </w:rPr>
        <w:t>.</w:t>
      </w:r>
      <w:r w:rsidR="00A148AB" w:rsidRPr="00B00DB0">
        <w:rPr>
          <w:rFonts w:eastAsia="Times New Roman"/>
          <w:lang w:val="en-GB"/>
        </w:rPr>
        <w:t> </w:t>
      </w:r>
      <w:r w:rsidRPr="00B00DB0">
        <w:rPr>
          <w:rFonts w:eastAsia="Times New Roman"/>
          <w:lang w:val="en-GB"/>
        </w:rPr>
        <w:t>5712, fol.</w:t>
      </w:r>
      <w:r w:rsidR="00A148AB" w:rsidRPr="00B00DB0">
        <w:rPr>
          <w:rFonts w:eastAsia="Times New Roman"/>
          <w:lang w:val="en-GB"/>
        </w:rPr>
        <w:t> </w:t>
      </w:r>
      <w:r w:rsidRPr="00B00DB0">
        <w:rPr>
          <w:rFonts w:eastAsia="Times New Roman"/>
          <w:lang w:val="en-GB"/>
        </w:rPr>
        <w:t xml:space="preserve">515. </w:t>
      </w:r>
    </w:p>
  </w:footnote>
  <w:footnote w:id="16">
    <w:p w14:paraId="56C6F7ED" w14:textId="5FA36C31" w:rsidR="00116B1B" w:rsidRPr="002A53B2" w:rsidRDefault="00116B1B" w:rsidP="00A148AB">
      <w:pPr>
        <w:pStyle w:val="Notedebasdepage"/>
        <w:rPr>
          <w:lang w:val="en-GB"/>
        </w:rPr>
      </w:pPr>
      <w:r w:rsidRPr="00240950">
        <w:rPr>
          <w:vertAlign w:val="superscript"/>
        </w:rPr>
        <w:footnoteRef/>
      </w:r>
      <w:r w:rsidRPr="002A53B2">
        <w:rPr>
          <w:lang w:val="en-GB"/>
        </w:rPr>
        <w:t xml:space="preserve"> Avignon, </w:t>
      </w:r>
      <w:r w:rsidR="00B00DB0" w:rsidRPr="002A53B2">
        <w:rPr>
          <w:lang w:val="en-GB"/>
        </w:rPr>
        <w:t>AM</w:t>
      </w:r>
      <w:r w:rsidRPr="002A53B2">
        <w:rPr>
          <w:lang w:val="en-GB"/>
        </w:rPr>
        <w:t>, CC468.</w:t>
      </w:r>
    </w:p>
  </w:footnote>
  <w:footnote w:id="17">
    <w:p w14:paraId="2A221CD6" w14:textId="0AC63ADF" w:rsidR="00116B1B" w:rsidRPr="002A53B2" w:rsidRDefault="00116B1B" w:rsidP="00A148AB">
      <w:pPr>
        <w:pStyle w:val="Notedebasdepage"/>
        <w:rPr>
          <w:lang w:val="en-GB"/>
        </w:rPr>
      </w:pPr>
      <w:r w:rsidRPr="00240950">
        <w:rPr>
          <w:vertAlign w:val="superscript"/>
        </w:rPr>
        <w:footnoteRef/>
      </w:r>
      <w:r w:rsidRPr="002A53B2">
        <w:rPr>
          <w:lang w:val="en-GB"/>
        </w:rPr>
        <w:t xml:space="preserve"> </w:t>
      </w:r>
      <w:r w:rsidR="00A148AB" w:rsidRPr="002A53B2">
        <w:rPr>
          <w:i/>
          <w:iCs/>
          <w:lang w:val="en-GB"/>
        </w:rPr>
        <w:t>Ibid</w:t>
      </w:r>
      <w:r w:rsidR="00A148AB" w:rsidRPr="002A53B2">
        <w:rPr>
          <w:lang w:val="en-GB"/>
        </w:rPr>
        <w:t>.</w:t>
      </w:r>
    </w:p>
  </w:footnote>
  <w:footnote w:id="18">
    <w:p w14:paraId="5E05B443" w14:textId="7550CF32" w:rsidR="00A148AB" w:rsidRPr="002A53B2" w:rsidRDefault="00A148AB" w:rsidP="00A148AB">
      <w:pPr>
        <w:pStyle w:val="Notedebasdepage"/>
        <w:rPr>
          <w:lang w:val="en-GB"/>
        </w:rPr>
      </w:pPr>
      <w:r w:rsidRPr="00240950">
        <w:rPr>
          <w:vertAlign w:val="superscript"/>
        </w:rPr>
        <w:footnoteRef/>
      </w:r>
      <w:r w:rsidRPr="002A53B2">
        <w:rPr>
          <w:lang w:val="en-GB"/>
        </w:rPr>
        <w:t xml:space="preserve"> </w:t>
      </w:r>
      <w:r w:rsidRPr="002A53B2">
        <w:rPr>
          <w:i/>
          <w:iCs/>
          <w:lang w:val="en-GB"/>
        </w:rPr>
        <w:t>Ibid</w:t>
      </w:r>
      <w:r w:rsidRPr="002A53B2">
        <w:rPr>
          <w:lang w:val="en-GB"/>
        </w:rPr>
        <w:t>.</w:t>
      </w:r>
    </w:p>
  </w:footnote>
  <w:footnote w:id="19">
    <w:p w14:paraId="4860D3A0" w14:textId="07C6CDD8" w:rsidR="00116B1B" w:rsidRPr="002A53B2" w:rsidRDefault="00116B1B" w:rsidP="00944BBE">
      <w:pPr>
        <w:pStyle w:val="Notedebasdepage"/>
        <w:rPr>
          <w:lang w:val="en-GB"/>
        </w:rPr>
      </w:pPr>
      <w:r w:rsidRPr="00240950">
        <w:rPr>
          <w:vertAlign w:val="superscript"/>
        </w:rPr>
        <w:footnoteRef/>
      </w:r>
      <w:r w:rsidRPr="002A53B2">
        <w:rPr>
          <w:lang w:val="en-GB"/>
        </w:rPr>
        <w:t xml:space="preserve"> Avignon, </w:t>
      </w:r>
      <w:r w:rsidR="00B00DB0" w:rsidRPr="002A53B2">
        <w:rPr>
          <w:lang w:val="en-GB"/>
        </w:rPr>
        <w:t>AM</w:t>
      </w:r>
      <w:r w:rsidRPr="002A53B2">
        <w:rPr>
          <w:lang w:val="en-GB"/>
        </w:rPr>
        <w:t>, CC468.</w:t>
      </w:r>
    </w:p>
  </w:footnote>
  <w:footnote w:id="20">
    <w:p w14:paraId="43FF543F" w14:textId="2C4949A9" w:rsidR="00944BBE" w:rsidRPr="00B65667" w:rsidRDefault="00944BBE" w:rsidP="00944BBE">
      <w:pPr>
        <w:pStyle w:val="Notedebasdepage"/>
        <w:rPr>
          <w:lang w:val="en-GB"/>
        </w:rPr>
      </w:pPr>
      <w:r w:rsidRPr="00240950">
        <w:rPr>
          <w:vertAlign w:val="superscript"/>
        </w:rPr>
        <w:footnoteRef/>
      </w:r>
      <w:r w:rsidRPr="00B65667">
        <w:rPr>
          <w:lang w:val="en-GB"/>
        </w:rPr>
        <w:t xml:space="preserve"> </w:t>
      </w:r>
      <w:r>
        <w:rPr>
          <w:lang w:val="en-GB"/>
        </w:rPr>
        <w:t xml:space="preserve">Honoré </w:t>
      </w:r>
      <w:r w:rsidRPr="00B65667">
        <w:rPr>
          <w:lang w:val="en-GB"/>
        </w:rPr>
        <w:t xml:space="preserve">Henry, </w:t>
      </w:r>
      <w:r>
        <w:rPr>
          <w:i/>
          <w:lang w:val="en-GB"/>
        </w:rPr>
        <w:t>op. cit.</w:t>
      </w:r>
      <w:r w:rsidRPr="00944BBE">
        <w:rPr>
          <w:lang w:val="en-GB"/>
        </w:rPr>
        <w:t>,</w:t>
      </w:r>
      <w:r w:rsidRPr="00B65667">
        <w:rPr>
          <w:lang w:val="en-GB"/>
        </w:rPr>
        <w:t xml:space="preserve"> </w:t>
      </w:r>
      <w:r>
        <w:rPr>
          <w:lang w:val="en-GB"/>
        </w:rPr>
        <w:t>p. </w:t>
      </w:r>
      <w:r w:rsidRPr="00B65667">
        <w:rPr>
          <w:lang w:val="en-GB"/>
        </w:rPr>
        <w:t>C</w:t>
      </w:r>
      <w:r>
        <w:rPr>
          <w:lang w:val="en-GB"/>
        </w:rPr>
        <w:t> </w:t>
      </w:r>
      <w:r w:rsidRPr="00B65667">
        <w:rPr>
          <w:lang w:val="en-GB"/>
        </w:rPr>
        <w:t>ii</w:t>
      </w:r>
      <w:r>
        <w:rPr>
          <w:lang w:val="en-GB"/>
        </w:rPr>
        <w:t>-</w:t>
      </w:r>
      <w:r w:rsidRPr="00B65667">
        <w:rPr>
          <w:lang w:val="en-GB"/>
        </w:rPr>
        <w:t>C</w:t>
      </w:r>
      <w:r>
        <w:rPr>
          <w:lang w:val="en-GB"/>
        </w:rPr>
        <w:t> </w:t>
      </w:r>
      <w:proofErr w:type="spellStart"/>
      <w:r w:rsidRPr="00B65667">
        <w:rPr>
          <w:lang w:val="en-GB"/>
        </w:rPr>
        <w:t>iiv</w:t>
      </w:r>
      <w:proofErr w:type="spellEnd"/>
      <w:r w:rsidRPr="00B65667">
        <w:rPr>
          <w:lang w:val="en-GB"/>
        </w:rPr>
        <w:t>.</w:t>
      </w:r>
    </w:p>
  </w:footnote>
  <w:footnote w:id="21">
    <w:p w14:paraId="7B349BC8" w14:textId="129B9191" w:rsidR="00944BBE" w:rsidRPr="00944BBE" w:rsidRDefault="00944BBE" w:rsidP="00944BBE">
      <w:pPr>
        <w:pStyle w:val="Notedebasdepage"/>
        <w:rPr>
          <w:rFonts w:eastAsia="Times New Roman"/>
          <w:lang w:val="en-GB"/>
        </w:rPr>
      </w:pPr>
      <w:r w:rsidRPr="00240950">
        <w:rPr>
          <w:vertAlign w:val="superscript"/>
        </w:rPr>
        <w:footnoteRef/>
      </w:r>
      <w:r w:rsidRPr="00B65667">
        <w:rPr>
          <w:lang w:val="en-GB"/>
        </w:rPr>
        <w:t xml:space="preserve"> </w:t>
      </w:r>
      <w:r w:rsidRPr="00944BBE">
        <w:rPr>
          <w:i/>
          <w:iCs/>
          <w:lang w:val="en-GB"/>
        </w:rPr>
        <w:t>I</w:t>
      </w:r>
      <w:r w:rsidRPr="00B65667">
        <w:rPr>
          <w:i/>
          <w:lang w:val="en-GB"/>
        </w:rPr>
        <w:t>bid.</w:t>
      </w:r>
      <w:r w:rsidRPr="00B65667">
        <w:rPr>
          <w:lang w:val="en-GB"/>
        </w:rPr>
        <w:t>, p.</w:t>
      </w:r>
      <w:r>
        <w:rPr>
          <w:lang w:val="en-GB"/>
        </w:rPr>
        <w:t> </w:t>
      </w:r>
      <w:r w:rsidRPr="00B65667">
        <w:rPr>
          <w:rFonts w:eastAsia="Times New Roman"/>
          <w:lang w:val="en-GB"/>
        </w:rPr>
        <w:t>B</w:t>
      </w:r>
      <w:r>
        <w:rPr>
          <w:rFonts w:eastAsia="Times New Roman"/>
          <w:lang w:val="en-GB"/>
        </w:rPr>
        <w:t> </w:t>
      </w:r>
      <w:proofErr w:type="spellStart"/>
      <w:r w:rsidRPr="00B65667">
        <w:rPr>
          <w:rFonts w:eastAsia="Times New Roman"/>
          <w:lang w:val="en-GB"/>
        </w:rPr>
        <w:t>iiii</w:t>
      </w:r>
      <w:proofErr w:type="spellEnd"/>
      <w:r w:rsidRPr="00B65667">
        <w:rPr>
          <w:rFonts w:eastAsia="Times New Roman"/>
          <w:lang w:val="en-GB"/>
        </w:rPr>
        <w:t>.</w:t>
      </w:r>
    </w:p>
  </w:footnote>
  <w:footnote w:id="22">
    <w:p w14:paraId="4484F68C" w14:textId="27409189" w:rsidR="00944BBE" w:rsidRPr="00B65667" w:rsidRDefault="00944BBE" w:rsidP="00C76CCC">
      <w:pPr>
        <w:pStyle w:val="Notedebasdepage"/>
        <w:rPr>
          <w:lang w:val="en-GB"/>
        </w:rPr>
      </w:pPr>
      <w:r w:rsidRPr="00240950">
        <w:rPr>
          <w:vertAlign w:val="superscript"/>
        </w:rPr>
        <w:footnoteRef/>
      </w:r>
      <w:r w:rsidRPr="00B65667">
        <w:rPr>
          <w:lang w:val="en-GB"/>
        </w:rPr>
        <w:t xml:space="preserve"> </w:t>
      </w:r>
      <w:r w:rsidR="00C76CCC" w:rsidRPr="00C76CCC">
        <w:rPr>
          <w:i/>
          <w:iCs/>
          <w:lang w:val="en-GB"/>
        </w:rPr>
        <w:t>I</w:t>
      </w:r>
      <w:r w:rsidRPr="00B65667">
        <w:rPr>
          <w:i/>
          <w:lang w:val="en-GB"/>
        </w:rPr>
        <w:t>bid.</w:t>
      </w:r>
      <w:r w:rsidRPr="00B65667">
        <w:rPr>
          <w:lang w:val="en-GB"/>
        </w:rPr>
        <w:t>, p.</w:t>
      </w:r>
      <w:r w:rsidR="00C76CCC">
        <w:rPr>
          <w:lang w:val="en-GB"/>
        </w:rPr>
        <w:t> </w:t>
      </w:r>
      <w:r w:rsidRPr="00B65667">
        <w:rPr>
          <w:lang w:val="en-GB"/>
        </w:rPr>
        <w:t>C</w:t>
      </w:r>
      <w:r w:rsidR="00C76CCC">
        <w:rPr>
          <w:lang w:val="en-GB"/>
        </w:rPr>
        <w:t> </w:t>
      </w:r>
      <w:r w:rsidRPr="00B65667">
        <w:rPr>
          <w:lang w:val="en-GB"/>
        </w:rPr>
        <w:t>iii.</w:t>
      </w:r>
    </w:p>
  </w:footnote>
  <w:footnote w:id="23">
    <w:p w14:paraId="359DCFEB" w14:textId="2CAD617E" w:rsidR="00116B1B" w:rsidRPr="00B65667" w:rsidRDefault="00116B1B" w:rsidP="00C76CCC">
      <w:pPr>
        <w:pStyle w:val="Notedebasdepage"/>
        <w:rPr>
          <w:lang w:val="en-GB"/>
        </w:rPr>
      </w:pPr>
      <w:r w:rsidRPr="00240950">
        <w:rPr>
          <w:vertAlign w:val="superscript"/>
        </w:rPr>
        <w:footnoteRef/>
      </w:r>
      <w:r w:rsidRPr="00B65667">
        <w:rPr>
          <w:lang w:val="en-GB"/>
        </w:rPr>
        <w:t xml:space="preserve"> </w:t>
      </w:r>
      <w:r w:rsidR="00C76CCC" w:rsidRPr="00C76CCC">
        <w:rPr>
          <w:i/>
          <w:iCs/>
          <w:lang w:val="en-GB"/>
        </w:rPr>
        <w:t>I</w:t>
      </w:r>
      <w:r w:rsidRPr="00B65667">
        <w:rPr>
          <w:i/>
          <w:lang w:val="en-GB"/>
        </w:rPr>
        <w:t>bid.</w:t>
      </w:r>
      <w:r w:rsidRPr="00B65667">
        <w:rPr>
          <w:lang w:val="en-GB"/>
        </w:rPr>
        <w:t>, p.</w:t>
      </w:r>
      <w:r w:rsidR="00C76CCC">
        <w:rPr>
          <w:lang w:val="en-GB"/>
        </w:rPr>
        <w:t> </w:t>
      </w:r>
      <w:r w:rsidRPr="00B65667">
        <w:rPr>
          <w:rFonts w:eastAsia="Times New Roman"/>
          <w:lang w:val="en-GB"/>
        </w:rPr>
        <w:t>C</w:t>
      </w:r>
      <w:r w:rsidR="00C76CCC">
        <w:rPr>
          <w:rFonts w:eastAsia="Times New Roman"/>
          <w:lang w:val="en-GB"/>
        </w:rPr>
        <w:t> </w:t>
      </w:r>
      <w:proofErr w:type="spellStart"/>
      <w:r w:rsidRPr="00B65667">
        <w:rPr>
          <w:rFonts w:eastAsia="Times New Roman"/>
          <w:lang w:val="en-GB"/>
        </w:rPr>
        <w:t>iiii</w:t>
      </w:r>
      <w:proofErr w:type="spellEnd"/>
      <w:r w:rsidRPr="00B65667">
        <w:rPr>
          <w:rFonts w:eastAsia="Times New Roman"/>
          <w:lang w:val="en-GB"/>
        </w:rPr>
        <w:t>.</w:t>
      </w:r>
    </w:p>
  </w:footnote>
  <w:footnote w:id="24">
    <w:p w14:paraId="58E100F6" w14:textId="102A3764" w:rsidR="00944BBE" w:rsidRPr="00B65667" w:rsidRDefault="00944BBE" w:rsidP="00C76CCC">
      <w:pPr>
        <w:pStyle w:val="Notedebasdepage"/>
        <w:rPr>
          <w:lang w:val="en-GB"/>
        </w:rPr>
      </w:pPr>
      <w:r w:rsidRPr="00240950">
        <w:rPr>
          <w:vertAlign w:val="superscript"/>
        </w:rPr>
        <w:footnoteRef/>
      </w:r>
      <w:r w:rsidRPr="00B65667">
        <w:rPr>
          <w:lang w:val="en-GB"/>
        </w:rPr>
        <w:t xml:space="preserve"> </w:t>
      </w:r>
      <w:r w:rsidR="00C76CCC" w:rsidRPr="00C76CCC">
        <w:rPr>
          <w:i/>
          <w:iCs/>
          <w:lang w:val="en-GB"/>
        </w:rPr>
        <w:t>I</w:t>
      </w:r>
      <w:r w:rsidRPr="00B65667">
        <w:rPr>
          <w:i/>
          <w:lang w:val="en-GB"/>
        </w:rPr>
        <w:t>bid.</w:t>
      </w:r>
      <w:r w:rsidRPr="00B65667">
        <w:rPr>
          <w:lang w:val="en-GB"/>
        </w:rPr>
        <w:t>, p.</w:t>
      </w:r>
      <w:r w:rsidR="00C76CCC">
        <w:rPr>
          <w:lang w:val="en-GB"/>
        </w:rPr>
        <w:t> </w:t>
      </w:r>
      <w:r w:rsidRPr="00B65667">
        <w:rPr>
          <w:rFonts w:eastAsia="Times New Roman"/>
          <w:lang w:val="en-GB"/>
        </w:rPr>
        <w:t>D</w:t>
      </w:r>
      <w:r w:rsidR="00C76CCC">
        <w:rPr>
          <w:rFonts w:eastAsia="Times New Roman"/>
          <w:lang w:val="en-GB"/>
        </w:rPr>
        <w:t> </w:t>
      </w:r>
      <w:proofErr w:type="spellStart"/>
      <w:r w:rsidRPr="00B65667">
        <w:rPr>
          <w:rFonts w:eastAsia="Times New Roman"/>
          <w:lang w:val="en-GB"/>
        </w:rPr>
        <w:t>iiv</w:t>
      </w:r>
      <w:proofErr w:type="spellEnd"/>
      <w:r w:rsidRPr="00B65667">
        <w:rPr>
          <w:rFonts w:eastAsia="Times New Roman"/>
          <w:lang w:val="en-GB"/>
        </w:rPr>
        <w:t>.</w:t>
      </w:r>
    </w:p>
  </w:footnote>
  <w:footnote w:id="25">
    <w:p w14:paraId="368F01B0" w14:textId="731BEB04" w:rsidR="00C76CCC" w:rsidRPr="003B30B6" w:rsidRDefault="00944BBE" w:rsidP="00C76CCC">
      <w:pPr>
        <w:pStyle w:val="Notedebasdepage"/>
        <w:rPr>
          <w:rFonts w:eastAsia="Times New Roman"/>
        </w:rPr>
      </w:pPr>
      <w:r w:rsidRPr="00240950">
        <w:rPr>
          <w:vertAlign w:val="superscript"/>
        </w:rPr>
        <w:footnoteRef/>
      </w:r>
      <w:r w:rsidRPr="003B30B6">
        <w:t xml:space="preserve"> </w:t>
      </w:r>
      <w:r w:rsidR="00C76CCC" w:rsidRPr="003B30B6">
        <w:rPr>
          <w:i/>
          <w:iCs/>
        </w:rPr>
        <w:t>I</w:t>
      </w:r>
      <w:r w:rsidRPr="003B30B6">
        <w:rPr>
          <w:i/>
        </w:rPr>
        <w:t>bid.</w:t>
      </w:r>
      <w:r w:rsidRPr="003B30B6">
        <w:t>, p.</w:t>
      </w:r>
      <w:r w:rsidR="00C76CCC" w:rsidRPr="003B30B6">
        <w:t> </w:t>
      </w:r>
      <w:r w:rsidRPr="003B30B6">
        <w:rPr>
          <w:rFonts w:eastAsia="Times New Roman"/>
        </w:rPr>
        <w:t>E</w:t>
      </w:r>
      <w:r w:rsidR="00C76CCC" w:rsidRPr="003B30B6">
        <w:rPr>
          <w:rFonts w:eastAsia="Times New Roman"/>
        </w:rPr>
        <w:t> </w:t>
      </w:r>
      <w:r w:rsidRPr="003B30B6">
        <w:rPr>
          <w:rFonts w:eastAsia="Times New Roman"/>
        </w:rPr>
        <w:t>ii.</w:t>
      </w:r>
    </w:p>
  </w:footnote>
  <w:footnote w:id="26">
    <w:p w14:paraId="617BE197" w14:textId="1A59E6A7" w:rsidR="00C76CCC" w:rsidRPr="00240950" w:rsidRDefault="00C76CCC" w:rsidP="005B5ADD">
      <w:pPr>
        <w:pStyle w:val="Notedebasdepage"/>
      </w:pPr>
      <w:r w:rsidRPr="00240950">
        <w:rPr>
          <w:vertAlign w:val="superscript"/>
        </w:rPr>
        <w:footnoteRef/>
      </w:r>
      <w:r w:rsidRPr="00240950">
        <w:t xml:space="preserve"> Joseph Guérin, </w:t>
      </w:r>
      <w:r w:rsidRPr="00240950">
        <w:rPr>
          <w:i/>
        </w:rPr>
        <w:t>Panorama d’Avignon, de Vaucluse, du Mont-Ventoux et du Col-</w:t>
      </w:r>
      <w:proofErr w:type="spellStart"/>
      <w:r w:rsidRPr="00240950">
        <w:rPr>
          <w:i/>
        </w:rPr>
        <w:t>Longet</w:t>
      </w:r>
      <w:proofErr w:type="spellEnd"/>
      <w:r w:rsidRPr="00240950">
        <w:rPr>
          <w:i/>
        </w:rPr>
        <w:t xml:space="preserve"> suivi de quelques vues des Alpes françaises</w:t>
      </w:r>
      <w:r w:rsidRPr="00240950">
        <w:t>, Avignon, Imprimerie de Guichard aîné, 1829,</w:t>
      </w:r>
      <w:r>
        <w:t xml:space="preserve"> p. </w:t>
      </w:r>
      <w:r w:rsidRPr="00240950">
        <w:t>86.</w:t>
      </w:r>
    </w:p>
  </w:footnote>
  <w:footnote w:id="27">
    <w:p w14:paraId="28E1CDED" w14:textId="4AC5A93C" w:rsidR="00116B1B" w:rsidRPr="00B65667" w:rsidRDefault="00116B1B" w:rsidP="005B5ADD">
      <w:pPr>
        <w:pStyle w:val="Notedebasdepage"/>
        <w:rPr>
          <w:rFonts w:eastAsia="Times New Roman"/>
          <w:lang w:val="en-GB"/>
        </w:rPr>
      </w:pPr>
      <w:r w:rsidRPr="00240950">
        <w:rPr>
          <w:vertAlign w:val="superscript"/>
        </w:rPr>
        <w:footnoteRef/>
      </w:r>
      <w:r w:rsidRPr="00B65667">
        <w:rPr>
          <w:rFonts w:eastAsia="Times New Roman"/>
          <w:lang w:val="en-GB"/>
        </w:rPr>
        <w:t xml:space="preserve"> </w:t>
      </w:r>
      <w:proofErr w:type="spellStart"/>
      <w:r w:rsidRPr="00B65667">
        <w:rPr>
          <w:rFonts w:eastAsia="Times New Roman"/>
          <w:lang w:val="en-GB"/>
        </w:rPr>
        <w:t>Joëlle</w:t>
      </w:r>
      <w:proofErr w:type="spellEnd"/>
      <w:r w:rsidRPr="00B65667">
        <w:rPr>
          <w:rFonts w:eastAsia="Times New Roman"/>
          <w:lang w:val="en-GB"/>
        </w:rPr>
        <w:t xml:space="preserve"> Rollo-</w:t>
      </w:r>
      <w:proofErr w:type="spellStart"/>
      <w:r w:rsidRPr="00B65667">
        <w:rPr>
          <w:rFonts w:eastAsia="Times New Roman"/>
          <w:lang w:val="en-GB"/>
        </w:rPr>
        <w:t>Koster</w:t>
      </w:r>
      <w:proofErr w:type="spellEnd"/>
      <w:r w:rsidRPr="00B65667">
        <w:rPr>
          <w:rFonts w:eastAsia="Times New Roman"/>
          <w:lang w:val="en-GB"/>
        </w:rPr>
        <w:t xml:space="preserve">, </w:t>
      </w:r>
      <w:r w:rsidRPr="00B65667">
        <w:rPr>
          <w:rFonts w:eastAsia="Times New Roman"/>
          <w:i/>
          <w:lang w:val="en-GB"/>
        </w:rPr>
        <w:t>Avignon and its papacy 1309- 1417</w:t>
      </w:r>
      <w:r w:rsidR="00653FFD" w:rsidRPr="00B65667">
        <w:rPr>
          <w:rFonts w:eastAsia="Times New Roman"/>
          <w:i/>
          <w:lang w:val="en-GB"/>
        </w:rPr>
        <w:t>:</w:t>
      </w:r>
      <w:r w:rsidRPr="00B65667">
        <w:rPr>
          <w:rFonts w:eastAsia="Times New Roman"/>
          <w:i/>
          <w:lang w:val="en-GB"/>
        </w:rPr>
        <w:t xml:space="preserve"> Popes, Institutions and Society</w:t>
      </w:r>
      <w:r w:rsidRPr="00B65667">
        <w:rPr>
          <w:rFonts w:eastAsia="Times New Roman"/>
          <w:lang w:val="en-GB"/>
        </w:rPr>
        <w:t xml:space="preserve">, </w:t>
      </w:r>
      <w:proofErr w:type="spellStart"/>
      <w:r w:rsidRPr="00B65667">
        <w:rPr>
          <w:rFonts w:eastAsia="Times New Roman"/>
          <w:lang w:val="en-GB"/>
        </w:rPr>
        <w:t>Londres</w:t>
      </w:r>
      <w:proofErr w:type="spellEnd"/>
      <w:r w:rsidRPr="005B5ADD">
        <w:rPr>
          <w:lang w:val="en-GB"/>
        </w:rPr>
        <w:t xml:space="preserve">, </w:t>
      </w:r>
      <w:r w:rsidRPr="005B5ADD">
        <w:rPr>
          <w:rFonts w:cs="Times New Roman"/>
          <w:lang w:val="en-GB"/>
        </w:rPr>
        <w:t>Rowman &amp; Littlefield</w:t>
      </w:r>
      <w:r w:rsidRPr="005B5ADD">
        <w:rPr>
          <w:lang w:val="en-GB"/>
        </w:rPr>
        <w:t>,</w:t>
      </w:r>
      <w:r w:rsidRPr="00B65667">
        <w:rPr>
          <w:lang w:val="en-GB"/>
        </w:rPr>
        <w:t xml:space="preserve"> </w:t>
      </w:r>
      <w:r w:rsidRPr="00B65667">
        <w:rPr>
          <w:rFonts w:eastAsia="Times New Roman"/>
          <w:lang w:val="en-GB"/>
        </w:rPr>
        <w:t>2015,</w:t>
      </w:r>
      <w:r w:rsidR="00653FFD">
        <w:rPr>
          <w:rFonts w:eastAsia="Times New Roman"/>
          <w:lang w:val="en-GB"/>
        </w:rPr>
        <w:t xml:space="preserve"> p. </w:t>
      </w:r>
      <w:r w:rsidR="00653FFD" w:rsidRPr="00B65667">
        <w:rPr>
          <w:rFonts w:eastAsia="Times New Roman"/>
          <w:lang w:val="en-GB"/>
        </w:rPr>
        <w:t>8</w:t>
      </w:r>
      <w:r w:rsidRPr="00B65667">
        <w:rPr>
          <w:rFonts w:eastAsia="Times New Roman"/>
          <w:lang w:val="en-GB"/>
        </w:rPr>
        <w:t>5.</w:t>
      </w:r>
    </w:p>
  </w:footnote>
  <w:footnote w:id="28">
    <w:p w14:paraId="13D031D2" w14:textId="5670D079" w:rsidR="0075273F" w:rsidRPr="00240950" w:rsidRDefault="0075273F" w:rsidP="005B5ADD">
      <w:pPr>
        <w:pStyle w:val="Notedebasdepage"/>
        <w:rPr>
          <w:rFonts w:eastAsia="Times New Roman"/>
        </w:rPr>
      </w:pPr>
      <w:r w:rsidRPr="00240950">
        <w:rPr>
          <w:vertAlign w:val="superscript"/>
        </w:rPr>
        <w:footnoteRef/>
      </w:r>
      <w:r w:rsidRPr="00240950">
        <w:rPr>
          <w:rFonts w:eastAsia="Times New Roman"/>
        </w:rPr>
        <w:t xml:space="preserve"> Pierre </w:t>
      </w:r>
      <w:proofErr w:type="spellStart"/>
      <w:r w:rsidRPr="00240950">
        <w:rPr>
          <w:rFonts w:eastAsia="Times New Roman"/>
        </w:rPr>
        <w:t>Pansier</w:t>
      </w:r>
      <w:proofErr w:type="spellEnd"/>
      <w:r w:rsidRPr="00240950">
        <w:rPr>
          <w:rFonts w:eastAsia="Times New Roman"/>
        </w:rPr>
        <w:t xml:space="preserve"> </w:t>
      </w:r>
      <w:r>
        <w:rPr>
          <w:rFonts w:eastAsia="Times New Roman"/>
        </w:rPr>
        <w:t>« </w:t>
      </w:r>
      <w:r w:rsidRPr="00240950">
        <w:rPr>
          <w:rFonts w:eastAsia="Times New Roman"/>
        </w:rPr>
        <w:t>Les débuts de l’imprimerie à Avignon (</w:t>
      </w:r>
      <w:proofErr w:type="spellStart"/>
      <w:r w:rsidR="005B5ADD" w:rsidRPr="005B5ADD">
        <w:rPr>
          <w:rFonts w:eastAsia="Times New Roman"/>
          <w:smallCaps/>
        </w:rPr>
        <w:t>xv</w:t>
      </w:r>
      <w:r w:rsidRPr="00240950">
        <w:rPr>
          <w:rFonts w:eastAsia="Times New Roman"/>
          <w:vertAlign w:val="superscript"/>
        </w:rPr>
        <w:t>e</w:t>
      </w:r>
      <w:proofErr w:type="spellEnd"/>
      <w:r w:rsidRPr="00240950">
        <w:rPr>
          <w:rFonts w:eastAsia="Times New Roman"/>
        </w:rPr>
        <w:t xml:space="preserve"> et </w:t>
      </w:r>
      <w:proofErr w:type="spellStart"/>
      <w:r w:rsidR="005B5ADD" w:rsidRPr="005B5ADD">
        <w:rPr>
          <w:rFonts w:eastAsia="Times New Roman"/>
          <w:smallCaps/>
        </w:rPr>
        <w:t>xvi</w:t>
      </w:r>
      <w:r w:rsidRPr="00240950">
        <w:rPr>
          <w:rFonts w:eastAsia="Times New Roman"/>
          <w:vertAlign w:val="superscript"/>
        </w:rPr>
        <w:t>e</w:t>
      </w:r>
      <w:proofErr w:type="spellEnd"/>
      <w:r w:rsidR="005B5ADD">
        <w:rPr>
          <w:rFonts w:eastAsia="Times New Roman"/>
        </w:rPr>
        <w:t> </w:t>
      </w:r>
      <w:r w:rsidRPr="00240950">
        <w:rPr>
          <w:rFonts w:eastAsia="Times New Roman"/>
        </w:rPr>
        <w:t>siècles)</w:t>
      </w:r>
      <w:r>
        <w:rPr>
          <w:rFonts w:eastAsia="Times New Roman"/>
        </w:rPr>
        <w:t> </w:t>
      </w:r>
      <w:r w:rsidRPr="00240950">
        <w:rPr>
          <w:rFonts w:eastAsia="Times New Roman"/>
        </w:rPr>
        <w:t xml:space="preserve">», </w:t>
      </w:r>
      <w:r w:rsidRPr="00240950">
        <w:rPr>
          <w:rFonts w:eastAsia="Times New Roman"/>
          <w:i/>
        </w:rPr>
        <w:t>Mémoires de l’Académie de Vaucluse</w:t>
      </w:r>
      <w:r w:rsidRPr="00240950">
        <w:rPr>
          <w:rFonts w:eastAsia="Times New Roman"/>
        </w:rPr>
        <w:t xml:space="preserve">, </w:t>
      </w:r>
      <w:r w:rsidR="00646BF6">
        <w:rPr>
          <w:rFonts w:eastAsia="Times New Roman"/>
        </w:rPr>
        <w:t>vol. </w:t>
      </w:r>
      <w:r w:rsidR="00646BF6" w:rsidRPr="00D87F0B">
        <w:rPr>
          <w:rFonts w:eastAsia="Times New Roman"/>
        </w:rPr>
        <w:t>XIX, n</w:t>
      </w:r>
      <w:r w:rsidR="00646BF6" w:rsidRPr="00D87F0B">
        <w:rPr>
          <w:rFonts w:eastAsia="Times New Roman"/>
          <w:vertAlign w:val="superscript"/>
        </w:rPr>
        <w:t>o</w:t>
      </w:r>
      <w:r w:rsidR="00646BF6" w:rsidRPr="00D87F0B">
        <w:rPr>
          <w:rFonts w:eastAsia="Times New Roman"/>
        </w:rPr>
        <w:t> 2, 1919</w:t>
      </w:r>
      <w:r w:rsidRPr="00240950">
        <w:rPr>
          <w:rFonts w:eastAsia="Times New Roman"/>
        </w:rPr>
        <w:t>,</w:t>
      </w:r>
      <w:r>
        <w:rPr>
          <w:rFonts w:eastAsia="Times New Roman"/>
        </w:rPr>
        <w:t xml:space="preserve"> p. </w:t>
      </w:r>
      <w:r w:rsidRPr="00240950">
        <w:rPr>
          <w:rFonts w:eastAsia="Times New Roman"/>
        </w:rPr>
        <w:t>153-179, ici</w:t>
      </w:r>
      <w:r>
        <w:rPr>
          <w:rFonts w:eastAsia="Times New Roman"/>
        </w:rPr>
        <w:t xml:space="preserve"> p. </w:t>
      </w:r>
      <w:r w:rsidRPr="00240950">
        <w:rPr>
          <w:rFonts w:eastAsia="Times New Roman"/>
        </w:rPr>
        <w:t xml:space="preserve">166. Il s’agit d’un traité d’un jurisconsulte italien, </w:t>
      </w:r>
      <w:proofErr w:type="spellStart"/>
      <w:r w:rsidRPr="00240950">
        <w:rPr>
          <w:rFonts w:eastAsia="Times New Roman"/>
        </w:rPr>
        <w:t>Odofredo</w:t>
      </w:r>
      <w:proofErr w:type="spellEnd"/>
      <w:r w:rsidRPr="00240950">
        <w:rPr>
          <w:rFonts w:eastAsia="Times New Roman"/>
        </w:rPr>
        <w:t xml:space="preserve"> de</w:t>
      </w:r>
      <w:r w:rsidR="005B5ADD">
        <w:rPr>
          <w:rFonts w:eastAsia="Times New Roman"/>
        </w:rPr>
        <w:t> </w:t>
      </w:r>
      <w:r w:rsidRPr="00240950">
        <w:rPr>
          <w:rFonts w:eastAsia="Times New Roman"/>
        </w:rPr>
        <w:t xml:space="preserve">Bénévent. </w:t>
      </w:r>
    </w:p>
  </w:footnote>
  <w:footnote w:id="29">
    <w:p w14:paraId="06BC40CB" w14:textId="2B2D6AEA" w:rsidR="005B5ADD" w:rsidRPr="00240950" w:rsidRDefault="005B5ADD" w:rsidP="005B5ADD">
      <w:pPr>
        <w:pStyle w:val="Notedebasdepage"/>
        <w:rPr>
          <w:lang w:val="fr-CH"/>
        </w:rPr>
      </w:pPr>
      <w:r w:rsidRPr="00240950">
        <w:rPr>
          <w:rStyle w:val="Appelnotedebasdep"/>
          <w:rFonts w:ascii="Times New Roman" w:hAnsi="Times New Roman" w:cs="Times New Roman"/>
        </w:rPr>
        <w:footnoteRef/>
      </w:r>
      <w:r w:rsidRPr="00240950">
        <w:t xml:space="preserve"> </w:t>
      </w:r>
      <w:r w:rsidRPr="00240950">
        <w:rPr>
          <w:lang w:val="fr-CH"/>
        </w:rPr>
        <w:t>Voir Victor de</w:t>
      </w:r>
      <w:r>
        <w:rPr>
          <w:lang w:val="fr-CH"/>
        </w:rPr>
        <w:t> </w:t>
      </w:r>
      <w:proofErr w:type="spellStart"/>
      <w:r w:rsidRPr="00240950">
        <w:rPr>
          <w:lang w:val="fr-CH"/>
        </w:rPr>
        <w:t>Baumefort</w:t>
      </w:r>
      <w:proofErr w:type="spellEnd"/>
      <w:r w:rsidRPr="00240950">
        <w:rPr>
          <w:lang w:val="fr-CH"/>
        </w:rPr>
        <w:t xml:space="preserve">, </w:t>
      </w:r>
      <w:r w:rsidRPr="00240950">
        <w:rPr>
          <w:i/>
          <w:lang w:val="fr-CH"/>
        </w:rPr>
        <w:t>Cession de la ville et de l’état d’Avignon au pape Clément</w:t>
      </w:r>
      <w:r>
        <w:rPr>
          <w:i/>
          <w:lang w:val="fr-CH"/>
        </w:rPr>
        <w:t> </w:t>
      </w:r>
      <w:r w:rsidRPr="00240950">
        <w:rPr>
          <w:i/>
          <w:lang w:val="fr-CH"/>
        </w:rPr>
        <w:t>VI par Jeanne</w:t>
      </w:r>
      <w:r>
        <w:rPr>
          <w:i/>
          <w:lang w:val="fr-CH"/>
        </w:rPr>
        <w:t> </w:t>
      </w:r>
      <w:r w:rsidRPr="00240950">
        <w:rPr>
          <w:i/>
          <w:lang w:val="fr-CH"/>
        </w:rPr>
        <w:t>I</w:t>
      </w:r>
      <w:r w:rsidRPr="00240950">
        <w:rPr>
          <w:i/>
          <w:vertAlign w:val="superscript"/>
          <w:lang w:val="fr-CH"/>
        </w:rPr>
        <w:t>re</w:t>
      </w:r>
      <w:r w:rsidRPr="00240950">
        <w:rPr>
          <w:i/>
          <w:lang w:val="fr-CH"/>
        </w:rPr>
        <w:t>, reine de Naples</w:t>
      </w:r>
      <w:r w:rsidRPr="00240950">
        <w:rPr>
          <w:lang w:val="fr-CH"/>
        </w:rPr>
        <w:t xml:space="preserve">, Apt, </w:t>
      </w:r>
      <w:r w:rsidRPr="00240950">
        <w:t>Typographie et lithographie J.-S.</w:t>
      </w:r>
      <w:r>
        <w:t> </w:t>
      </w:r>
      <w:r w:rsidRPr="00240950">
        <w:t xml:space="preserve">Jean, </w:t>
      </w:r>
      <w:r w:rsidRPr="00240950">
        <w:rPr>
          <w:lang w:val="fr-CH"/>
        </w:rPr>
        <w:t>1873,</w:t>
      </w:r>
      <w:r>
        <w:rPr>
          <w:lang w:val="fr-CH"/>
        </w:rPr>
        <w:t xml:space="preserve"> p. </w:t>
      </w:r>
      <w:r w:rsidRPr="00240950">
        <w:rPr>
          <w:lang w:val="fr-CH"/>
        </w:rPr>
        <w:t>59</w:t>
      </w:r>
      <w:r w:rsidR="00646BF6">
        <w:rPr>
          <w:lang w:val="fr-CH"/>
        </w:rPr>
        <w:t xml:space="preserve"> et </w:t>
      </w:r>
      <w:r w:rsidRPr="00240950">
        <w:rPr>
          <w:lang w:val="fr-CH"/>
        </w:rPr>
        <w:t>60.</w:t>
      </w:r>
    </w:p>
  </w:footnote>
  <w:footnote w:id="30">
    <w:p w14:paraId="5401B86E" w14:textId="24868A80" w:rsidR="00116B1B" w:rsidRPr="00B65667" w:rsidRDefault="00116B1B" w:rsidP="005B5ADD">
      <w:pPr>
        <w:pStyle w:val="Notedebasdepage"/>
        <w:rPr>
          <w:lang w:val="en-GB"/>
        </w:rPr>
      </w:pPr>
      <w:r w:rsidRPr="00240950">
        <w:rPr>
          <w:rStyle w:val="Appelnotedebasdep"/>
          <w:rFonts w:ascii="Times New Roman" w:hAnsi="Times New Roman" w:cs="Times New Roman"/>
        </w:rPr>
        <w:footnoteRef/>
      </w:r>
      <w:r w:rsidRPr="00B65667">
        <w:rPr>
          <w:lang w:val="en-GB"/>
        </w:rPr>
        <w:t xml:space="preserve"> </w:t>
      </w:r>
      <w:proofErr w:type="spellStart"/>
      <w:r w:rsidRPr="00B65667">
        <w:rPr>
          <w:lang w:val="en-GB"/>
        </w:rPr>
        <w:t>Voir</w:t>
      </w:r>
      <w:proofErr w:type="spellEnd"/>
      <w:r w:rsidRPr="00B65667">
        <w:rPr>
          <w:lang w:val="en-GB"/>
        </w:rPr>
        <w:t xml:space="preserve"> Harold Mattingly, </w:t>
      </w:r>
      <w:r w:rsidR="00653FFD">
        <w:rPr>
          <w:lang w:val="en-GB"/>
        </w:rPr>
        <w:t>« </w:t>
      </w:r>
      <w:r w:rsidRPr="00B65667">
        <w:rPr>
          <w:rFonts w:eastAsia="Times New Roman"/>
          <w:lang w:val="en-GB"/>
        </w:rPr>
        <w:t>“</w:t>
      </w:r>
      <w:proofErr w:type="spellStart"/>
      <w:r w:rsidRPr="00B65667">
        <w:rPr>
          <w:rFonts w:eastAsia="Times New Roman"/>
          <w:lang w:val="en-GB"/>
        </w:rPr>
        <w:t>Fel</w:t>
      </w:r>
      <w:proofErr w:type="spellEnd"/>
      <w:r w:rsidRPr="00B65667">
        <w:rPr>
          <w:rFonts w:eastAsia="Times New Roman"/>
          <w:lang w:val="en-GB"/>
        </w:rPr>
        <w:t xml:space="preserve">. Temp. </w:t>
      </w:r>
      <w:proofErr w:type="spellStart"/>
      <w:r w:rsidRPr="00B65667">
        <w:rPr>
          <w:rFonts w:eastAsia="Times New Roman"/>
          <w:lang w:val="en-GB"/>
        </w:rPr>
        <w:t>Reparatio</w:t>
      </w:r>
      <w:proofErr w:type="spellEnd"/>
      <w:r w:rsidRPr="00B65667">
        <w:rPr>
          <w:rFonts w:eastAsia="Times New Roman"/>
          <w:lang w:val="en-GB"/>
        </w:rPr>
        <w:t>”</w:t>
      </w:r>
      <w:r w:rsidR="00653FFD">
        <w:rPr>
          <w:rFonts w:eastAsia="Times New Roman"/>
          <w:lang w:val="en-GB"/>
        </w:rPr>
        <w:t> </w:t>
      </w:r>
      <w:r w:rsidR="00653FFD" w:rsidRPr="00B65667">
        <w:rPr>
          <w:rFonts w:eastAsia="Times New Roman"/>
          <w:lang w:val="en-GB"/>
        </w:rPr>
        <w:t>»</w:t>
      </w:r>
      <w:r w:rsidRPr="00B65667">
        <w:rPr>
          <w:rFonts w:eastAsia="Times New Roman"/>
          <w:lang w:val="en-GB"/>
        </w:rPr>
        <w:t xml:space="preserve">, </w:t>
      </w:r>
      <w:r w:rsidRPr="00B65667">
        <w:rPr>
          <w:rFonts w:eastAsia="Times New Roman"/>
          <w:i/>
          <w:lang w:val="en-GB"/>
        </w:rPr>
        <w:t>The Numismatic Chronicle and Journal of the Royal Numismatic Society</w:t>
      </w:r>
      <w:r w:rsidRPr="005B5ADD">
        <w:rPr>
          <w:rFonts w:eastAsia="Times New Roman"/>
          <w:lang w:val="en-GB"/>
        </w:rPr>
        <w:t>,</w:t>
      </w:r>
      <w:r w:rsidRPr="00B65667">
        <w:rPr>
          <w:rFonts w:eastAsia="Times New Roman"/>
          <w:lang w:val="en-GB"/>
        </w:rPr>
        <w:t xml:space="preserve"> </w:t>
      </w:r>
      <w:r w:rsidR="005B5ADD">
        <w:rPr>
          <w:rFonts w:eastAsia="Times New Roman"/>
          <w:lang w:val="en-GB"/>
        </w:rPr>
        <w:t>vol. </w:t>
      </w:r>
      <w:r w:rsidRPr="00B65667">
        <w:rPr>
          <w:rFonts w:eastAsia="Times New Roman"/>
          <w:lang w:val="en-GB"/>
        </w:rPr>
        <w:t xml:space="preserve">5, </w:t>
      </w:r>
      <w:r w:rsidR="005B5ADD">
        <w:rPr>
          <w:rFonts w:eastAsia="Times New Roman"/>
          <w:lang w:val="en-GB"/>
        </w:rPr>
        <w:t>n</w:t>
      </w:r>
      <w:r w:rsidR="005B5ADD" w:rsidRPr="005B5ADD">
        <w:rPr>
          <w:rFonts w:eastAsia="Times New Roman"/>
          <w:vertAlign w:val="superscript"/>
          <w:lang w:val="en-GB"/>
        </w:rPr>
        <w:t>o</w:t>
      </w:r>
      <w:r w:rsidR="005B5ADD">
        <w:rPr>
          <w:rFonts w:eastAsia="Times New Roman"/>
          <w:lang w:val="en-GB"/>
        </w:rPr>
        <w:t> </w:t>
      </w:r>
      <w:r w:rsidRPr="00B65667">
        <w:rPr>
          <w:rFonts w:eastAsia="Times New Roman"/>
          <w:lang w:val="en-GB"/>
        </w:rPr>
        <w:t>13, 1933,</w:t>
      </w:r>
      <w:r w:rsidR="00653FFD">
        <w:rPr>
          <w:rFonts w:eastAsia="Times New Roman"/>
          <w:lang w:val="en-GB"/>
        </w:rPr>
        <w:t xml:space="preserve"> p. </w:t>
      </w:r>
      <w:r w:rsidR="00653FFD" w:rsidRPr="00B65667">
        <w:rPr>
          <w:rFonts w:eastAsia="Times New Roman"/>
          <w:lang w:val="en-GB"/>
        </w:rPr>
        <w:t>1</w:t>
      </w:r>
      <w:r w:rsidRPr="00B65667">
        <w:rPr>
          <w:rFonts w:eastAsia="Times New Roman"/>
          <w:lang w:val="en-GB"/>
        </w:rPr>
        <w:t>82-202.</w:t>
      </w:r>
    </w:p>
  </w:footnote>
  <w:footnote w:id="31">
    <w:p w14:paraId="0D0F2DBA" w14:textId="5CAEEC9C" w:rsidR="005B5ADD" w:rsidRPr="00B23CB9" w:rsidRDefault="00116B1B" w:rsidP="005B5ADD">
      <w:pPr>
        <w:pStyle w:val="Notedebasdepage"/>
        <w:rPr>
          <w:rFonts w:eastAsia="Times New Roman"/>
        </w:rPr>
      </w:pPr>
      <w:r w:rsidRPr="00240950">
        <w:rPr>
          <w:vertAlign w:val="superscript"/>
        </w:rPr>
        <w:footnoteRef/>
      </w:r>
      <w:r w:rsidRPr="00240950">
        <w:rPr>
          <w:rFonts w:eastAsia="Times New Roman"/>
        </w:rPr>
        <w:t xml:space="preserve"> Camille </w:t>
      </w:r>
      <w:proofErr w:type="spellStart"/>
      <w:r w:rsidRPr="00240950">
        <w:rPr>
          <w:rFonts w:eastAsia="Times New Roman"/>
        </w:rPr>
        <w:t>Larraz</w:t>
      </w:r>
      <w:proofErr w:type="spellEnd"/>
      <w:r w:rsidRPr="00240950">
        <w:rPr>
          <w:rFonts w:eastAsia="Times New Roman"/>
        </w:rPr>
        <w:t xml:space="preserve">, </w:t>
      </w:r>
      <w:r w:rsidR="00653FFD">
        <w:rPr>
          <w:rFonts w:eastAsia="Times New Roman"/>
        </w:rPr>
        <w:t>« </w:t>
      </w:r>
      <w:r w:rsidRPr="00240950">
        <w:rPr>
          <w:rFonts w:eastAsia="Times New Roman"/>
        </w:rPr>
        <w:t>La réception tardive de l’art bellifontain dans le Comtat Venaissin</w:t>
      </w:r>
      <w:r w:rsidR="00653FFD">
        <w:rPr>
          <w:rFonts w:eastAsia="Times New Roman"/>
        </w:rPr>
        <w:t> </w:t>
      </w:r>
      <w:r w:rsidR="00653FFD" w:rsidRPr="00240950">
        <w:rPr>
          <w:rFonts w:eastAsia="Times New Roman"/>
        </w:rPr>
        <w:t>:</w:t>
      </w:r>
      <w:r w:rsidRPr="00240950">
        <w:rPr>
          <w:rFonts w:eastAsia="Times New Roman"/>
        </w:rPr>
        <w:t xml:space="preserve"> le cas du graveur Jean Bœuf (</w:t>
      </w:r>
      <w:proofErr w:type="spellStart"/>
      <w:r w:rsidR="005B5ADD" w:rsidRPr="005B5ADD">
        <w:rPr>
          <w:rFonts w:eastAsia="Times New Roman"/>
          <w:smallCaps/>
        </w:rPr>
        <w:t>xvi</w:t>
      </w:r>
      <w:r w:rsidRPr="00240950">
        <w:rPr>
          <w:rFonts w:eastAsia="Times New Roman"/>
          <w:vertAlign w:val="superscript"/>
        </w:rPr>
        <w:t>e</w:t>
      </w:r>
      <w:r w:rsidRPr="00240950">
        <w:rPr>
          <w:rFonts w:eastAsia="Times New Roman"/>
        </w:rPr>
        <w:t>-</w:t>
      </w:r>
      <w:r w:rsidR="005B5ADD" w:rsidRPr="005B5ADD">
        <w:rPr>
          <w:rFonts w:eastAsia="Times New Roman"/>
          <w:smallCaps/>
        </w:rPr>
        <w:t>xvii</w:t>
      </w:r>
      <w:r w:rsidRPr="00240950">
        <w:rPr>
          <w:rFonts w:eastAsia="Times New Roman"/>
          <w:vertAlign w:val="superscript"/>
        </w:rPr>
        <w:t>e</w:t>
      </w:r>
      <w:proofErr w:type="spellEnd"/>
      <w:r w:rsidR="005B5ADD">
        <w:rPr>
          <w:rFonts w:eastAsia="Times New Roman"/>
        </w:rPr>
        <w:t> </w:t>
      </w:r>
      <w:r w:rsidRPr="00240950">
        <w:rPr>
          <w:rFonts w:eastAsia="Times New Roman"/>
        </w:rPr>
        <w:t>siècles)</w:t>
      </w:r>
      <w:r w:rsidR="00653FFD">
        <w:rPr>
          <w:rFonts w:eastAsia="Times New Roman"/>
        </w:rPr>
        <w:t> </w:t>
      </w:r>
      <w:r w:rsidR="00653FFD" w:rsidRPr="00240950">
        <w:rPr>
          <w:rFonts w:eastAsia="Times New Roman"/>
        </w:rPr>
        <w:t>»</w:t>
      </w:r>
      <w:r w:rsidRPr="00240950">
        <w:rPr>
          <w:rFonts w:eastAsia="Times New Roman"/>
        </w:rPr>
        <w:t xml:space="preserve">, </w:t>
      </w:r>
      <w:r w:rsidRPr="00240950">
        <w:rPr>
          <w:rFonts w:eastAsia="Times New Roman"/>
          <w:i/>
        </w:rPr>
        <w:t>Nouvelles de l’estampe</w:t>
      </w:r>
      <w:r w:rsidRPr="00240950">
        <w:rPr>
          <w:rFonts w:eastAsia="Times New Roman"/>
        </w:rPr>
        <w:t xml:space="preserve">, </w:t>
      </w:r>
      <w:r w:rsidR="00646BF6">
        <w:rPr>
          <w:rFonts w:eastAsia="Times New Roman"/>
        </w:rPr>
        <w:t>n</w:t>
      </w:r>
      <w:r w:rsidR="00646BF6" w:rsidRPr="00D63213">
        <w:rPr>
          <w:rFonts w:eastAsia="Times New Roman"/>
          <w:vertAlign w:val="superscript"/>
        </w:rPr>
        <w:t>o</w:t>
      </w:r>
      <w:r w:rsidR="00646BF6">
        <w:rPr>
          <w:rFonts w:eastAsia="Times New Roman"/>
        </w:rPr>
        <w:t xml:space="preserve"> 268, </w:t>
      </w:r>
      <w:r w:rsidRPr="00240950">
        <w:rPr>
          <w:rFonts w:eastAsia="Times New Roman"/>
        </w:rPr>
        <w:t xml:space="preserve">décembre 2022, </w:t>
      </w:r>
      <w:bookmarkStart w:id="0" w:name="_Hlk181714103"/>
      <w:r w:rsidR="00646BF6">
        <w:fldChar w:fldCharType="begin"/>
      </w:r>
      <w:r w:rsidR="00646BF6">
        <w:instrText xml:space="preserve"> HYPERLINK "https://doi.org/10.4000/estampe.3641" </w:instrText>
      </w:r>
      <w:r w:rsidR="00646BF6">
        <w:fldChar w:fldCharType="separate"/>
      </w:r>
      <w:r w:rsidRPr="005B5ADD">
        <w:rPr>
          <w:rStyle w:val="Lienhypertexte"/>
        </w:rPr>
        <w:t>https</w:t>
      </w:r>
      <w:r w:rsidR="00653FFD" w:rsidRPr="005B5ADD">
        <w:rPr>
          <w:rStyle w:val="Lienhypertexte"/>
        </w:rPr>
        <w:t>://</w:t>
      </w:r>
      <w:r w:rsidRPr="005B5ADD">
        <w:rPr>
          <w:rStyle w:val="Lienhypertexte"/>
        </w:rPr>
        <w:t>doi.org/10.4000/estampe.3641</w:t>
      </w:r>
      <w:r w:rsidR="00646BF6">
        <w:rPr>
          <w:rStyle w:val="Lienhypertexte"/>
        </w:rPr>
        <w:fldChar w:fldCharType="end"/>
      </w:r>
      <w:r w:rsidRPr="005B5ADD">
        <w:t>.</w:t>
      </w:r>
      <w:bookmarkEnd w:id="0"/>
    </w:p>
  </w:footnote>
  <w:footnote w:id="32">
    <w:p w14:paraId="23141782" w14:textId="006F431B" w:rsidR="005B5ADD" w:rsidRPr="00240950" w:rsidRDefault="005B5ADD" w:rsidP="003D7703">
      <w:pPr>
        <w:pStyle w:val="Notedebasdepage"/>
      </w:pPr>
      <w:r w:rsidRPr="00240950">
        <w:rPr>
          <w:vertAlign w:val="superscript"/>
        </w:rPr>
        <w:footnoteRef/>
      </w:r>
      <w:r w:rsidRPr="00240950">
        <w:t xml:space="preserve"> Marcel </w:t>
      </w:r>
      <w:proofErr w:type="spellStart"/>
      <w:r w:rsidRPr="00240950">
        <w:t>Chossat</w:t>
      </w:r>
      <w:proofErr w:type="spellEnd"/>
      <w:r w:rsidRPr="00240950">
        <w:t xml:space="preserve">, </w:t>
      </w:r>
      <w:r w:rsidRPr="00240950">
        <w:rPr>
          <w:i/>
        </w:rPr>
        <w:t>Les Jésuites et leurs œuvres à Avignon</w:t>
      </w:r>
      <w:r>
        <w:t> </w:t>
      </w:r>
      <w:r w:rsidRPr="00240950">
        <w:rPr>
          <w:i/>
        </w:rPr>
        <w:t>: 1553-1768</w:t>
      </w:r>
      <w:r w:rsidRPr="00240950">
        <w:t>, Avignon, François Seguin, 1896,</w:t>
      </w:r>
      <w:r>
        <w:t xml:space="preserve"> p. </w:t>
      </w:r>
      <w:r w:rsidRPr="00240950">
        <w:t>116</w:t>
      </w:r>
      <w:r w:rsidR="003D7703">
        <w:t xml:space="preserve"> et </w:t>
      </w:r>
      <w:r w:rsidRPr="00240950">
        <w:t>117.</w:t>
      </w:r>
    </w:p>
  </w:footnote>
  <w:footnote w:id="33">
    <w:p w14:paraId="3FD01BD8" w14:textId="227ABEB2" w:rsidR="00116B1B" w:rsidRPr="00B65667" w:rsidRDefault="00116B1B" w:rsidP="003D7703">
      <w:pPr>
        <w:pStyle w:val="Notedebasdepage"/>
        <w:rPr>
          <w:lang w:val="en-GB"/>
        </w:rPr>
      </w:pPr>
      <w:r w:rsidRPr="00240950">
        <w:rPr>
          <w:vertAlign w:val="superscript"/>
        </w:rPr>
        <w:footnoteRef/>
      </w:r>
      <w:r w:rsidRPr="00B65667">
        <w:rPr>
          <w:lang w:val="en-GB"/>
        </w:rPr>
        <w:t xml:space="preserve"> </w:t>
      </w:r>
      <w:r w:rsidRPr="00B65667">
        <w:rPr>
          <w:i/>
          <w:lang w:val="en-GB"/>
        </w:rPr>
        <w:t>Ibid</w:t>
      </w:r>
      <w:r w:rsidRPr="00B65667">
        <w:rPr>
          <w:lang w:val="en-GB"/>
        </w:rPr>
        <w:t>,</w:t>
      </w:r>
      <w:r w:rsidR="00653FFD">
        <w:rPr>
          <w:lang w:val="en-GB"/>
        </w:rPr>
        <w:t xml:space="preserve"> p. </w:t>
      </w:r>
      <w:r w:rsidR="00653FFD" w:rsidRPr="00B65667">
        <w:rPr>
          <w:lang w:val="en-GB"/>
        </w:rPr>
        <w:t>1</w:t>
      </w:r>
      <w:r w:rsidRPr="00B65667">
        <w:rPr>
          <w:lang w:val="en-GB"/>
        </w:rPr>
        <w:t>17.</w:t>
      </w:r>
    </w:p>
  </w:footnote>
  <w:footnote w:id="34">
    <w:p w14:paraId="2DC90D74" w14:textId="44E54BF6" w:rsidR="00116B1B" w:rsidRPr="00B65667" w:rsidRDefault="00116B1B" w:rsidP="003D7703">
      <w:pPr>
        <w:pStyle w:val="Notedebasdepage"/>
        <w:rPr>
          <w:lang w:val="en-GB"/>
        </w:rPr>
      </w:pPr>
      <w:r w:rsidRPr="00240950">
        <w:rPr>
          <w:vertAlign w:val="superscript"/>
        </w:rPr>
        <w:footnoteRef/>
      </w:r>
      <w:r w:rsidRPr="00B65667">
        <w:rPr>
          <w:lang w:val="en-GB"/>
        </w:rPr>
        <w:t xml:space="preserve"> </w:t>
      </w:r>
      <w:r w:rsidR="003D7703">
        <w:rPr>
          <w:lang w:val="en-GB"/>
        </w:rPr>
        <w:t xml:space="preserve">Olivier </w:t>
      </w:r>
      <w:proofErr w:type="spellStart"/>
      <w:r w:rsidRPr="00B65667">
        <w:rPr>
          <w:lang w:val="en-GB"/>
        </w:rPr>
        <w:t>Rouchon</w:t>
      </w:r>
      <w:proofErr w:type="spellEnd"/>
      <w:r w:rsidRPr="00B65667">
        <w:rPr>
          <w:lang w:val="en-GB"/>
        </w:rPr>
        <w:t xml:space="preserve">, </w:t>
      </w:r>
      <w:r w:rsidR="003D7703">
        <w:rPr>
          <w:lang w:val="en-GB"/>
        </w:rPr>
        <w:t>a</w:t>
      </w:r>
      <w:r w:rsidR="00653FFD">
        <w:rPr>
          <w:lang w:val="en-GB"/>
        </w:rPr>
        <w:t>rt. </w:t>
      </w:r>
      <w:proofErr w:type="spellStart"/>
      <w:r w:rsidR="00653FFD">
        <w:rPr>
          <w:lang w:val="en-GB"/>
        </w:rPr>
        <w:t>cit</w:t>
      </w:r>
      <w:r w:rsidR="003D7703">
        <w:rPr>
          <w:lang w:val="en-GB"/>
        </w:rPr>
        <w:t>é</w:t>
      </w:r>
      <w:proofErr w:type="spellEnd"/>
      <w:r w:rsidR="00653FFD">
        <w:rPr>
          <w:lang w:val="en-GB"/>
        </w:rPr>
        <w:t>.</w:t>
      </w:r>
    </w:p>
  </w:footnote>
  <w:footnote w:id="35">
    <w:p w14:paraId="01B482B3" w14:textId="6F2245E3" w:rsidR="003D7703" w:rsidRPr="00240950" w:rsidRDefault="00116B1B" w:rsidP="003D7703">
      <w:pPr>
        <w:pStyle w:val="Notedebasdepage"/>
      </w:pPr>
      <w:r w:rsidRPr="00240950">
        <w:rPr>
          <w:vertAlign w:val="superscript"/>
        </w:rPr>
        <w:footnoteRef/>
      </w:r>
      <w:r w:rsidRPr="00240950">
        <w:t xml:space="preserve"> Pierre </w:t>
      </w:r>
      <w:proofErr w:type="spellStart"/>
      <w:r w:rsidRPr="00240950">
        <w:t>Charpenne</w:t>
      </w:r>
      <w:proofErr w:type="spellEnd"/>
      <w:r w:rsidRPr="00240950">
        <w:t xml:space="preserve">, </w:t>
      </w:r>
      <w:r w:rsidRPr="00240950">
        <w:rPr>
          <w:i/>
        </w:rPr>
        <w:t>Histoire de réunions temporaires d’Avignon et du Comtat Venaissin à la France</w:t>
      </w:r>
      <w:r w:rsidRPr="00240950">
        <w:t xml:space="preserve">, Paris, </w:t>
      </w:r>
      <w:proofErr w:type="spellStart"/>
      <w:r w:rsidRPr="00240950">
        <w:t>Calmann</w:t>
      </w:r>
      <w:proofErr w:type="spellEnd"/>
      <w:r w:rsidRPr="00240950">
        <w:t xml:space="preserve"> Lévy, 1886,</w:t>
      </w:r>
      <w:r w:rsidR="00653FFD">
        <w:t xml:space="preserve"> p. </w:t>
      </w:r>
      <w:r w:rsidR="00653FFD" w:rsidRPr="00240950">
        <w:t>6</w:t>
      </w:r>
      <w:r w:rsidRPr="00240950">
        <w:t>4.</w:t>
      </w:r>
    </w:p>
  </w:footnote>
  <w:footnote w:id="36">
    <w:p w14:paraId="048F87F1" w14:textId="6B460E30" w:rsidR="00116B1B" w:rsidRPr="00240950" w:rsidRDefault="00116B1B" w:rsidP="00F754B4">
      <w:pPr>
        <w:pStyle w:val="Notedebasdepage"/>
      </w:pPr>
      <w:r w:rsidRPr="00240950">
        <w:rPr>
          <w:vertAlign w:val="superscript"/>
        </w:rPr>
        <w:footnoteRef/>
      </w:r>
      <w:r w:rsidRPr="00240950">
        <w:t xml:space="preserve"> C</w:t>
      </w:r>
      <w:r w:rsidR="003D7703">
        <w:t>amille</w:t>
      </w:r>
      <w:r w:rsidRPr="00240950">
        <w:t xml:space="preserve"> </w:t>
      </w:r>
      <w:proofErr w:type="spellStart"/>
      <w:r w:rsidRPr="00240950">
        <w:t>Larraz</w:t>
      </w:r>
      <w:proofErr w:type="spellEnd"/>
      <w:r w:rsidRPr="00240950">
        <w:t xml:space="preserve">, </w:t>
      </w:r>
      <w:r w:rsidR="00653FFD" w:rsidRPr="00646BF6">
        <w:rPr>
          <w:i/>
        </w:rPr>
        <w:t>op. </w:t>
      </w:r>
      <w:proofErr w:type="spellStart"/>
      <w:proofErr w:type="gramStart"/>
      <w:r w:rsidR="00653FFD" w:rsidRPr="00646BF6">
        <w:rPr>
          <w:i/>
        </w:rPr>
        <w:t>cit</w:t>
      </w:r>
      <w:proofErr w:type="spellEnd"/>
      <w:proofErr w:type="gramEnd"/>
      <w:r w:rsidR="00653FFD">
        <w:rPr>
          <w:iCs/>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C7269262"/>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0CFF4CF5"/>
    <w:multiLevelType w:val="hybridMultilevel"/>
    <w:tmpl w:val="53C06C0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36463B6"/>
    <w:multiLevelType w:val="hybridMultilevel"/>
    <w:tmpl w:val="F6B0538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8870EB6"/>
    <w:multiLevelType w:val="hybridMultilevel"/>
    <w:tmpl w:val="16309BA2"/>
    <w:lvl w:ilvl="0" w:tplc="17323098">
      <w:start w:val="1"/>
      <w:numFmt w:val="bullet"/>
      <w:lvlText w:val=""/>
      <w:lvlJc w:val="left"/>
      <w:pPr>
        <w:ind w:left="785" w:hanging="360"/>
      </w:pPr>
      <w:rPr>
        <w:rFonts w:ascii="Wingdings" w:hAnsi="Wingdings" w:hint="default"/>
      </w:rPr>
    </w:lvl>
    <w:lvl w:ilvl="1" w:tplc="FC1450B8">
      <w:start w:val="1"/>
      <w:numFmt w:val="bullet"/>
      <w:lvlText w:val="o"/>
      <w:lvlJc w:val="left"/>
      <w:pPr>
        <w:ind w:left="1440" w:hanging="360"/>
      </w:pPr>
      <w:rPr>
        <w:rFonts w:ascii="Courier New" w:hAnsi="Courier New" w:hint="default"/>
      </w:rPr>
    </w:lvl>
    <w:lvl w:ilvl="2" w:tplc="EE442888">
      <w:start w:val="1"/>
      <w:numFmt w:val="bullet"/>
      <w:lvlText w:val=""/>
      <w:lvlJc w:val="left"/>
      <w:pPr>
        <w:ind w:left="2160" w:hanging="360"/>
      </w:pPr>
      <w:rPr>
        <w:rFonts w:ascii="Wingdings" w:hAnsi="Wingdings" w:hint="default"/>
      </w:rPr>
    </w:lvl>
    <w:lvl w:ilvl="3" w:tplc="E5302968">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A955FB0"/>
    <w:multiLevelType w:val="hybridMultilevel"/>
    <w:tmpl w:val="4BF0AE8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4BBA7330"/>
    <w:multiLevelType w:val="hybridMultilevel"/>
    <w:tmpl w:val="7C8A2F26"/>
    <w:lvl w:ilvl="0" w:tplc="E9A853A0">
      <w:start w:val="1"/>
      <w:numFmt w:val="decimal"/>
      <w:lvlRestart w:val="0"/>
      <w:lvlText w:val="%1."/>
      <w:lvlJc w:val="left"/>
      <w:pPr>
        <w:ind w:left="720" w:hanging="363"/>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51EA364B"/>
    <w:multiLevelType w:val="hybridMultilevel"/>
    <w:tmpl w:val="571E7F6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63F61794"/>
    <w:multiLevelType w:val="hybridMultilevel"/>
    <w:tmpl w:val="9814AE3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66D5472B"/>
    <w:multiLevelType w:val="hybridMultilevel"/>
    <w:tmpl w:val="20000614"/>
    <w:lvl w:ilvl="0" w:tplc="E9A853A0">
      <w:start w:val="1"/>
      <w:numFmt w:val="decimal"/>
      <w:lvlRestart w:val="0"/>
      <w:lvlText w:val="%1."/>
      <w:lvlJc w:val="left"/>
      <w:pPr>
        <w:ind w:left="720" w:hanging="363"/>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6C5E2D70"/>
    <w:multiLevelType w:val="hybridMultilevel"/>
    <w:tmpl w:val="5B042AEA"/>
    <w:lvl w:ilvl="0" w:tplc="A62C5900">
      <w:start w:val="1"/>
      <w:numFmt w:val="decimal"/>
      <w:lvlText w:val="%1."/>
      <w:lvlJc w:val="left"/>
      <w:pPr>
        <w:ind w:left="720" w:hanging="360"/>
      </w:pPr>
    </w:lvl>
    <w:lvl w:ilvl="1" w:tplc="964093E8">
      <w:start w:val="1"/>
      <w:numFmt w:val="lowerLetter"/>
      <w:lvlText w:val="%2."/>
      <w:lvlJc w:val="left"/>
      <w:pPr>
        <w:ind w:left="1440" w:hanging="360"/>
      </w:pPr>
    </w:lvl>
    <w:lvl w:ilvl="2" w:tplc="A368370E">
      <w:start w:val="1"/>
      <w:numFmt w:val="lowerRoman"/>
      <w:lvlText w:val="%3."/>
      <w:lvlJc w:val="right"/>
      <w:pPr>
        <w:ind w:left="2340" w:hanging="360"/>
      </w:pPr>
    </w:lvl>
    <w:lvl w:ilvl="3" w:tplc="3D101BC8">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9"/>
  </w:num>
  <w:num w:numId="2">
    <w:abstractNumId w:val="3"/>
  </w:num>
  <w:num w:numId="3">
    <w:abstractNumId w:val="7"/>
  </w:num>
  <w:num w:numId="4">
    <w:abstractNumId w:val="2"/>
  </w:num>
  <w:num w:numId="5">
    <w:abstractNumId w:val="0"/>
  </w:num>
  <w:num w:numId="6">
    <w:abstractNumId w:val="6"/>
  </w:num>
  <w:num w:numId="7">
    <w:abstractNumId w:val="5"/>
  </w:num>
  <w:num w:numId="8">
    <w:abstractNumId w:val="8"/>
  </w:num>
  <w:num w:numId="9">
    <w:abstractNumId w:val="1"/>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20"/>
  <w:proofState w:spelling="clean" w:grammar="clean"/>
  <w:attachedTemplate r:id="rId1"/>
  <w:linkStyles/>
  <w:defaultTabStop w:val="708"/>
  <w:hyphenationZone w:val="425"/>
  <w:characterSpacingControl w:val="doNotCompress"/>
  <w:hdrShapeDefaults>
    <o:shapedefaults v:ext="edit" spidmax="2867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B1B"/>
    <w:rsid w:val="000045C0"/>
    <w:rsid w:val="00025086"/>
    <w:rsid w:val="000469B2"/>
    <w:rsid w:val="00065B6C"/>
    <w:rsid w:val="000B71F6"/>
    <w:rsid w:val="00116B1B"/>
    <w:rsid w:val="002261FA"/>
    <w:rsid w:val="002A53B2"/>
    <w:rsid w:val="003055E3"/>
    <w:rsid w:val="003110FD"/>
    <w:rsid w:val="003B30B6"/>
    <w:rsid w:val="003D7703"/>
    <w:rsid w:val="003E135A"/>
    <w:rsid w:val="00440381"/>
    <w:rsid w:val="00587764"/>
    <w:rsid w:val="005B5ADD"/>
    <w:rsid w:val="005F6A0D"/>
    <w:rsid w:val="00646BF6"/>
    <w:rsid w:val="00653FFD"/>
    <w:rsid w:val="0075273F"/>
    <w:rsid w:val="007E312D"/>
    <w:rsid w:val="00900A01"/>
    <w:rsid w:val="00940AB8"/>
    <w:rsid w:val="00944BBE"/>
    <w:rsid w:val="00973278"/>
    <w:rsid w:val="00A148AB"/>
    <w:rsid w:val="00A22F35"/>
    <w:rsid w:val="00AD5822"/>
    <w:rsid w:val="00B00DB0"/>
    <w:rsid w:val="00B4133E"/>
    <w:rsid w:val="00B661C8"/>
    <w:rsid w:val="00BB41E6"/>
    <w:rsid w:val="00C76CCC"/>
    <w:rsid w:val="00D549DA"/>
    <w:rsid w:val="00D87F0B"/>
    <w:rsid w:val="00E413A5"/>
    <w:rsid w:val="00EB05DF"/>
    <w:rsid w:val="00F654A2"/>
    <w:rsid w:val="00F754B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8673"/>
    <o:shapelayout v:ext="edit">
      <o:idmap v:ext="edit" data="1"/>
    </o:shapelayout>
  </w:shapeDefaults>
  <w:decimalSymbol w:val=","/>
  <w:listSeparator w:val=";"/>
  <w14:docId w14:val="2148AC70"/>
  <w15:chartTrackingRefBased/>
  <w15:docId w15:val="{E7065979-F02E-4900-B921-2FBA869BE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5B6C"/>
    <w:pPr>
      <w:suppressAutoHyphens/>
      <w:spacing w:before="60" w:after="120" w:line="360" w:lineRule="auto"/>
      <w:jc w:val="both"/>
    </w:pPr>
    <w:rPr>
      <w:rFonts w:ascii="Calibri Light" w:eastAsia="MS Mincho" w:hAnsi="Calibri Light" w:cs="Calibri Light"/>
      <w:lang w:eastAsia="ar-SA"/>
    </w:rPr>
  </w:style>
  <w:style w:type="paragraph" w:styleId="Titre1">
    <w:name w:val="heading 1"/>
    <w:next w:val="Normal"/>
    <w:link w:val="Titre1Car"/>
    <w:qFormat/>
    <w:rsid w:val="00065B6C"/>
    <w:pPr>
      <w:keepNext/>
      <w:widowControl w:val="0"/>
      <w:suppressAutoHyphens/>
      <w:spacing w:after="320" w:line="240" w:lineRule="auto"/>
      <w:outlineLvl w:val="0"/>
    </w:pPr>
    <w:rPr>
      <w:rFonts w:ascii="Calibri" w:eastAsia="SimSun" w:hAnsi="Calibri" w:cs="Arial"/>
      <w:kern w:val="1"/>
      <w:sz w:val="40"/>
      <w:szCs w:val="32"/>
      <w:lang w:eastAsia="ar-LB" w:bidi="ar-LB"/>
    </w:rPr>
  </w:style>
  <w:style w:type="paragraph" w:styleId="Titre2">
    <w:name w:val="heading 2"/>
    <w:next w:val="Normal"/>
    <w:link w:val="Titre2Car"/>
    <w:qFormat/>
    <w:rsid w:val="00065B6C"/>
    <w:pPr>
      <w:keepNext/>
      <w:widowControl w:val="0"/>
      <w:suppressAutoHyphens/>
      <w:spacing w:before="240" w:after="240" w:line="240" w:lineRule="auto"/>
      <w:outlineLvl w:val="1"/>
    </w:pPr>
    <w:rPr>
      <w:rFonts w:ascii="Calibri" w:eastAsia="SimSun" w:hAnsi="Calibri" w:cs="Arial"/>
      <w:sz w:val="36"/>
      <w:szCs w:val="28"/>
      <w:lang w:eastAsia="ar-LB" w:bidi="ar-LB"/>
    </w:rPr>
  </w:style>
  <w:style w:type="paragraph" w:styleId="Titre3">
    <w:name w:val="heading 3"/>
    <w:next w:val="Normal"/>
    <w:link w:val="Titre3Car"/>
    <w:qFormat/>
    <w:rsid w:val="00065B6C"/>
    <w:pPr>
      <w:keepNext/>
      <w:widowControl w:val="0"/>
      <w:suppressAutoHyphens/>
      <w:spacing w:before="240" w:after="240" w:line="240" w:lineRule="auto"/>
      <w:outlineLvl w:val="2"/>
    </w:pPr>
    <w:rPr>
      <w:rFonts w:ascii="Calibri" w:eastAsia="SimSun" w:hAnsi="Calibri" w:cs="Calibri"/>
      <w:sz w:val="32"/>
      <w:szCs w:val="32"/>
      <w:lang w:eastAsia="ar-LB" w:bidi="ar-LB"/>
    </w:rPr>
  </w:style>
  <w:style w:type="paragraph" w:styleId="Titre4">
    <w:name w:val="heading 4"/>
    <w:next w:val="Normal"/>
    <w:link w:val="Titre4Car"/>
    <w:qFormat/>
    <w:rsid w:val="00065B6C"/>
    <w:pPr>
      <w:keepNext/>
      <w:widowControl w:val="0"/>
      <w:suppressAutoHyphens/>
      <w:spacing w:before="240" w:after="240" w:line="240" w:lineRule="auto"/>
      <w:outlineLvl w:val="3"/>
    </w:pPr>
    <w:rPr>
      <w:rFonts w:ascii="Calibri" w:eastAsia="SimSun" w:hAnsi="Calibri" w:cs="Baghdad"/>
      <w:sz w:val="28"/>
      <w:szCs w:val="28"/>
      <w:lang w:eastAsia="ar-LB" w:bidi="ar-LB"/>
    </w:rPr>
  </w:style>
  <w:style w:type="paragraph" w:styleId="Titre5">
    <w:name w:val="heading 5"/>
    <w:basedOn w:val="Normal"/>
    <w:next w:val="Normal"/>
    <w:link w:val="Titre5Car"/>
    <w:qFormat/>
    <w:rsid w:val="00065B6C"/>
    <w:pPr>
      <w:spacing w:before="240" w:after="240" w:line="240" w:lineRule="auto"/>
      <w:jc w:val="left"/>
      <w:outlineLvl w:val="4"/>
    </w:pPr>
    <w:rPr>
      <w:rFonts w:ascii="Calibri" w:hAnsi="Calibri"/>
      <w:sz w:val="24"/>
      <w:szCs w:val="26"/>
    </w:rPr>
  </w:style>
  <w:style w:type="paragraph" w:styleId="Titre6">
    <w:name w:val="heading 6"/>
    <w:basedOn w:val="Normal"/>
    <w:next w:val="Normal"/>
    <w:link w:val="Titre6Car"/>
    <w:uiPriority w:val="9"/>
    <w:unhideWhenUsed/>
    <w:qFormat/>
    <w:rsid w:val="00065B6C"/>
    <w:pPr>
      <w:spacing w:before="240" w:after="240" w:line="240" w:lineRule="auto"/>
      <w:outlineLvl w:val="5"/>
    </w:pPr>
    <w:rPr>
      <w:rFonts w:ascii="Calibri" w:hAnsi="Calibri" w:cs="Times New Roman"/>
      <w:bCs/>
    </w:rPr>
  </w:style>
  <w:style w:type="paragraph" w:styleId="Titre7">
    <w:name w:val="heading 7"/>
    <w:basedOn w:val="Normal"/>
    <w:next w:val="Normal"/>
    <w:link w:val="Titre7Car"/>
    <w:uiPriority w:val="9"/>
    <w:unhideWhenUsed/>
    <w:qFormat/>
    <w:rsid w:val="00065B6C"/>
    <w:pPr>
      <w:spacing w:line="240" w:lineRule="auto"/>
      <w:outlineLvl w:val="6"/>
    </w:pPr>
    <w:rPr>
      <w:rFonts w:ascii="Calibri" w:hAnsi="Calibri" w:cs="Times New Roman"/>
    </w:rPr>
  </w:style>
  <w:style w:type="paragraph" w:styleId="Titre8">
    <w:name w:val="heading 8"/>
    <w:basedOn w:val="Normal"/>
    <w:next w:val="Normal"/>
    <w:link w:val="Titre8Car"/>
    <w:uiPriority w:val="9"/>
    <w:unhideWhenUsed/>
    <w:qFormat/>
    <w:rsid w:val="00065B6C"/>
    <w:pPr>
      <w:spacing w:line="240" w:lineRule="auto"/>
      <w:outlineLvl w:val="7"/>
    </w:pPr>
    <w:rPr>
      <w:rFonts w:ascii="Calibri" w:hAnsi="Calibri" w:cs="Times New Roman"/>
      <w:i/>
      <w:iCs/>
    </w:rPr>
  </w:style>
  <w:style w:type="paragraph" w:styleId="Titre9">
    <w:name w:val="heading 9"/>
    <w:basedOn w:val="Normal"/>
    <w:next w:val="Normal"/>
    <w:link w:val="Titre9Car"/>
    <w:uiPriority w:val="9"/>
    <w:unhideWhenUsed/>
    <w:qFormat/>
    <w:rsid w:val="00065B6C"/>
    <w:pPr>
      <w:spacing w:line="240" w:lineRule="auto"/>
      <w:outlineLvl w:val="8"/>
    </w:pPr>
    <w:rPr>
      <w:rFonts w:eastAsia="MS Gothic" w:cs="Times New Roman"/>
      <w:i/>
    </w:rPr>
  </w:style>
  <w:style w:type="character" w:default="1" w:styleId="Policepardfaut">
    <w:name w:val="Default Paragraph Font"/>
    <w:uiPriority w:val="1"/>
    <w:semiHidden/>
    <w:unhideWhenUsed/>
    <w:rsid w:val="00065B6C"/>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rsid w:val="00065B6C"/>
  </w:style>
  <w:style w:type="paragraph" w:styleId="Notedebasdepage">
    <w:name w:val="footnote text"/>
    <w:aliases w:val="Footnotes"/>
    <w:basedOn w:val="Normal"/>
    <w:link w:val="NotedebasdepageCar"/>
    <w:rsid w:val="00065B6C"/>
    <w:pPr>
      <w:spacing w:line="240" w:lineRule="auto"/>
    </w:pPr>
    <w:rPr>
      <w:sz w:val="20"/>
    </w:rPr>
  </w:style>
  <w:style w:type="character" w:customStyle="1" w:styleId="NotedebasdepageCar">
    <w:name w:val="Note de bas de page Car"/>
    <w:aliases w:val="Footnotes Car"/>
    <w:link w:val="Notedebasdepage"/>
    <w:rsid w:val="00065B6C"/>
    <w:rPr>
      <w:rFonts w:ascii="Calibri Light" w:eastAsia="MS Mincho" w:hAnsi="Calibri Light" w:cs="Calibri Light"/>
      <w:sz w:val="20"/>
      <w:lang w:eastAsia="ar-SA"/>
    </w:rPr>
  </w:style>
  <w:style w:type="character" w:styleId="Appelnotedebasdep">
    <w:name w:val="footnote reference"/>
    <w:aliases w:val="Poznamky"/>
    <w:basedOn w:val="Policepardfaut"/>
    <w:uiPriority w:val="99"/>
    <w:unhideWhenUsed/>
    <w:rsid w:val="00065B6C"/>
    <w:rPr>
      <w:vertAlign w:val="superscript"/>
    </w:rPr>
  </w:style>
  <w:style w:type="character" w:styleId="Lienhypertexte">
    <w:name w:val="Hyperlink"/>
    <w:basedOn w:val="Policepardfaut"/>
    <w:unhideWhenUsed/>
    <w:rsid w:val="00116B1B"/>
    <w:rPr>
      <w:rFonts w:cs="Times New Roman"/>
      <w:color w:val="0000FF"/>
      <w:u w:val="single"/>
    </w:rPr>
  </w:style>
  <w:style w:type="character" w:customStyle="1" w:styleId="Titre1Car">
    <w:name w:val="Titre 1 Car"/>
    <w:link w:val="Titre1"/>
    <w:rsid w:val="00065B6C"/>
    <w:rPr>
      <w:rFonts w:ascii="Calibri" w:eastAsia="SimSun" w:hAnsi="Calibri" w:cs="Arial"/>
      <w:kern w:val="1"/>
      <w:sz w:val="40"/>
      <w:szCs w:val="32"/>
      <w:lang w:eastAsia="ar-LB" w:bidi="ar-LB"/>
    </w:rPr>
  </w:style>
  <w:style w:type="character" w:customStyle="1" w:styleId="Titre2Car">
    <w:name w:val="Titre 2 Car"/>
    <w:link w:val="Titre2"/>
    <w:rsid w:val="00065B6C"/>
    <w:rPr>
      <w:rFonts w:ascii="Calibri" w:eastAsia="SimSun" w:hAnsi="Calibri" w:cs="Arial"/>
      <w:sz w:val="36"/>
      <w:szCs w:val="28"/>
      <w:lang w:eastAsia="ar-LB" w:bidi="ar-LB"/>
    </w:rPr>
  </w:style>
  <w:style w:type="character" w:customStyle="1" w:styleId="Titre3Car">
    <w:name w:val="Titre 3 Car"/>
    <w:link w:val="Titre3"/>
    <w:rsid w:val="00065B6C"/>
    <w:rPr>
      <w:rFonts w:ascii="Calibri" w:eastAsia="SimSun" w:hAnsi="Calibri" w:cs="Calibri"/>
      <w:sz w:val="32"/>
      <w:szCs w:val="32"/>
      <w:lang w:eastAsia="ar-LB" w:bidi="ar-LB"/>
    </w:rPr>
  </w:style>
  <w:style w:type="character" w:customStyle="1" w:styleId="Titre4Car">
    <w:name w:val="Titre 4 Car"/>
    <w:link w:val="Titre4"/>
    <w:rsid w:val="00065B6C"/>
    <w:rPr>
      <w:rFonts w:ascii="Calibri" w:eastAsia="SimSun" w:hAnsi="Calibri" w:cs="Baghdad"/>
      <w:sz w:val="28"/>
      <w:szCs w:val="28"/>
      <w:lang w:eastAsia="ar-LB" w:bidi="ar-LB"/>
    </w:rPr>
  </w:style>
  <w:style w:type="character" w:customStyle="1" w:styleId="Titre5Car">
    <w:name w:val="Titre 5 Car"/>
    <w:link w:val="Titre5"/>
    <w:rsid w:val="00065B6C"/>
    <w:rPr>
      <w:rFonts w:ascii="Calibri" w:eastAsia="MS Mincho" w:hAnsi="Calibri" w:cs="Calibri Light"/>
      <w:sz w:val="24"/>
      <w:szCs w:val="26"/>
      <w:lang w:eastAsia="ar-SA"/>
    </w:rPr>
  </w:style>
  <w:style w:type="character" w:customStyle="1" w:styleId="Titre6Car">
    <w:name w:val="Titre 6 Car"/>
    <w:link w:val="Titre6"/>
    <w:uiPriority w:val="9"/>
    <w:rsid w:val="00065B6C"/>
    <w:rPr>
      <w:rFonts w:ascii="Calibri" w:eastAsia="MS Mincho" w:hAnsi="Calibri" w:cs="Times New Roman"/>
      <w:bCs/>
      <w:lang w:eastAsia="ar-SA"/>
    </w:rPr>
  </w:style>
  <w:style w:type="character" w:customStyle="1" w:styleId="Titre7Car">
    <w:name w:val="Titre 7 Car"/>
    <w:link w:val="Titre7"/>
    <w:uiPriority w:val="9"/>
    <w:rsid w:val="00065B6C"/>
    <w:rPr>
      <w:rFonts w:ascii="Calibri" w:eastAsia="MS Mincho" w:hAnsi="Calibri" w:cs="Times New Roman"/>
      <w:lang w:eastAsia="ar-SA"/>
    </w:rPr>
  </w:style>
  <w:style w:type="character" w:customStyle="1" w:styleId="Titre8Car">
    <w:name w:val="Titre 8 Car"/>
    <w:link w:val="Titre8"/>
    <w:uiPriority w:val="9"/>
    <w:rsid w:val="00065B6C"/>
    <w:rPr>
      <w:rFonts w:ascii="Calibri" w:eastAsia="MS Mincho" w:hAnsi="Calibri" w:cs="Times New Roman"/>
      <w:i/>
      <w:iCs/>
      <w:lang w:eastAsia="ar-SA"/>
    </w:rPr>
  </w:style>
  <w:style w:type="character" w:customStyle="1" w:styleId="Titre9Car">
    <w:name w:val="Titre 9 Car"/>
    <w:link w:val="Titre9"/>
    <w:uiPriority w:val="9"/>
    <w:rsid w:val="00065B6C"/>
    <w:rPr>
      <w:rFonts w:ascii="Calibri Light" w:eastAsia="MS Gothic" w:hAnsi="Calibri Light" w:cs="Times New Roman"/>
      <w:i/>
      <w:lang w:eastAsia="ar-SA"/>
    </w:rPr>
  </w:style>
  <w:style w:type="paragraph" w:styleId="Notedefin">
    <w:name w:val="endnote text"/>
    <w:basedOn w:val="Normal"/>
    <w:link w:val="NotedefinCar"/>
    <w:rsid w:val="00065B6C"/>
  </w:style>
  <w:style w:type="character" w:customStyle="1" w:styleId="NotedefinCar">
    <w:name w:val="Note de fin Car"/>
    <w:link w:val="Notedefin"/>
    <w:rsid w:val="00065B6C"/>
    <w:rPr>
      <w:rFonts w:ascii="Calibri Light" w:eastAsia="MS Mincho" w:hAnsi="Calibri Light" w:cs="Calibri Light"/>
      <w:lang w:eastAsia="ar-SA"/>
    </w:rPr>
  </w:style>
  <w:style w:type="paragraph" w:customStyle="1" w:styleId="Titre2-sous-rubrique">
    <w:name w:val="Titre 2-sous-rubrique"/>
    <w:rsid w:val="00065B6C"/>
    <w:pPr>
      <w:spacing w:before="360" w:after="240" w:line="240" w:lineRule="auto"/>
    </w:pPr>
    <w:rPr>
      <w:rFonts w:ascii="Calibri" w:eastAsia="SimSun" w:hAnsi="Calibri" w:cs="Cambria"/>
      <w:bCs/>
      <w:sz w:val="36"/>
      <w:szCs w:val="28"/>
      <w:lang w:eastAsia="ar-SA"/>
    </w:rPr>
  </w:style>
  <w:style w:type="character" w:customStyle="1" w:styleId="TEIquote-inline">
    <w:name w:val="TEI_quote-inline"/>
    <w:uiPriority w:val="1"/>
    <w:qFormat/>
    <w:rsid w:val="00065B6C"/>
    <w:rPr>
      <w:i w:val="0"/>
      <w:color w:val="A8D08D" w:themeColor="accent6" w:themeTint="99"/>
    </w:rPr>
  </w:style>
  <w:style w:type="paragraph" w:styleId="Titre">
    <w:name w:val="Title"/>
    <w:basedOn w:val="Normal"/>
    <w:next w:val="Normal"/>
    <w:link w:val="TitreCar"/>
    <w:autoRedefine/>
    <w:uiPriority w:val="10"/>
    <w:qFormat/>
    <w:rsid w:val="00065B6C"/>
    <w:rPr>
      <w:rFonts w:asciiTheme="minorHAnsi" w:eastAsiaTheme="majorEastAsia" w:hAnsiTheme="minorHAnsi" w:cstheme="majorBidi"/>
      <w:spacing w:val="-10"/>
      <w:sz w:val="56"/>
      <w:szCs w:val="56"/>
    </w:rPr>
  </w:style>
  <w:style w:type="character" w:customStyle="1" w:styleId="TitreCar">
    <w:name w:val="Titre Car"/>
    <w:basedOn w:val="Policepardfaut"/>
    <w:link w:val="Titre"/>
    <w:uiPriority w:val="10"/>
    <w:rsid w:val="00065B6C"/>
    <w:rPr>
      <w:rFonts w:eastAsiaTheme="majorEastAsia" w:cstheme="majorBidi"/>
      <w:spacing w:val="-10"/>
      <w:sz w:val="56"/>
      <w:szCs w:val="56"/>
      <w:lang w:eastAsia="ar-SA"/>
    </w:rPr>
  </w:style>
  <w:style w:type="paragraph" w:styleId="Sous-titre">
    <w:name w:val="Subtitle"/>
    <w:basedOn w:val="Normal"/>
    <w:next w:val="Normal"/>
    <w:link w:val="Sous-titreCar"/>
    <w:uiPriority w:val="11"/>
    <w:qFormat/>
    <w:rsid w:val="00065B6C"/>
    <w:pPr>
      <w:numPr>
        <w:ilvl w:val="1"/>
      </w:numPr>
    </w:pPr>
    <w:rPr>
      <w:rFonts w:asciiTheme="majorHAnsi" w:eastAsiaTheme="majorEastAsia" w:hAnsiTheme="majorHAnsi" w:cstheme="majorBidi"/>
    </w:rPr>
  </w:style>
  <w:style w:type="character" w:customStyle="1" w:styleId="Sous-titreCar">
    <w:name w:val="Sous-titre Car"/>
    <w:basedOn w:val="Policepardfaut"/>
    <w:link w:val="Sous-titre"/>
    <w:uiPriority w:val="11"/>
    <w:rsid w:val="00065B6C"/>
    <w:rPr>
      <w:rFonts w:asciiTheme="majorHAnsi" w:eastAsiaTheme="majorEastAsia" w:hAnsiTheme="majorHAnsi" w:cstheme="majorBidi"/>
      <w:lang w:eastAsia="ar-SA"/>
    </w:rPr>
  </w:style>
  <w:style w:type="paragraph" w:styleId="Citation">
    <w:name w:val="Quote"/>
    <w:basedOn w:val="Normal"/>
    <w:next w:val="Normal"/>
    <w:link w:val="CitationCar"/>
    <w:uiPriority w:val="29"/>
    <w:qFormat/>
    <w:rsid w:val="00065B6C"/>
    <w:pPr>
      <w:spacing w:before="160"/>
      <w:ind w:left="720" w:right="720"/>
    </w:pPr>
    <w:rPr>
      <w:i/>
      <w:iCs/>
      <w:color w:val="404040" w:themeColor="text1" w:themeTint="BF"/>
    </w:rPr>
  </w:style>
  <w:style w:type="character" w:customStyle="1" w:styleId="CitationCar">
    <w:name w:val="Citation Car"/>
    <w:basedOn w:val="Policepardfaut"/>
    <w:link w:val="Citation"/>
    <w:uiPriority w:val="29"/>
    <w:rsid w:val="00065B6C"/>
    <w:rPr>
      <w:rFonts w:ascii="Calibri Light" w:eastAsia="MS Mincho" w:hAnsi="Calibri Light" w:cs="Calibri Light"/>
      <w:i/>
      <w:iCs/>
      <w:color w:val="404040" w:themeColor="text1" w:themeTint="BF"/>
      <w:lang w:eastAsia="ar-SA"/>
    </w:rPr>
  </w:style>
  <w:style w:type="paragraph" w:styleId="Citationintense">
    <w:name w:val="Intense Quote"/>
    <w:basedOn w:val="Normal"/>
    <w:next w:val="Normal"/>
    <w:link w:val="CitationintenseCar"/>
    <w:uiPriority w:val="30"/>
    <w:qFormat/>
    <w:rsid w:val="00065B6C"/>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CitationintenseCar">
    <w:name w:val="Citation intense Car"/>
    <w:basedOn w:val="Policepardfaut"/>
    <w:link w:val="Citationintense"/>
    <w:uiPriority w:val="30"/>
    <w:rsid w:val="00065B6C"/>
    <w:rPr>
      <w:rFonts w:asciiTheme="majorHAnsi" w:eastAsiaTheme="majorEastAsia" w:hAnsiTheme="majorHAnsi" w:cstheme="majorBidi"/>
      <w:color w:val="4472C4" w:themeColor="accent1"/>
      <w:sz w:val="28"/>
      <w:szCs w:val="28"/>
      <w:lang w:eastAsia="ar-SA"/>
    </w:rPr>
  </w:style>
  <w:style w:type="character" w:styleId="Appeldenotedefin">
    <w:name w:val="endnote reference"/>
    <w:basedOn w:val="Policepardfaut"/>
    <w:uiPriority w:val="99"/>
    <w:semiHidden/>
    <w:unhideWhenUsed/>
    <w:rsid w:val="00065B6C"/>
    <w:rPr>
      <w:vertAlign w:val="superscript"/>
    </w:rPr>
  </w:style>
  <w:style w:type="paragraph" w:styleId="Paragraphedeliste">
    <w:name w:val="List Paragraph"/>
    <w:basedOn w:val="Normal"/>
    <w:uiPriority w:val="34"/>
    <w:qFormat/>
    <w:rsid w:val="00065B6C"/>
    <w:pPr>
      <w:ind w:left="720"/>
    </w:pPr>
  </w:style>
  <w:style w:type="paragraph" w:styleId="Listepuces">
    <w:name w:val="List Bullet"/>
    <w:basedOn w:val="Normal"/>
    <w:uiPriority w:val="99"/>
    <w:unhideWhenUsed/>
    <w:rsid w:val="00065B6C"/>
    <w:pPr>
      <w:numPr>
        <w:numId w:val="5"/>
      </w:numPr>
    </w:pPr>
  </w:style>
  <w:style w:type="paragraph" w:customStyle="1" w:styleId="Titre2-rubrique">
    <w:name w:val="Titre 2-rubrique"/>
    <w:basedOn w:val="Titre2"/>
    <w:autoRedefine/>
    <w:qFormat/>
    <w:rsid w:val="00065B6C"/>
    <w:pPr>
      <w:spacing w:before="300" w:after="200" w:line="300" w:lineRule="exact"/>
      <w:ind w:firstLine="284"/>
    </w:pPr>
    <w:rPr>
      <w:rFonts w:ascii="Minion Pro" w:hAnsi="Minion Pro" w:cs="Cambria"/>
      <w:b/>
      <w:sz w:val="32"/>
      <w:lang w:eastAsia="ar-SA" w:bidi="ar-SA"/>
    </w:rPr>
  </w:style>
  <w:style w:type="paragraph" w:customStyle="1" w:styleId="Titre3-notice">
    <w:name w:val="Titre 3-notice"/>
    <w:basedOn w:val="Titre3"/>
    <w:qFormat/>
    <w:rsid w:val="00065B6C"/>
    <w:pPr>
      <w:spacing w:before="200" w:after="0" w:line="276" w:lineRule="auto"/>
      <w:ind w:firstLine="284"/>
    </w:pPr>
    <w:rPr>
      <w:rFonts w:ascii="Minion Pro" w:hAnsi="Minion Pro"/>
      <w:sz w:val="28"/>
      <w:szCs w:val="20"/>
    </w:rPr>
  </w:style>
  <w:style w:type="paragraph" w:customStyle="1" w:styleId="TEItitlesup">
    <w:name w:val="TEI_title:sup"/>
    <w:qFormat/>
    <w:rsid w:val="00065B6C"/>
    <w:pPr>
      <w:spacing w:after="0" w:line="240" w:lineRule="auto"/>
    </w:pPr>
    <w:rPr>
      <w:rFonts w:eastAsia="SimSun" w:cs="Arial"/>
      <w:kern w:val="1"/>
      <w:sz w:val="32"/>
      <w:szCs w:val="32"/>
      <w:lang w:eastAsia="ar-LB" w:bidi="ar-LB"/>
    </w:rPr>
  </w:style>
  <w:style w:type="paragraph" w:customStyle="1" w:styleId="TEItitlesub">
    <w:name w:val="TEI_title:sub"/>
    <w:rsid w:val="00065B6C"/>
    <w:pPr>
      <w:suppressAutoHyphens/>
      <w:spacing w:before="120" w:after="120" w:line="240" w:lineRule="auto"/>
    </w:pPr>
    <w:rPr>
      <w:rFonts w:eastAsia="Times New Roman" w:cs="Arial"/>
      <w:kern w:val="1"/>
      <w:sz w:val="32"/>
      <w:szCs w:val="32"/>
      <w:lang w:eastAsia="ar-SA"/>
    </w:rPr>
  </w:style>
  <w:style w:type="paragraph" w:customStyle="1" w:styleId="TEIacknowledgment">
    <w:name w:val="TEI_acknowledgment"/>
    <w:rsid w:val="00065B6C"/>
    <w:pPr>
      <w:suppressAutoHyphens/>
      <w:spacing w:before="120" w:after="120" w:line="240" w:lineRule="auto"/>
      <w:ind w:left="1134"/>
      <w:jc w:val="right"/>
    </w:pPr>
    <w:rPr>
      <w:rFonts w:ascii="Calibri Light" w:eastAsia="Times New Roman" w:hAnsi="Calibri Light" w:cs="Times"/>
      <w:kern w:val="1"/>
      <w:szCs w:val="32"/>
      <w:lang w:eastAsia="ar-SA"/>
    </w:rPr>
  </w:style>
  <w:style w:type="paragraph" w:customStyle="1" w:styleId="TEIparagraphbreak">
    <w:name w:val="TEI_paragraph_break"/>
    <w:rsid w:val="00065B6C"/>
    <w:pPr>
      <w:suppressAutoHyphens/>
      <w:spacing w:before="360" w:after="360" w:line="240" w:lineRule="auto"/>
      <w:jc w:val="center"/>
    </w:pPr>
    <w:rPr>
      <w:rFonts w:ascii="Calibri Light" w:eastAsia="Times New Roman" w:hAnsi="Calibri Light" w:cs="Arial"/>
      <w:kern w:val="1"/>
      <w:szCs w:val="32"/>
      <w:lang w:eastAsia="ar-SA"/>
    </w:rPr>
  </w:style>
  <w:style w:type="paragraph" w:customStyle="1" w:styleId="TEIdedication">
    <w:name w:val="TEI_dedication"/>
    <w:rsid w:val="00065B6C"/>
    <w:pPr>
      <w:suppressAutoHyphens/>
      <w:spacing w:before="240" w:after="240" w:line="240" w:lineRule="auto"/>
      <w:ind w:left="1134"/>
      <w:jc w:val="right"/>
    </w:pPr>
    <w:rPr>
      <w:rFonts w:ascii="Calibri Light" w:eastAsia="MS Mincho" w:hAnsi="Calibri Light" w:cs="Minion Pro"/>
      <w:szCs w:val="24"/>
      <w:lang w:eastAsia="ar-SA"/>
    </w:rPr>
  </w:style>
  <w:style w:type="paragraph" w:customStyle="1" w:styleId="TEIepigraph">
    <w:name w:val="TEI_epigraph"/>
    <w:rsid w:val="00065B6C"/>
    <w:pPr>
      <w:suppressAutoHyphens/>
      <w:spacing w:before="240" w:after="360" w:line="240" w:lineRule="auto"/>
      <w:ind w:right="2268"/>
      <w:jc w:val="both"/>
    </w:pPr>
    <w:rPr>
      <w:rFonts w:ascii="Calibri Light" w:eastAsia="Times New Roman" w:hAnsi="Calibri Light" w:cs="Times New Roman"/>
      <w:lang w:eastAsia="ar-SA"/>
    </w:rPr>
  </w:style>
  <w:style w:type="paragraph" w:customStyle="1" w:styleId="TEIfiguretitle">
    <w:name w:val="TEI_figure_title"/>
    <w:rsid w:val="00065B6C"/>
    <w:pPr>
      <w:suppressAutoHyphens/>
      <w:spacing w:before="120" w:after="120" w:line="240" w:lineRule="auto"/>
      <w:jc w:val="center"/>
    </w:pPr>
    <w:rPr>
      <w:rFonts w:asciiTheme="majorHAnsi" w:eastAsia="Times New Roman" w:hAnsiTheme="majorHAnsi" w:cs="Junicode"/>
      <w:color w:val="000000" w:themeColor="text1"/>
      <w:szCs w:val="20"/>
      <w:lang w:eastAsia="ar-SA"/>
    </w:rPr>
  </w:style>
  <w:style w:type="paragraph" w:customStyle="1" w:styleId="TEIfigurecaption">
    <w:name w:val="TEI_figure_caption"/>
    <w:rsid w:val="00065B6C"/>
    <w:pPr>
      <w:suppressAutoHyphens/>
      <w:spacing w:before="120" w:after="120" w:line="240" w:lineRule="auto"/>
      <w:jc w:val="center"/>
    </w:pPr>
    <w:rPr>
      <w:rFonts w:ascii="Calibri Light" w:eastAsia="Times New Roman" w:hAnsi="Calibri Light" w:cs="Junicode"/>
      <w:szCs w:val="20"/>
      <w:lang w:eastAsia="ar-SA"/>
    </w:rPr>
  </w:style>
  <w:style w:type="paragraph" w:customStyle="1" w:styleId="TEIfigurecredits">
    <w:name w:val="TEI_figure_credits"/>
    <w:qFormat/>
    <w:rsid w:val="00065B6C"/>
    <w:pPr>
      <w:spacing w:before="120" w:after="120" w:line="240" w:lineRule="auto"/>
      <w:jc w:val="center"/>
    </w:pPr>
    <w:rPr>
      <w:rFonts w:ascii="Calibri Light" w:eastAsia="SimSun" w:hAnsi="Calibri Light" w:cs="Arial"/>
      <w:kern w:val="1"/>
      <w:szCs w:val="32"/>
      <w:lang w:eastAsia="ar-LB" w:bidi="ar-LB"/>
    </w:rPr>
  </w:style>
  <w:style w:type="paragraph" w:customStyle="1" w:styleId="TEIcell">
    <w:name w:val="TEI_cell"/>
    <w:rsid w:val="00065B6C"/>
    <w:pPr>
      <w:suppressAutoHyphens/>
      <w:spacing w:after="0" w:line="240" w:lineRule="auto"/>
    </w:pPr>
    <w:rPr>
      <w:rFonts w:ascii="Myriad Pro" w:eastAsia="Times New Roman" w:hAnsi="Myriad Pro" w:cs="Times New Roman"/>
      <w:sz w:val="20"/>
      <w:szCs w:val="20"/>
      <w:lang w:eastAsia="ar-SA"/>
    </w:rPr>
  </w:style>
  <w:style w:type="paragraph" w:customStyle="1" w:styleId="TEIauthorityaffiliation">
    <w:name w:val="TEI_authority_affiliation"/>
    <w:qFormat/>
    <w:rsid w:val="00065B6C"/>
    <w:pPr>
      <w:pBdr>
        <w:right w:val="single" w:sz="4" w:space="4" w:color="auto"/>
      </w:pBdr>
      <w:spacing w:before="60" w:after="60" w:line="240" w:lineRule="auto"/>
      <w:jc w:val="right"/>
    </w:pPr>
    <w:rPr>
      <w:rFonts w:asciiTheme="majorHAnsi" w:eastAsia="MS Mincho" w:hAnsiTheme="majorHAnsi" w:cs="Cambria"/>
      <w:szCs w:val="26"/>
      <w:lang w:eastAsia="ar-SA"/>
    </w:rPr>
  </w:style>
  <w:style w:type="paragraph" w:customStyle="1" w:styleId="TEIauthoritymail">
    <w:name w:val="TEI_authority_mail"/>
    <w:rsid w:val="00065B6C"/>
    <w:pPr>
      <w:pBdr>
        <w:right w:val="single" w:sz="4" w:space="4" w:color="auto"/>
      </w:pBdr>
      <w:suppressAutoHyphens/>
      <w:spacing w:after="0" w:line="240" w:lineRule="auto"/>
      <w:jc w:val="right"/>
    </w:pPr>
    <w:rPr>
      <w:rFonts w:asciiTheme="majorHAnsi" w:eastAsia="Times New Roman" w:hAnsiTheme="majorHAnsi" w:cs="Arial"/>
      <w:kern w:val="1"/>
      <w:sz w:val="21"/>
      <w:szCs w:val="32"/>
      <w:lang w:eastAsia="ar-SA"/>
    </w:rPr>
  </w:style>
  <w:style w:type="paragraph" w:customStyle="1" w:styleId="TEIkeywords">
    <w:name w:val="TEI_keywords"/>
    <w:rsid w:val="00065B6C"/>
    <w:pPr>
      <w:suppressAutoHyphens/>
      <w:spacing w:before="240" w:after="120" w:line="240" w:lineRule="auto"/>
      <w:ind w:left="284"/>
    </w:pPr>
    <w:rPr>
      <w:rFonts w:asciiTheme="majorHAnsi" w:eastAsia="Times New Roman" w:hAnsiTheme="majorHAnsi" w:cs="Minion Pro"/>
      <w:szCs w:val="20"/>
      <w:lang w:eastAsia="ar-SA"/>
    </w:rPr>
  </w:style>
  <w:style w:type="paragraph" w:customStyle="1" w:styleId="TEIabstract">
    <w:name w:val="TEI_abstract"/>
    <w:rsid w:val="00065B6C"/>
    <w:pPr>
      <w:suppressAutoHyphens/>
      <w:spacing w:before="240" w:after="240" w:line="240" w:lineRule="auto"/>
      <w:ind w:left="284"/>
    </w:pPr>
    <w:rPr>
      <w:rFonts w:asciiTheme="majorHAnsi" w:eastAsia="Times New Roman" w:hAnsiTheme="majorHAnsi" w:cs="Minion Pro"/>
      <w:szCs w:val="20"/>
      <w:lang w:eastAsia="ar-SA"/>
    </w:rPr>
  </w:style>
  <w:style w:type="paragraph" w:customStyle="1" w:styleId="TEIparagraphlead">
    <w:name w:val="TEI_paragraph_lead"/>
    <w:link w:val="TEIparagraphleadCar"/>
    <w:qFormat/>
    <w:rsid w:val="00065B6C"/>
    <w:pPr>
      <w:spacing w:before="360" w:after="360" w:line="360" w:lineRule="auto"/>
      <w:jc w:val="both"/>
    </w:pPr>
    <w:rPr>
      <w:rFonts w:ascii="Calibri Light" w:eastAsia="SimSun" w:hAnsi="Calibri Light" w:cs="Arial"/>
      <w:color w:val="000000" w:themeColor="text1"/>
      <w:kern w:val="1"/>
      <w:szCs w:val="32"/>
      <w:lang w:eastAsia="ar-LB" w:bidi="ar-LB"/>
    </w:rPr>
  </w:style>
  <w:style w:type="paragraph" w:customStyle="1" w:styleId="TEIcode">
    <w:name w:val="TEI_code"/>
    <w:rsid w:val="00065B6C"/>
    <w:pPr>
      <w:suppressAutoHyphens/>
      <w:spacing w:before="240" w:after="240" w:line="240" w:lineRule="auto"/>
      <w:ind w:left="567" w:right="1134"/>
    </w:pPr>
    <w:rPr>
      <w:rFonts w:ascii="Courier" w:eastAsia="Times New Roman" w:hAnsi="Courier" w:cs="Times"/>
      <w:color w:val="000000" w:themeColor="text1"/>
      <w:kern w:val="1"/>
      <w:sz w:val="21"/>
      <w:szCs w:val="32"/>
      <w:lang w:eastAsia="ar-SA"/>
    </w:rPr>
  </w:style>
  <w:style w:type="paragraph" w:customStyle="1" w:styleId="TEIdidascaly">
    <w:name w:val="TEI_didascaly"/>
    <w:rsid w:val="00065B6C"/>
    <w:pPr>
      <w:suppressAutoHyphens/>
      <w:adjustRightInd w:val="0"/>
      <w:spacing w:before="120" w:after="60" w:line="360" w:lineRule="auto"/>
      <w:ind w:left="567"/>
    </w:pPr>
    <w:rPr>
      <w:rFonts w:ascii="Calibri Light" w:eastAsia="Times New Roman" w:hAnsi="Calibri Light" w:cs="Junicode"/>
      <w:szCs w:val="20"/>
      <w:lang w:eastAsia="ar-SA"/>
    </w:rPr>
  </w:style>
  <w:style w:type="paragraph" w:customStyle="1" w:styleId="TEIparagraphconsecutive">
    <w:name w:val="TEI_paragraph_consecutive"/>
    <w:basedOn w:val="Normal"/>
    <w:qFormat/>
    <w:rsid w:val="00065B6C"/>
  </w:style>
  <w:style w:type="paragraph" w:customStyle="1" w:styleId="TEIaut">
    <w:name w:val="TEI_aut:"/>
    <w:autoRedefine/>
    <w:rsid w:val="00065B6C"/>
    <w:pPr>
      <w:pBdr>
        <w:right w:val="single" w:sz="4" w:space="4" w:color="auto"/>
      </w:pBdr>
      <w:suppressAutoHyphens/>
      <w:spacing w:before="240" w:after="0" w:line="240" w:lineRule="auto"/>
      <w:jc w:val="right"/>
    </w:pPr>
    <w:rPr>
      <w:rFonts w:asciiTheme="majorHAnsi" w:eastAsia="Times New Roman" w:hAnsiTheme="majorHAnsi" w:cs="Arial MT"/>
      <w:szCs w:val="20"/>
      <w:lang w:eastAsia="ar-SA"/>
    </w:rPr>
  </w:style>
  <w:style w:type="character" w:customStyle="1" w:styleId="TEIaut-inline">
    <w:name w:val="TEI_aut-inline:"/>
    <w:basedOn w:val="Policepardfaut"/>
    <w:uiPriority w:val="1"/>
    <w:qFormat/>
    <w:rsid w:val="00065B6C"/>
    <w:rPr>
      <w:color w:val="C00000"/>
    </w:rPr>
  </w:style>
  <w:style w:type="character" w:customStyle="1" w:styleId="TEIedt-inline">
    <w:name w:val="TEI_edt-inline:"/>
    <w:basedOn w:val="Policepardfaut"/>
    <w:rsid w:val="00065B6C"/>
    <w:rPr>
      <w:color w:val="9CC2E5" w:themeColor="accent5" w:themeTint="99"/>
    </w:rPr>
  </w:style>
  <w:style w:type="paragraph" w:customStyle="1" w:styleId="TEIauts">
    <w:name w:val="TEI_auts"/>
    <w:qFormat/>
    <w:rsid w:val="00065B6C"/>
    <w:pPr>
      <w:pBdr>
        <w:right w:val="single" w:sz="4" w:space="4" w:color="auto"/>
      </w:pBdr>
      <w:spacing w:before="60" w:after="60" w:line="240" w:lineRule="auto"/>
      <w:jc w:val="right"/>
    </w:pPr>
    <w:rPr>
      <w:rFonts w:ascii="Calibri" w:eastAsia="Times New Roman" w:hAnsi="Calibri" w:cs="Arial MT"/>
      <w:color w:val="000000" w:themeColor="text1"/>
      <w:sz w:val="24"/>
      <w:szCs w:val="20"/>
      <w:lang w:eastAsia="ar-SA"/>
    </w:rPr>
  </w:style>
  <w:style w:type="paragraph" w:customStyle="1" w:styleId="TEIauthorities">
    <w:name w:val="TEI_authorities"/>
    <w:qFormat/>
    <w:rsid w:val="00065B6C"/>
    <w:pPr>
      <w:pBdr>
        <w:right w:val="single" w:sz="4" w:space="4" w:color="auto"/>
      </w:pBdr>
      <w:spacing w:before="60" w:after="60" w:line="240" w:lineRule="auto"/>
      <w:jc w:val="right"/>
    </w:pPr>
    <w:rPr>
      <w:rFonts w:ascii="Calibri" w:eastAsia="Times New Roman" w:hAnsi="Calibri" w:cs="Arial MT"/>
      <w:color w:val="000000" w:themeColor="text1"/>
      <w:sz w:val="24"/>
      <w:szCs w:val="20"/>
      <w:lang w:eastAsia="ar-SA"/>
    </w:rPr>
  </w:style>
  <w:style w:type="character" w:customStyle="1" w:styleId="TEIneutral-inline">
    <w:name w:val="TEI_neutral-inline"/>
    <w:uiPriority w:val="1"/>
    <w:qFormat/>
    <w:rsid w:val="00065B6C"/>
    <w:rPr>
      <w:color w:val="808080"/>
    </w:rPr>
  </w:style>
  <w:style w:type="character" w:customStyle="1" w:styleId="TEIaffiliation-inline">
    <w:name w:val="TEI_affiliation-inline"/>
    <w:basedOn w:val="Policepardfaut"/>
    <w:uiPriority w:val="1"/>
    <w:qFormat/>
    <w:rsid w:val="00065B6C"/>
    <w:rPr>
      <w:color w:val="4AACC6"/>
      <w:bdr w:val="none" w:sz="0" w:space="0" w:color="auto"/>
      <w:shd w:val="clear" w:color="auto" w:fill="auto"/>
    </w:rPr>
  </w:style>
  <w:style w:type="paragraph" w:customStyle="1" w:styleId="TEIauthoritybiography">
    <w:name w:val="TEI_authority_biography"/>
    <w:link w:val="TEIauthoritybiographyCar"/>
    <w:qFormat/>
    <w:rsid w:val="00065B6C"/>
    <w:pPr>
      <w:pBdr>
        <w:right w:val="single" w:sz="4" w:space="4" w:color="auto"/>
      </w:pBdr>
      <w:spacing w:before="120" w:after="120" w:line="264" w:lineRule="auto"/>
      <w:jc w:val="right"/>
    </w:pPr>
    <w:rPr>
      <w:rFonts w:asciiTheme="majorHAnsi" w:eastAsia="MS Mincho" w:hAnsiTheme="majorHAnsi" w:cs="Calibri Light"/>
      <w:sz w:val="21"/>
      <w:szCs w:val="26"/>
      <w:lang w:eastAsia="ar-SA"/>
    </w:rPr>
  </w:style>
  <w:style w:type="paragraph" w:customStyle="1" w:styleId="TEIfunder">
    <w:name w:val="TEI_funder"/>
    <w:qFormat/>
    <w:rsid w:val="00065B6C"/>
    <w:pPr>
      <w:spacing w:after="120" w:line="240" w:lineRule="auto"/>
    </w:pPr>
    <w:rPr>
      <w:rFonts w:asciiTheme="majorHAnsi" w:eastAsia="Times New Roman" w:hAnsiTheme="majorHAnsi" w:cs="Minion Pro"/>
      <w:szCs w:val="26"/>
      <w:lang w:eastAsia="ar-SA"/>
    </w:rPr>
  </w:style>
  <w:style w:type="paragraph" w:customStyle="1" w:styleId="TEIdatereception">
    <w:name w:val="TEI_date_reception"/>
    <w:qFormat/>
    <w:rsid w:val="00065B6C"/>
    <w:pPr>
      <w:spacing w:after="120" w:line="264" w:lineRule="auto"/>
    </w:pPr>
    <w:rPr>
      <w:rFonts w:asciiTheme="majorHAnsi" w:eastAsia="Times New Roman" w:hAnsiTheme="majorHAnsi" w:cs="Minion Pro"/>
      <w:szCs w:val="26"/>
      <w:lang w:eastAsia="ar-SA"/>
    </w:rPr>
  </w:style>
  <w:style w:type="paragraph" w:customStyle="1" w:styleId="TEIdateacceptance">
    <w:name w:val="TEI_date_acceptance"/>
    <w:qFormat/>
    <w:rsid w:val="00065B6C"/>
    <w:pPr>
      <w:spacing w:after="120" w:line="264" w:lineRule="auto"/>
    </w:pPr>
    <w:rPr>
      <w:rFonts w:asciiTheme="majorHAnsi" w:eastAsia="Times New Roman" w:hAnsiTheme="majorHAnsi" w:cs="Minion Pro"/>
      <w:szCs w:val="26"/>
      <w:lang w:eastAsia="ar-SA"/>
    </w:rPr>
  </w:style>
  <w:style w:type="paragraph" w:customStyle="1" w:styleId="TEInote">
    <w:name w:val="TEI_note:"/>
    <w:qFormat/>
    <w:rsid w:val="00065B6C"/>
    <w:pPr>
      <w:spacing w:after="120" w:line="264" w:lineRule="auto"/>
    </w:pPr>
    <w:rPr>
      <w:rFonts w:ascii="Calibri Light" w:eastAsia="MS Mincho" w:hAnsi="Calibri Light" w:cs="Calibri Light"/>
      <w:szCs w:val="26"/>
      <w:lang w:eastAsia="ar-SA"/>
    </w:rPr>
  </w:style>
  <w:style w:type="character" w:customStyle="1" w:styleId="TEIcode-inline">
    <w:name w:val="TEI_code-inline"/>
    <w:uiPriority w:val="1"/>
    <w:qFormat/>
    <w:rsid w:val="00065B6C"/>
    <w:rPr>
      <w:rFonts w:ascii="Consolas" w:hAnsi="Consolas"/>
      <w:color w:val="7B7B7B" w:themeColor="accent3" w:themeShade="BF"/>
    </w:rPr>
  </w:style>
  <w:style w:type="paragraph" w:customStyle="1" w:styleId="TEIlinguisticgloss">
    <w:name w:val="TEI_linguistic_gloss"/>
    <w:autoRedefine/>
    <w:qFormat/>
    <w:rsid w:val="00065B6C"/>
    <w:pPr>
      <w:spacing w:after="120" w:line="264" w:lineRule="auto"/>
      <w:ind w:left="1701" w:hanging="1701"/>
    </w:pPr>
    <w:rPr>
      <w:rFonts w:asciiTheme="majorHAnsi" w:eastAsia="MS Mincho" w:hAnsiTheme="majorHAnsi" w:cs="Calibri Light"/>
      <w:noProof/>
      <w:sz w:val="20"/>
      <w:lang w:eastAsia="ar-SA"/>
    </w:rPr>
  </w:style>
  <w:style w:type="paragraph" w:customStyle="1" w:styleId="TEIlinguisticexample">
    <w:name w:val="TEI_linguistic_example"/>
    <w:autoRedefine/>
    <w:qFormat/>
    <w:rsid w:val="00065B6C"/>
    <w:pPr>
      <w:spacing w:after="120" w:line="264" w:lineRule="auto"/>
    </w:pPr>
    <w:rPr>
      <w:rFonts w:asciiTheme="majorHAnsi" w:eastAsia="MS Mincho" w:hAnsiTheme="majorHAnsi" w:cs="Calibri Light"/>
      <w:sz w:val="20"/>
      <w:lang w:eastAsia="ar-SA"/>
    </w:rPr>
  </w:style>
  <w:style w:type="paragraph" w:customStyle="1" w:styleId="TEIlinguistictranslation">
    <w:name w:val="TEI_linguistic_translation"/>
    <w:autoRedefine/>
    <w:qFormat/>
    <w:rsid w:val="00065B6C"/>
    <w:pPr>
      <w:spacing w:after="120" w:line="264" w:lineRule="auto"/>
      <w:ind w:left="1276" w:hanging="1276"/>
    </w:pPr>
    <w:rPr>
      <w:rFonts w:asciiTheme="majorHAnsi" w:eastAsia="MS Mincho" w:hAnsiTheme="majorHAnsi" w:cs="Calibri Light"/>
      <w:noProof/>
      <w:sz w:val="20"/>
      <w:lang w:eastAsia="ar-SA"/>
    </w:rPr>
  </w:style>
  <w:style w:type="paragraph" w:customStyle="1" w:styleId="TEIquote">
    <w:name w:val="TEI_quote"/>
    <w:rsid w:val="00065B6C"/>
    <w:pPr>
      <w:suppressAutoHyphens/>
      <w:spacing w:before="240" w:after="240" w:line="360" w:lineRule="auto"/>
      <w:ind w:left="567"/>
      <w:jc w:val="both"/>
    </w:pPr>
    <w:rPr>
      <w:rFonts w:ascii="Calibri Light" w:eastAsia="Times New Roman" w:hAnsi="Calibri Light" w:cs="Arial MT"/>
      <w:sz w:val="21"/>
      <w:szCs w:val="20"/>
      <w:lang w:eastAsia="ar-SA"/>
    </w:rPr>
  </w:style>
  <w:style w:type="paragraph" w:customStyle="1" w:styleId="TEIquote2">
    <w:name w:val="TEI_quote2"/>
    <w:rsid w:val="00065B6C"/>
    <w:pPr>
      <w:suppressAutoHyphens/>
      <w:spacing w:before="240" w:after="240" w:line="360" w:lineRule="auto"/>
      <w:ind w:left="567"/>
      <w:jc w:val="both"/>
    </w:pPr>
    <w:rPr>
      <w:rFonts w:ascii="Calibri Light" w:eastAsia="Times New Roman" w:hAnsi="Calibri Light" w:cs="Arial MT"/>
      <w:color w:val="000000" w:themeColor="text1"/>
      <w:sz w:val="21"/>
      <w:szCs w:val="20"/>
      <w:lang w:val="en-GB" w:eastAsia="ar-SA"/>
    </w:rPr>
  </w:style>
  <w:style w:type="paragraph" w:customStyle="1" w:styleId="TEIquotecontinuation">
    <w:name w:val="TEI_quote_continuation"/>
    <w:qFormat/>
    <w:rsid w:val="00065B6C"/>
    <w:pPr>
      <w:spacing w:after="120" w:line="264" w:lineRule="auto"/>
      <w:ind w:left="567"/>
    </w:pPr>
    <w:rPr>
      <w:rFonts w:ascii="Calibri Light" w:eastAsia="Times New Roman" w:hAnsi="Calibri Light" w:cs="Arial MT"/>
      <w:color w:val="000000" w:themeColor="text1"/>
      <w:sz w:val="21"/>
      <w:szCs w:val="20"/>
      <w:lang w:val="en-GB" w:eastAsia="ar-SA"/>
    </w:rPr>
  </w:style>
  <w:style w:type="paragraph" w:customStyle="1" w:styleId="TEIquotenested">
    <w:name w:val="TEI_quote_nested"/>
    <w:autoRedefine/>
    <w:qFormat/>
    <w:rsid w:val="00065B6C"/>
    <w:pPr>
      <w:spacing w:after="120" w:line="264" w:lineRule="auto"/>
      <w:ind w:left="1134"/>
    </w:pPr>
    <w:rPr>
      <w:rFonts w:ascii="Calibri Light" w:eastAsia="Times New Roman" w:hAnsi="Calibri Light" w:cs="Arial MT"/>
      <w:color w:val="000000" w:themeColor="text1"/>
      <w:sz w:val="21"/>
      <w:szCs w:val="20"/>
      <w:lang w:val="en-GB" w:eastAsia="ar-SA"/>
    </w:rPr>
  </w:style>
  <w:style w:type="paragraph" w:customStyle="1" w:styleId="TEIverse">
    <w:name w:val="TEI_verse"/>
    <w:qFormat/>
    <w:rsid w:val="00065B6C"/>
    <w:pPr>
      <w:spacing w:before="120" w:after="0" w:line="360" w:lineRule="auto"/>
      <w:ind w:left="1134"/>
      <w:contextualSpacing/>
    </w:pPr>
    <w:rPr>
      <w:rFonts w:ascii="Calibri Light" w:eastAsia="MS Mincho" w:hAnsi="Calibri Light" w:cs="Cambria"/>
      <w:szCs w:val="24"/>
      <w:lang w:eastAsia="ar-SA"/>
    </w:rPr>
  </w:style>
  <w:style w:type="paragraph" w:customStyle="1" w:styleId="TEIreplica">
    <w:name w:val="TEI_replica"/>
    <w:rsid w:val="00065B6C"/>
    <w:pPr>
      <w:suppressAutoHyphens/>
      <w:spacing w:after="0" w:line="240" w:lineRule="auto"/>
      <w:ind w:left="851" w:hanging="284"/>
      <w:jc w:val="both"/>
    </w:pPr>
    <w:rPr>
      <w:rFonts w:ascii="Calibri Light" w:eastAsia="Times New Roman" w:hAnsi="Calibri Light" w:cs="Junicode"/>
      <w:szCs w:val="20"/>
      <w:lang w:eastAsia="ar-SA"/>
    </w:rPr>
  </w:style>
  <w:style w:type="paragraph" w:customStyle="1" w:styleId="TEIspeaker">
    <w:name w:val="TEI_speaker"/>
    <w:qFormat/>
    <w:rsid w:val="00065B6C"/>
    <w:pPr>
      <w:spacing w:after="120" w:line="264" w:lineRule="auto"/>
    </w:pPr>
    <w:rPr>
      <w:rFonts w:ascii="Calibri Light" w:eastAsia="Times New Roman" w:hAnsi="Calibri Light" w:cs="Junicode"/>
      <w:szCs w:val="20"/>
      <w:lang w:eastAsia="ar-SA"/>
    </w:rPr>
  </w:style>
  <w:style w:type="character" w:customStyle="1" w:styleId="TEIspeaker-inline">
    <w:name w:val="TEI_speaker-inline"/>
    <w:rsid w:val="00065B6C"/>
    <w:rPr>
      <w:rFonts w:ascii="Junicode" w:hAnsi="Junicode" w:cs="Junicode"/>
      <w:color w:val="auto"/>
      <w:sz w:val="24"/>
      <w:u w:val="single"/>
    </w:rPr>
  </w:style>
  <w:style w:type="character" w:customStyle="1" w:styleId="TEIdidascaly-inline">
    <w:name w:val="TEI_didascaly-inline"/>
    <w:rsid w:val="00065B6C"/>
    <w:rPr>
      <w:rFonts w:ascii="Junicode" w:hAnsi="Junicode" w:cs="Junicode"/>
      <w:sz w:val="22"/>
    </w:rPr>
  </w:style>
  <w:style w:type="character" w:customStyle="1" w:styleId="TEIversenumber-inline">
    <w:name w:val="TEI_versenumber-inline"/>
    <w:uiPriority w:val="1"/>
    <w:qFormat/>
    <w:rsid w:val="00065B6C"/>
    <w:rPr>
      <w:color w:val="7F7F7F"/>
    </w:rPr>
  </w:style>
  <w:style w:type="paragraph" w:customStyle="1" w:styleId="TEIversifiedreplica">
    <w:name w:val="TEI_versifiedreplica"/>
    <w:basedOn w:val="Normal"/>
    <w:qFormat/>
    <w:rsid w:val="00065B6C"/>
  </w:style>
  <w:style w:type="paragraph" w:customStyle="1" w:styleId="TEIxiinclude">
    <w:name w:val="TEI_xi_include"/>
    <w:rsid w:val="00065B6C"/>
    <w:pPr>
      <w:pBdr>
        <w:top w:val="single" w:sz="4" w:space="1" w:color="auto"/>
        <w:bottom w:val="single" w:sz="4" w:space="1" w:color="auto"/>
      </w:pBdr>
      <w:suppressAutoHyphens/>
      <w:spacing w:before="240" w:after="240" w:line="240" w:lineRule="auto"/>
    </w:pPr>
    <w:rPr>
      <w:rFonts w:ascii="Calibri" w:eastAsia="MS Mincho" w:hAnsi="Calibri" w:cs="Cambria"/>
      <w:b/>
      <w:sz w:val="20"/>
      <w:szCs w:val="24"/>
      <w:lang w:eastAsia="ar-SA"/>
    </w:rPr>
  </w:style>
  <w:style w:type="paragraph" w:customStyle="1" w:styleId="TEIfloatingTextend">
    <w:name w:val="TEI_floatingText_end"/>
    <w:next w:val="Normal"/>
    <w:autoRedefine/>
    <w:qFormat/>
    <w:rsid w:val="00065B6C"/>
    <w:pPr>
      <w:spacing w:after="120" w:line="264" w:lineRule="auto"/>
    </w:pPr>
    <w:rPr>
      <w:rFonts w:ascii="Courier New" w:eastAsia="MS Mincho" w:hAnsi="Courier New" w:cs="Calibri Light"/>
      <w:color w:val="718EAC"/>
      <w:sz w:val="16"/>
      <w:lang w:eastAsia="ar-SA"/>
    </w:rPr>
  </w:style>
  <w:style w:type="paragraph" w:customStyle="1" w:styleId="TEIfloatingTextstart">
    <w:name w:val="TEI_floatingText_start"/>
    <w:qFormat/>
    <w:rsid w:val="00065B6C"/>
    <w:pPr>
      <w:spacing w:after="120" w:line="264" w:lineRule="auto"/>
    </w:pPr>
    <w:rPr>
      <w:rFonts w:ascii="Courier New" w:eastAsia="MS Mincho" w:hAnsi="Courier New" w:cs="Calibri Light"/>
      <w:color w:val="718EAC"/>
      <w:sz w:val="16"/>
      <w:lang w:eastAsia="ar-SA"/>
    </w:rPr>
  </w:style>
  <w:style w:type="paragraph" w:customStyle="1" w:styleId="TEIfigurealternative">
    <w:name w:val="TEI_figure_alternative"/>
    <w:qFormat/>
    <w:rsid w:val="00065B6C"/>
    <w:pPr>
      <w:spacing w:after="120" w:line="264" w:lineRule="auto"/>
    </w:pPr>
    <w:rPr>
      <w:rFonts w:ascii="Calibri Light" w:eastAsia="SimSun" w:hAnsi="Calibri Light" w:cs="Arial"/>
      <w:kern w:val="1"/>
      <w:sz w:val="21"/>
      <w:szCs w:val="32"/>
      <w:lang w:eastAsia="ar-LB" w:bidi="ar-LB"/>
    </w:rPr>
  </w:style>
  <w:style w:type="paragraph" w:customStyle="1" w:styleId="TEIformula">
    <w:name w:val="TEI_formula"/>
    <w:qFormat/>
    <w:rsid w:val="00065B6C"/>
    <w:pPr>
      <w:spacing w:after="120" w:line="264" w:lineRule="auto"/>
    </w:pPr>
    <w:rPr>
      <w:rFonts w:ascii="Courier New" w:eastAsia="MS Mincho" w:hAnsi="Courier New" w:cs="Cambria"/>
      <w:szCs w:val="26"/>
      <w:lang w:eastAsia="ar-SA"/>
    </w:rPr>
  </w:style>
  <w:style w:type="character" w:customStyle="1" w:styleId="TEIformula-inline">
    <w:name w:val="TEI_formula-inline"/>
    <w:basedOn w:val="Policepardfaut"/>
    <w:uiPriority w:val="1"/>
    <w:qFormat/>
    <w:rsid w:val="00065B6C"/>
    <w:rPr>
      <w:rFonts w:ascii="Courier New" w:hAnsi="Courier New"/>
      <w:sz w:val="22"/>
    </w:rPr>
  </w:style>
  <w:style w:type="paragraph" w:customStyle="1" w:styleId="TEIbiblreference">
    <w:name w:val="TEI_bibl_reference"/>
    <w:autoRedefine/>
    <w:qFormat/>
    <w:rsid w:val="00065B6C"/>
    <w:pPr>
      <w:spacing w:after="120" w:line="240" w:lineRule="auto"/>
    </w:pPr>
    <w:rPr>
      <w:rFonts w:asciiTheme="majorHAnsi" w:eastAsia="MS Mincho" w:hAnsiTheme="majorHAnsi" w:cs="Calibri Light"/>
      <w:lang w:eastAsia="ar-SA"/>
    </w:rPr>
  </w:style>
  <w:style w:type="paragraph" w:customStyle="1" w:styleId="TEIbiblstart">
    <w:name w:val="TEI_bibl_start"/>
    <w:autoRedefine/>
    <w:qFormat/>
    <w:rsid w:val="00065B6C"/>
    <w:pPr>
      <w:spacing w:after="120" w:line="240" w:lineRule="auto"/>
      <w:outlineLvl w:val="0"/>
    </w:pPr>
    <w:rPr>
      <w:rFonts w:eastAsia="MS Mincho" w:cs="Calibri Light"/>
      <w:sz w:val="40"/>
      <w:lang w:eastAsia="ar-SA"/>
    </w:rPr>
  </w:style>
  <w:style w:type="paragraph" w:customStyle="1" w:styleId="TEIappendixstart">
    <w:name w:val="TEI_appendix_start"/>
    <w:next w:val="Normal"/>
    <w:autoRedefine/>
    <w:qFormat/>
    <w:rsid w:val="00065B6C"/>
    <w:pPr>
      <w:spacing w:after="320" w:line="240" w:lineRule="auto"/>
      <w:outlineLvl w:val="0"/>
    </w:pPr>
    <w:rPr>
      <w:rFonts w:eastAsia="MS Mincho" w:cs="Calibri Light"/>
      <w:sz w:val="40"/>
      <w:lang w:eastAsia="ar-SA"/>
    </w:rPr>
  </w:style>
  <w:style w:type="paragraph" w:customStyle="1" w:styleId="TEIpagination">
    <w:name w:val="TEI_pagination"/>
    <w:next w:val="Normal"/>
    <w:autoRedefine/>
    <w:qFormat/>
    <w:rsid w:val="00065B6C"/>
    <w:pPr>
      <w:spacing w:after="120" w:line="264" w:lineRule="auto"/>
    </w:pPr>
    <w:rPr>
      <w:rFonts w:asciiTheme="majorHAnsi" w:eastAsia="MS Mincho" w:hAnsiTheme="majorHAnsi" w:cs="Calibri Light"/>
      <w:lang w:eastAsia="ar-SA"/>
    </w:rPr>
  </w:style>
  <w:style w:type="paragraph" w:customStyle="1" w:styleId="TEIdocumentnumber">
    <w:name w:val="TEI_document_number"/>
    <w:next w:val="Normal"/>
    <w:autoRedefine/>
    <w:qFormat/>
    <w:rsid w:val="00065B6C"/>
    <w:pPr>
      <w:spacing w:after="120" w:line="264" w:lineRule="auto"/>
    </w:pPr>
    <w:rPr>
      <w:rFonts w:asciiTheme="majorHAnsi" w:eastAsia="MS Mincho" w:hAnsiTheme="majorHAnsi" w:cs="Calibri Light"/>
      <w:lang w:eastAsia="ar-SA"/>
    </w:rPr>
  </w:style>
  <w:style w:type="paragraph" w:customStyle="1" w:styleId="TEIpartner">
    <w:name w:val="TEI_partner"/>
    <w:qFormat/>
    <w:rsid w:val="00065B6C"/>
    <w:pPr>
      <w:spacing w:after="120" w:line="360" w:lineRule="auto"/>
      <w:ind w:left="284"/>
      <w:contextualSpacing/>
    </w:pPr>
    <w:rPr>
      <w:rFonts w:ascii="Calibri" w:eastAsia="MS Mincho" w:hAnsi="Calibri" w:cs="Times New Roman"/>
      <w:szCs w:val="24"/>
      <w:lang w:val="fr-BE" w:eastAsia="ar-SA"/>
    </w:rPr>
  </w:style>
  <w:style w:type="paragraph" w:customStyle="1" w:styleId="TEIlinkeddata">
    <w:name w:val="TEI_linked_data"/>
    <w:basedOn w:val="Normal"/>
    <w:qFormat/>
    <w:rsid w:val="00065B6C"/>
    <w:pPr>
      <w:shd w:val="clear" w:color="auto" w:fill="F0F8FF"/>
      <w:spacing w:before="240"/>
      <w:ind w:left="284"/>
      <w:jc w:val="left"/>
    </w:pPr>
    <w:rPr>
      <w:rFonts w:cs="Times New Roman"/>
      <w:bCs/>
      <w:lang w:eastAsia="fr-FR"/>
    </w:rPr>
  </w:style>
  <w:style w:type="paragraph" w:customStyle="1" w:styleId="TEIlinkedpubli">
    <w:name w:val="TEI_linked_publi"/>
    <w:qFormat/>
    <w:rsid w:val="00065B6C"/>
    <w:pPr>
      <w:shd w:val="clear" w:color="auto" w:fill="F0F8FF"/>
      <w:spacing w:before="120" w:after="240" w:line="360" w:lineRule="auto"/>
      <w:ind w:left="284"/>
    </w:pPr>
    <w:rPr>
      <w:rFonts w:ascii="Calibri Light" w:eastAsia="MS Mincho" w:hAnsi="Calibri Light" w:cs="Times New Roman"/>
      <w:bCs/>
      <w:szCs w:val="24"/>
      <w:lang w:eastAsia="fr-FR"/>
    </w:rPr>
  </w:style>
  <w:style w:type="paragraph" w:customStyle="1" w:styleId="TEIlocalnote">
    <w:name w:val="TEI_localnote"/>
    <w:basedOn w:val="Notedebasdepage"/>
    <w:rsid w:val="00065B6C"/>
    <w:rPr>
      <w:rFonts w:eastAsia="Times New Roman" w:cs="Times New Roman"/>
      <w:color w:val="000080"/>
    </w:rPr>
  </w:style>
  <w:style w:type="paragraph" w:customStyle="1" w:styleId="TEIreviewstart">
    <w:name w:val="TEI_review_start"/>
    <w:autoRedefine/>
    <w:qFormat/>
    <w:rsid w:val="00065B6C"/>
    <w:pPr>
      <w:spacing w:after="120" w:line="264" w:lineRule="auto"/>
      <w:jc w:val="center"/>
    </w:pPr>
    <w:rPr>
      <w:rFonts w:ascii="Courier New" w:eastAsia="MS Mincho" w:hAnsi="Courier New" w:cs="Calibri Light"/>
      <w:color w:val="718EAC"/>
      <w:sz w:val="16"/>
      <w:lang w:eastAsia="ar-SA"/>
    </w:rPr>
  </w:style>
  <w:style w:type="paragraph" w:customStyle="1" w:styleId="TEIreviewend">
    <w:name w:val="TEI_review_end"/>
    <w:autoRedefine/>
    <w:qFormat/>
    <w:rsid w:val="00065B6C"/>
    <w:pPr>
      <w:spacing w:after="120" w:line="264" w:lineRule="auto"/>
      <w:jc w:val="center"/>
    </w:pPr>
    <w:rPr>
      <w:rFonts w:ascii="Courier New" w:eastAsia="MS Mincho" w:hAnsi="Courier New" w:cs="Calibri Light"/>
      <w:color w:val="718EAC"/>
      <w:sz w:val="16"/>
      <w:lang w:eastAsia="ar-SA"/>
    </w:rPr>
  </w:style>
  <w:style w:type="paragraph" w:customStyle="1" w:styleId="TEIkeywordssubjectschronology">
    <w:name w:val="TEI_keywords_subjects:chronology"/>
    <w:next w:val="Normal"/>
    <w:autoRedefine/>
    <w:qFormat/>
    <w:rsid w:val="00065B6C"/>
    <w:pPr>
      <w:spacing w:after="120" w:line="264" w:lineRule="auto"/>
    </w:pPr>
    <w:rPr>
      <w:rFonts w:ascii="Verdana" w:eastAsia="MS Mincho" w:hAnsi="Verdana" w:cs="Calibri Light"/>
      <w:color w:val="7030A0"/>
      <w:lang w:eastAsia="ar-SA"/>
    </w:rPr>
  </w:style>
  <w:style w:type="paragraph" w:customStyle="1" w:styleId="TEIkeywordssubjectsexcavationyear">
    <w:name w:val="TEI_keywords_subjects:excavationyear"/>
    <w:next w:val="Normal"/>
    <w:autoRedefine/>
    <w:qFormat/>
    <w:rsid w:val="00065B6C"/>
    <w:pPr>
      <w:spacing w:after="120" w:line="264" w:lineRule="auto"/>
    </w:pPr>
    <w:rPr>
      <w:rFonts w:ascii="Verdana" w:eastAsia="MS Mincho" w:hAnsi="Verdana" w:cs="Calibri Light"/>
      <w:color w:val="7030A0"/>
      <w:lang w:eastAsia="ar-SA"/>
    </w:rPr>
  </w:style>
  <w:style w:type="paragraph" w:customStyle="1" w:styleId="TEIkeywordssubjectsgeography">
    <w:name w:val="TEI_keywords_subjects:geography"/>
    <w:next w:val="Normal"/>
    <w:autoRedefine/>
    <w:qFormat/>
    <w:rsid w:val="00065B6C"/>
    <w:pPr>
      <w:spacing w:after="120" w:line="264" w:lineRule="auto"/>
    </w:pPr>
    <w:rPr>
      <w:rFonts w:ascii="Verdana" w:eastAsia="MS Mincho" w:hAnsi="Verdana" w:cs="Calibri Light"/>
      <w:color w:val="7030A0"/>
      <w:lang w:eastAsia="ar-SA"/>
    </w:rPr>
  </w:style>
  <w:style w:type="paragraph" w:customStyle="1" w:styleId="TEIkeywordssubjectspersoncited">
    <w:name w:val="TEI_keywords_subjects:personcited"/>
    <w:next w:val="Normal"/>
    <w:autoRedefine/>
    <w:qFormat/>
    <w:rsid w:val="00065B6C"/>
    <w:pPr>
      <w:spacing w:after="120" w:line="264" w:lineRule="auto"/>
    </w:pPr>
    <w:rPr>
      <w:rFonts w:ascii="Verdana" w:eastAsia="MS Mincho" w:hAnsi="Verdana" w:cs="Calibri Light"/>
      <w:color w:val="7030A0"/>
      <w:lang w:eastAsia="ar-SA"/>
    </w:rPr>
  </w:style>
  <w:style w:type="paragraph" w:customStyle="1" w:styleId="TEIkeywordssubjectspropernoun">
    <w:name w:val="TEI_keywords_subjects:propernoun"/>
    <w:next w:val="Normal"/>
    <w:autoRedefine/>
    <w:qFormat/>
    <w:rsid w:val="00065B6C"/>
    <w:pPr>
      <w:spacing w:after="120" w:line="264" w:lineRule="auto"/>
    </w:pPr>
    <w:rPr>
      <w:rFonts w:ascii="Verdana" w:eastAsia="MS Mincho" w:hAnsi="Verdana" w:cs="Calibri Light"/>
      <w:color w:val="7030A0"/>
      <w:lang w:eastAsia="ar-SA"/>
    </w:rPr>
  </w:style>
  <w:style w:type="paragraph" w:customStyle="1" w:styleId="TEIkeywordssubjectssubject">
    <w:name w:val="TEI_keywords_subjects:subject"/>
    <w:next w:val="Normal"/>
    <w:autoRedefine/>
    <w:qFormat/>
    <w:rsid w:val="00065B6C"/>
    <w:pPr>
      <w:spacing w:after="120" w:line="264" w:lineRule="auto"/>
    </w:pPr>
    <w:rPr>
      <w:rFonts w:ascii="Verdana" w:eastAsia="MS Mincho" w:hAnsi="Verdana" w:cs="Calibri Light"/>
      <w:color w:val="7030A0"/>
      <w:lang w:eastAsia="ar-SA"/>
    </w:rPr>
  </w:style>
  <w:style w:type="paragraph" w:customStyle="1" w:styleId="TEIkeywordssubjectswork">
    <w:name w:val="TEI_keywords_subjects:work"/>
    <w:next w:val="Normal"/>
    <w:autoRedefine/>
    <w:qFormat/>
    <w:rsid w:val="00065B6C"/>
    <w:pPr>
      <w:spacing w:after="120" w:line="264" w:lineRule="auto"/>
    </w:pPr>
    <w:rPr>
      <w:rFonts w:ascii="Verdana" w:eastAsia="MS Mincho" w:hAnsi="Verdana" w:cs="Calibri Light"/>
      <w:color w:val="7030A0"/>
      <w:lang w:eastAsia="ar-SA"/>
    </w:rPr>
  </w:style>
  <w:style w:type="character" w:customStyle="1" w:styleId="TEIbiblreference-inline">
    <w:name w:val="TEI_bibl_reference-inline"/>
    <w:uiPriority w:val="1"/>
    <w:qFormat/>
    <w:rsid w:val="00065B6C"/>
    <w:rPr>
      <w:rFonts w:asciiTheme="majorHAnsi" w:hAnsiTheme="majorHAnsi"/>
      <w:b w:val="0"/>
      <w:color w:val="auto"/>
      <w:bdr w:val="none" w:sz="0" w:space="0" w:color="auto"/>
      <w:shd w:val="clear" w:color="auto" w:fill="E7E6E6" w:themeFill="background2"/>
    </w:rPr>
  </w:style>
  <w:style w:type="paragraph" w:customStyle="1" w:styleId="TEIanswer">
    <w:name w:val="TEI_answer"/>
    <w:autoRedefine/>
    <w:qFormat/>
    <w:rsid w:val="00065B6C"/>
    <w:pPr>
      <w:spacing w:after="120" w:line="264" w:lineRule="auto"/>
    </w:pPr>
    <w:rPr>
      <w:rFonts w:ascii="Times New Roman" w:eastAsia="MS Mincho" w:hAnsi="Times New Roman" w:cs="Calibri Light"/>
      <w:color w:val="767171" w:themeColor="background2" w:themeShade="80"/>
      <w:lang w:eastAsia="ar-SA"/>
    </w:rPr>
  </w:style>
  <w:style w:type="paragraph" w:customStyle="1" w:styleId="TEIquestion">
    <w:name w:val="TEI_question"/>
    <w:next w:val="TEIanswer"/>
    <w:autoRedefine/>
    <w:qFormat/>
    <w:rsid w:val="00065B6C"/>
    <w:pPr>
      <w:spacing w:after="120" w:line="264" w:lineRule="auto"/>
    </w:pPr>
    <w:rPr>
      <w:rFonts w:ascii="Times New Roman" w:eastAsia="MS Mincho" w:hAnsi="Times New Roman" w:cs="Calibri Light"/>
      <w:b/>
      <w:color w:val="767171" w:themeColor="background2" w:themeShade="80"/>
      <w:lang w:eastAsia="ar-SA"/>
    </w:rPr>
  </w:style>
  <w:style w:type="character" w:customStyle="1" w:styleId="TEIfigurenuminline">
    <w:name w:val="TEI_figure_num_inline"/>
    <w:basedOn w:val="Policepardfaut"/>
    <w:uiPriority w:val="1"/>
    <w:qFormat/>
    <w:rsid w:val="00065B6C"/>
    <w:rPr>
      <w:color w:val="2E74B5" w:themeColor="accent5" w:themeShade="BF"/>
      <w:bdr w:val="none" w:sz="0" w:space="0" w:color="auto"/>
      <w:shd w:val="clear" w:color="auto" w:fill="auto"/>
    </w:rPr>
  </w:style>
  <w:style w:type="character" w:customStyle="1" w:styleId="TEIfigurecreditsinline">
    <w:name w:val="TEI_figure_credits_inline"/>
    <w:uiPriority w:val="1"/>
    <w:qFormat/>
    <w:rsid w:val="00065B6C"/>
    <w:rPr>
      <w:color w:val="44546A" w:themeColor="text2"/>
      <w:bdr w:val="none" w:sz="0" w:space="0" w:color="auto"/>
      <w:shd w:val="clear" w:color="auto" w:fill="auto"/>
    </w:rPr>
  </w:style>
  <w:style w:type="paragraph" w:customStyle="1" w:styleId="TEIfigureend">
    <w:name w:val="TEI_figure_end"/>
    <w:next w:val="Normal"/>
    <w:qFormat/>
    <w:rsid w:val="00065B6C"/>
    <w:pPr>
      <w:spacing w:after="120" w:line="264" w:lineRule="auto"/>
    </w:pPr>
    <w:rPr>
      <w:rFonts w:ascii="Courier New" w:eastAsia="MS Mincho" w:hAnsi="Courier New" w:cs="Calibri Light"/>
      <w:color w:val="718EAC"/>
      <w:sz w:val="16"/>
      <w:lang w:eastAsia="ar-SA"/>
    </w:rPr>
  </w:style>
  <w:style w:type="paragraph" w:customStyle="1" w:styleId="TEIfigurestart">
    <w:name w:val="TEI_figure_start"/>
    <w:next w:val="Normal"/>
    <w:autoRedefine/>
    <w:qFormat/>
    <w:rsid w:val="00065B6C"/>
    <w:pPr>
      <w:spacing w:after="120" w:line="264" w:lineRule="auto"/>
    </w:pPr>
    <w:rPr>
      <w:rFonts w:ascii="Courier New" w:eastAsia="MS Mincho" w:hAnsi="Courier New" w:cs="Calibri Light"/>
      <w:color w:val="718EAC"/>
      <w:sz w:val="16"/>
      <w:lang w:eastAsia="ar-SA"/>
    </w:rPr>
  </w:style>
  <w:style w:type="character" w:customStyle="1" w:styleId="TEIreviewedauthor-inline">
    <w:name w:val="TEI_reviewed_author-inline"/>
    <w:uiPriority w:val="1"/>
    <w:qFormat/>
    <w:rsid w:val="00065B6C"/>
    <w:rPr>
      <w:color w:val="2F5496" w:themeColor="accent1" w:themeShade="BF"/>
    </w:rPr>
  </w:style>
  <w:style w:type="character" w:customStyle="1" w:styleId="TEIrevieweddate-inline">
    <w:name w:val="TEI_reviewed_date-inline"/>
    <w:uiPriority w:val="1"/>
    <w:qFormat/>
    <w:rsid w:val="00065B6C"/>
    <w:rPr>
      <w:color w:val="C45911" w:themeColor="accent2" w:themeShade="BF"/>
    </w:rPr>
  </w:style>
  <w:style w:type="paragraph" w:customStyle="1" w:styleId="TEIreviewedreference">
    <w:name w:val="TEI_reviewed_reference"/>
    <w:autoRedefine/>
    <w:qFormat/>
    <w:rsid w:val="00065B6C"/>
    <w:pPr>
      <w:spacing w:after="120" w:line="264" w:lineRule="auto"/>
    </w:pPr>
    <w:rPr>
      <w:rFonts w:ascii="Courier New" w:eastAsia="MS Mincho" w:hAnsi="Courier New" w:cs="Calibri Light"/>
      <w:color w:val="7030A0"/>
      <w:lang w:eastAsia="ar-SA"/>
    </w:rPr>
  </w:style>
  <w:style w:type="character" w:customStyle="1" w:styleId="TEIreviewedtitle-inline">
    <w:name w:val="TEI_reviewed_title-inline"/>
    <w:uiPriority w:val="1"/>
    <w:qFormat/>
    <w:rsid w:val="00065B6C"/>
    <w:rPr>
      <w:i w:val="0"/>
      <w:color w:val="323E4F" w:themeColor="text2" w:themeShade="BF"/>
    </w:rPr>
  </w:style>
  <w:style w:type="paragraph" w:customStyle="1" w:styleId="TEIformula-mml">
    <w:name w:val="TEI_formula-mml"/>
    <w:qFormat/>
    <w:rsid w:val="00065B6C"/>
    <w:pPr>
      <w:spacing w:after="120" w:line="264" w:lineRule="auto"/>
    </w:pPr>
    <w:rPr>
      <w:rFonts w:ascii="Courier New" w:eastAsia="MS Mincho" w:hAnsi="Courier New" w:cs="Calibri Light"/>
      <w:sz w:val="24"/>
      <w:szCs w:val="26"/>
      <w:lang w:eastAsia="ar-SA"/>
    </w:rPr>
  </w:style>
  <w:style w:type="paragraph" w:customStyle="1" w:styleId="TEIabstractam">
    <w:name w:val="TEI_abstract|am"/>
    <w:basedOn w:val="TEIabstract"/>
    <w:link w:val="TEIabstractamCar"/>
    <w:rsid w:val="00065B6C"/>
    <w:rPr>
      <w:lang w:val="en-US"/>
    </w:rPr>
  </w:style>
  <w:style w:type="character" w:customStyle="1" w:styleId="TEIabstractamCar">
    <w:name w:val="TEI_abstract|am Car"/>
    <w:basedOn w:val="Policepardfaut"/>
    <w:link w:val="TEIabstractam"/>
    <w:rsid w:val="00065B6C"/>
    <w:rPr>
      <w:rFonts w:asciiTheme="majorHAnsi" w:eastAsia="Times New Roman" w:hAnsiTheme="majorHAnsi" w:cs="Minion Pro"/>
      <w:szCs w:val="20"/>
      <w:lang w:val="en-US" w:eastAsia="ar-SA"/>
    </w:rPr>
  </w:style>
  <w:style w:type="paragraph" w:customStyle="1" w:styleId="TEIabstracten">
    <w:name w:val="TEI_abstract|en"/>
    <w:basedOn w:val="TEIabstract"/>
    <w:link w:val="TEIabstractenCar"/>
    <w:rsid w:val="00065B6C"/>
    <w:rPr>
      <w:lang w:val="en-US"/>
    </w:rPr>
  </w:style>
  <w:style w:type="character" w:customStyle="1" w:styleId="TEIabstractenCar">
    <w:name w:val="TEI_abstract|en Car"/>
    <w:basedOn w:val="Policepardfaut"/>
    <w:link w:val="TEIabstracten"/>
    <w:rsid w:val="00065B6C"/>
    <w:rPr>
      <w:rFonts w:asciiTheme="majorHAnsi" w:eastAsia="Times New Roman" w:hAnsiTheme="majorHAnsi" w:cs="Minion Pro"/>
      <w:szCs w:val="20"/>
      <w:lang w:val="en-US" w:eastAsia="ar-SA"/>
    </w:rPr>
  </w:style>
  <w:style w:type="character" w:customStyle="1" w:styleId="TEIauthor-inlineaut">
    <w:name w:val="TEI_author-inline:aut"/>
    <w:basedOn w:val="Policepardfaut"/>
    <w:rsid w:val="00065B6C"/>
  </w:style>
  <w:style w:type="paragraph" w:customStyle="1" w:styleId="TEIauthoraut">
    <w:name w:val="TEI_author:aut"/>
    <w:basedOn w:val="Normal"/>
    <w:link w:val="TEIauthorautCar"/>
    <w:rsid w:val="00065B6C"/>
    <w:pPr>
      <w:spacing w:before="120" w:after="60"/>
      <w:jc w:val="right"/>
    </w:pPr>
  </w:style>
  <w:style w:type="character" w:customStyle="1" w:styleId="TEIauthorautCar">
    <w:name w:val="TEI_author:aut Car"/>
    <w:basedOn w:val="Policepardfaut"/>
    <w:link w:val="TEIauthoraut"/>
    <w:rsid w:val="00065B6C"/>
    <w:rPr>
      <w:rFonts w:ascii="Calibri Light" w:eastAsia="MS Mincho" w:hAnsi="Calibri Light" w:cs="Calibri Light"/>
      <w:lang w:eastAsia="ar-SA"/>
    </w:rPr>
  </w:style>
  <w:style w:type="paragraph" w:customStyle="1" w:styleId="TEIeditortrl">
    <w:name w:val="TEI_editor:trl"/>
    <w:basedOn w:val="Normal"/>
    <w:link w:val="TEIeditortrlCar"/>
    <w:rsid w:val="00065B6C"/>
    <w:pPr>
      <w:spacing w:before="240" w:after="0" w:line="240" w:lineRule="auto"/>
      <w:jc w:val="right"/>
    </w:pPr>
  </w:style>
  <w:style w:type="character" w:customStyle="1" w:styleId="TEIeditortrlCar">
    <w:name w:val="TEI_editor:trl Car"/>
    <w:basedOn w:val="Policepardfaut"/>
    <w:link w:val="TEIeditortrl"/>
    <w:rsid w:val="00065B6C"/>
    <w:rPr>
      <w:rFonts w:ascii="Calibri Light" w:eastAsia="MS Mincho" w:hAnsi="Calibri Light" w:cs="Calibri Light"/>
      <w:lang w:eastAsia="ar-SA"/>
    </w:rPr>
  </w:style>
  <w:style w:type="paragraph" w:customStyle="1" w:styleId="TEIkeywordsen">
    <w:name w:val="TEI_keywords|en"/>
    <w:basedOn w:val="TEIkeywords"/>
    <w:link w:val="TEIkeywordsenCar"/>
    <w:rsid w:val="00065B6C"/>
  </w:style>
  <w:style w:type="character" w:customStyle="1" w:styleId="TEIkeywordsenCar">
    <w:name w:val="TEI_keywords|en Car"/>
    <w:basedOn w:val="Policepardfaut"/>
    <w:link w:val="TEIkeywordsen"/>
    <w:rsid w:val="00065B6C"/>
    <w:rPr>
      <w:rFonts w:asciiTheme="majorHAnsi" w:eastAsia="Times New Roman" w:hAnsiTheme="majorHAnsi" w:cs="Minion Pro"/>
      <w:szCs w:val="20"/>
      <w:lang w:eastAsia="ar-SA"/>
    </w:rPr>
  </w:style>
  <w:style w:type="paragraph" w:customStyle="1" w:styleId="TEItitletrlde">
    <w:name w:val="TEI_title:trl|de"/>
    <w:basedOn w:val="Normal"/>
    <w:link w:val="TEItitletrldeCar"/>
    <w:rsid w:val="00065B6C"/>
  </w:style>
  <w:style w:type="character" w:customStyle="1" w:styleId="TEItitletrldeCar">
    <w:name w:val="TEI_title:trl|de Car"/>
    <w:basedOn w:val="Policepardfaut"/>
    <w:link w:val="TEItitletrlde"/>
    <w:rsid w:val="00065B6C"/>
    <w:rPr>
      <w:rFonts w:ascii="Calibri Light" w:eastAsia="MS Mincho" w:hAnsi="Calibri Light" w:cs="Calibri Light"/>
      <w:lang w:eastAsia="ar-SA"/>
    </w:rPr>
  </w:style>
  <w:style w:type="character" w:customStyle="1" w:styleId="TEIfunderrefinline">
    <w:name w:val="TEI_funderref_inline"/>
    <w:basedOn w:val="Policepardfaut"/>
    <w:uiPriority w:val="1"/>
    <w:qFormat/>
    <w:rsid w:val="00065B6C"/>
    <w:rPr>
      <w:bdr w:val="none" w:sz="0" w:space="0" w:color="auto"/>
      <w:shd w:val="clear" w:color="auto" w:fill="ACB9CA" w:themeFill="text2" w:themeFillTint="66"/>
    </w:rPr>
  </w:style>
  <w:style w:type="character" w:customStyle="1" w:styleId="TEIfundernameinline">
    <w:name w:val="TEI_fundername_inline"/>
    <w:basedOn w:val="Policepardfaut"/>
    <w:uiPriority w:val="1"/>
    <w:qFormat/>
    <w:rsid w:val="00065B6C"/>
    <w:rPr>
      <w:bdr w:val="none" w:sz="0" w:space="0" w:color="auto"/>
      <w:shd w:val="clear" w:color="auto" w:fill="B4C6E7" w:themeFill="accent1" w:themeFillTint="66"/>
    </w:rPr>
  </w:style>
  <w:style w:type="character" w:customStyle="1" w:styleId="TEIdatenormalised">
    <w:name w:val="TEI_date_normalised"/>
    <w:uiPriority w:val="1"/>
    <w:qFormat/>
    <w:rsid w:val="00065B6C"/>
    <w:rPr>
      <w:color w:val="44546A" w:themeColor="text2"/>
      <w:bdr w:val="none" w:sz="0" w:space="0" w:color="auto"/>
      <w:shd w:val="clear" w:color="auto" w:fill="E7E6E6" w:themeFill="background2"/>
    </w:rPr>
  </w:style>
  <w:style w:type="paragraph" w:customStyle="1" w:styleId="TEIfloatingTexttitle">
    <w:name w:val="TEI_floatingText_title"/>
    <w:next w:val="Normal"/>
    <w:qFormat/>
    <w:rsid w:val="00065B6C"/>
    <w:pPr>
      <w:spacing w:after="120" w:line="264" w:lineRule="auto"/>
    </w:pPr>
    <w:rPr>
      <w:rFonts w:ascii="Calibri" w:eastAsia="MS Mincho" w:hAnsi="Calibri" w:cs="Calibri Light"/>
      <w:b/>
      <w:color w:val="767171" w:themeColor="background2" w:themeShade="80"/>
      <w:lang w:eastAsia="ar-SA"/>
    </w:rPr>
  </w:style>
  <w:style w:type="paragraph" w:customStyle="1" w:styleId="TEIcodeend">
    <w:name w:val="TEI_code_end"/>
    <w:next w:val="Normal"/>
    <w:qFormat/>
    <w:rsid w:val="00065B6C"/>
    <w:pPr>
      <w:shd w:val="clear" w:color="auto" w:fill="FFFFFF" w:themeFill="background1"/>
      <w:spacing w:after="120" w:line="264" w:lineRule="auto"/>
      <w:jc w:val="center"/>
    </w:pPr>
    <w:rPr>
      <w:rFonts w:ascii="Courier New" w:eastAsia="MS Mincho" w:hAnsi="Courier New" w:cs="Calibri Light"/>
      <w:color w:val="718EAC"/>
      <w:sz w:val="16"/>
      <w:lang w:eastAsia="ar-SA"/>
    </w:rPr>
  </w:style>
  <w:style w:type="paragraph" w:customStyle="1" w:styleId="TEIcodestart">
    <w:name w:val="TEI_code_start"/>
    <w:next w:val="TEIcode"/>
    <w:qFormat/>
    <w:rsid w:val="00065B6C"/>
    <w:pPr>
      <w:shd w:val="clear" w:color="auto" w:fill="FFFFFF" w:themeFill="background1"/>
      <w:spacing w:after="120" w:line="264" w:lineRule="auto"/>
      <w:jc w:val="center"/>
    </w:pPr>
    <w:rPr>
      <w:rFonts w:ascii="Courier New" w:eastAsia="MS Mincho" w:hAnsi="Courier New" w:cs="Calibri Light"/>
      <w:color w:val="718EAC"/>
      <w:sz w:val="16"/>
      <w:lang w:eastAsia="ar-SA"/>
    </w:rPr>
  </w:style>
  <w:style w:type="paragraph" w:customStyle="1" w:styleId="TEIquotestart">
    <w:name w:val="TEI_quote_start"/>
    <w:qFormat/>
    <w:rsid w:val="00065B6C"/>
    <w:pPr>
      <w:spacing w:after="120" w:line="264" w:lineRule="auto"/>
    </w:pPr>
    <w:rPr>
      <w:rFonts w:ascii="Courier New" w:eastAsia="MS Mincho" w:hAnsi="Courier New" w:cs="Calibri Light"/>
      <w:color w:val="718EAC"/>
      <w:sz w:val="16"/>
      <w:lang w:eastAsia="ar-SA"/>
    </w:rPr>
  </w:style>
  <w:style w:type="paragraph" w:customStyle="1" w:styleId="TEIquoteend">
    <w:name w:val="TEI_quote_end"/>
    <w:qFormat/>
    <w:rsid w:val="00065B6C"/>
    <w:pPr>
      <w:spacing w:after="120" w:line="264" w:lineRule="auto"/>
    </w:pPr>
    <w:rPr>
      <w:rFonts w:ascii="Courier New" w:eastAsia="MS Mincho" w:hAnsi="Courier New" w:cs="Calibri Light"/>
      <w:color w:val="718EAC"/>
      <w:sz w:val="16"/>
      <w:lang w:eastAsia="ar-SA"/>
    </w:rPr>
  </w:style>
  <w:style w:type="character" w:customStyle="1" w:styleId="TEIlinguisticnum">
    <w:name w:val="TEI_linguistic_num"/>
    <w:uiPriority w:val="1"/>
    <w:qFormat/>
    <w:rsid w:val="00065B6C"/>
    <w:rPr>
      <w:color w:val="ED7D31" w:themeColor="accent2"/>
    </w:rPr>
  </w:style>
  <w:style w:type="paragraph" w:customStyle="1" w:styleId="TEIsectionauthor">
    <w:name w:val="TEI_section_author"/>
    <w:qFormat/>
    <w:rsid w:val="00065B6C"/>
    <w:pPr>
      <w:spacing w:after="120" w:line="264" w:lineRule="auto"/>
    </w:pPr>
    <w:rPr>
      <w:rFonts w:ascii="Calibri" w:eastAsia="MS Mincho" w:hAnsi="Calibri" w:cs="Calibri Light"/>
      <w:sz w:val="24"/>
      <w:szCs w:val="26"/>
      <w:lang w:eastAsia="ar-SA"/>
    </w:rPr>
  </w:style>
  <w:style w:type="paragraph" w:customStyle="1" w:styleId="TEIlinguisticend">
    <w:name w:val="TEI_linguistic_end"/>
    <w:qFormat/>
    <w:rsid w:val="00065B6C"/>
    <w:pPr>
      <w:spacing w:after="120" w:line="264" w:lineRule="auto"/>
    </w:pPr>
    <w:rPr>
      <w:rFonts w:ascii="Courier New" w:eastAsia="MS Mincho" w:hAnsi="Courier New" w:cs="Calibri Light"/>
      <w:noProof/>
      <w:color w:val="718EAC"/>
      <w:sz w:val="16"/>
      <w:lang w:eastAsia="ar-SA"/>
    </w:rPr>
  </w:style>
  <w:style w:type="character" w:customStyle="1" w:styleId="TEIlinguisticlang-inline">
    <w:name w:val="TEI_linguistic_lang-inline"/>
    <w:basedOn w:val="Policepardfaut"/>
    <w:uiPriority w:val="1"/>
    <w:qFormat/>
    <w:rsid w:val="00065B6C"/>
    <w:rPr>
      <w:noProof/>
      <w:bdr w:val="none" w:sz="0" w:space="0" w:color="auto"/>
      <w:shd w:val="clear" w:color="auto" w:fill="FFF2CC" w:themeFill="accent4" w:themeFillTint="33"/>
    </w:rPr>
  </w:style>
  <w:style w:type="paragraph" w:customStyle="1" w:styleId="TEIlinguisticstart">
    <w:name w:val="TEI_linguistic_start"/>
    <w:qFormat/>
    <w:rsid w:val="00065B6C"/>
    <w:pPr>
      <w:spacing w:after="120" w:line="264" w:lineRule="auto"/>
    </w:pPr>
    <w:rPr>
      <w:rFonts w:ascii="Courier New" w:eastAsia="MS Mincho" w:hAnsi="Courier New" w:cs="Calibri Light"/>
      <w:color w:val="718EAC"/>
      <w:sz w:val="16"/>
      <w:lang w:eastAsia="ar-SA"/>
    </w:rPr>
  </w:style>
  <w:style w:type="paragraph" w:customStyle="1" w:styleId="TEIarcheoIDmissionEFA">
    <w:name w:val="TEI_archeo_IDmissionEFA"/>
    <w:qFormat/>
    <w:rsid w:val="00065B6C"/>
    <w:pPr>
      <w:shd w:val="clear" w:color="auto" w:fill="9EBCF2"/>
      <w:spacing w:before="120" w:after="120" w:line="276" w:lineRule="auto"/>
    </w:pPr>
    <w:rPr>
      <w:rFonts w:ascii="CMU Bright Roman" w:eastAsia="MS Mincho" w:hAnsi="CMU Bright Roman" w:cs="Cambria"/>
      <w:sz w:val="24"/>
      <w:szCs w:val="24"/>
      <w:lang w:eastAsia="ar-SA"/>
    </w:rPr>
  </w:style>
  <w:style w:type="paragraph" w:customStyle="1" w:styleId="TEIarcheokeywordspactols">
    <w:name w:val="TEI_archeo_keywords:pactols"/>
    <w:basedOn w:val="Normal"/>
    <w:autoRedefine/>
    <w:qFormat/>
    <w:rsid w:val="00065B6C"/>
    <w:pPr>
      <w:shd w:val="clear" w:color="auto" w:fill="7D99CE"/>
    </w:pPr>
    <w:rPr>
      <w:rFonts w:ascii="CMU Bright Roman" w:hAnsi="CMU Bright Roman"/>
      <w:color w:val="404040" w:themeColor="text1" w:themeTint="BF"/>
    </w:rPr>
  </w:style>
  <w:style w:type="paragraph" w:customStyle="1" w:styleId="TEIarcheofieldworkholder">
    <w:name w:val="TEI_archeo_fieldwork_holder"/>
    <w:qFormat/>
    <w:rsid w:val="00065B6C"/>
    <w:pPr>
      <w:shd w:val="clear" w:color="auto" w:fill="B8CEF7"/>
      <w:spacing w:after="200" w:line="360" w:lineRule="auto"/>
    </w:pPr>
    <w:rPr>
      <w:rFonts w:ascii="CMU Bright Roman" w:eastAsia="MS Mincho" w:hAnsi="CMU Bright Roman" w:cs="Cambria"/>
      <w:color w:val="000000" w:themeColor="text1"/>
      <w:sz w:val="24"/>
      <w:szCs w:val="24"/>
      <w:lang w:eastAsia="ar-SA"/>
    </w:rPr>
  </w:style>
  <w:style w:type="paragraph" w:customStyle="1" w:styleId="TEIarcheokeywordschrono">
    <w:name w:val="TEI_archeo_keywords:chrono"/>
    <w:qFormat/>
    <w:rsid w:val="00065B6C"/>
    <w:pPr>
      <w:spacing w:before="120" w:after="120" w:line="240" w:lineRule="auto"/>
      <w:ind w:firstLine="340"/>
    </w:pPr>
    <w:rPr>
      <w:rFonts w:ascii="Minion Pro" w:eastAsia="MS Mincho" w:hAnsi="Minion Pro" w:cs="Cambria"/>
      <w:color w:val="BF8F00" w:themeColor="accent4" w:themeShade="BF"/>
      <w:sz w:val="20"/>
      <w:szCs w:val="24"/>
      <w:lang w:eastAsia="ar-SA"/>
    </w:rPr>
  </w:style>
  <w:style w:type="paragraph" w:customStyle="1" w:styleId="TEIarcheoauthorities">
    <w:name w:val="TEI_archeo_authorities"/>
    <w:qFormat/>
    <w:rsid w:val="00065B6C"/>
    <w:pPr>
      <w:spacing w:before="120" w:after="120" w:line="240" w:lineRule="auto"/>
    </w:pPr>
    <w:rPr>
      <w:rFonts w:ascii="Minion Pro" w:eastAsia="Times New Roman" w:hAnsi="Minion Pro" w:cs="Arial MT"/>
      <w:sz w:val="24"/>
      <w:szCs w:val="20"/>
      <w:lang w:eastAsia="ar-SA"/>
    </w:rPr>
  </w:style>
  <w:style w:type="paragraph" w:customStyle="1" w:styleId="TEIarcheokeywords">
    <w:name w:val="TEI_archeo_keywords"/>
    <w:basedOn w:val="Normal"/>
    <w:autoRedefine/>
    <w:qFormat/>
    <w:rsid w:val="00065B6C"/>
    <w:pPr>
      <w:spacing w:after="200" w:line="276" w:lineRule="auto"/>
      <w:ind w:left="284"/>
    </w:pPr>
    <w:rPr>
      <w:color w:val="404040" w:themeColor="text1" w:themeTint="BF"/>
      <w:sz w:val="20"/>
    </w:rPr>
  </w:style>
  <w:style w:type="paragraph" w:customStyle="1" w:styleId="TEIarcheofieldworknature">
    <w:name w:val="TEI_archeo_fieldwork_nature"/>
    <w:basedOn w:val="Normal"/>
    <w:autoRedefine/>
    <w:qFormat/>
    <w:rsid w:val="00065B6C"/>
    <w:pPr>
      <w:spacing w:after="200" w:line="276" w:lineRule="auto"/>
      <w:ind w:firstLine="284"/>
    </w:pPr>
    <w:rPr>
      <w:color w:val="538135" w:themeColor="accent6" w:themeShade="BF"/>
      <w:sz w:val="20"/>
    </w:rPr>
  </w:style>
  <w:style w:type="paragraph" w:customStyle="1" w:styleId="TEIarcheoIDpatriarche">
    <w:name w:val="TEI_archeo_IDpatriarche"/>
    <w:qFormat/>
    <w:rsid w:val="00065B6C"/>
    <w:pPr>
      <w:spacing w:before="120" w:after="120" w:line="276" w:lineRule="auto"/>
      <w:ind w:firstLine="340"/>
    </w:pPr>
    <w:rPr>
      <w:rFonts w:ascii="Minion Pro" w:eastAsia="MS Mincho" w:hAnsi="Minion Pro" w:cs="Cambria"/>
      <w:sz w:val="24"/>
      <w:szCs w:val="24"/>
      <w:lang w:eastAsia="ar-SA"/>
    </w:rPr>
  </w:style>
  <w:style w:type="paragraph" w:customStyle="1" w:styleId="TEIarcheofieldworkdate">
    <w:name w:val="TEI_archeo_fieldwork_date"/>
    <w:qFormat/>
    <w:rsid w:val="00065B6C"/>
    <w:pPr>
      <w:shd w:val="clear" w:color="auto" w:fill="9EBCF2"/>
      <w:spacing w:before="120" w:after="0" w:line="480" w:lineRule="auto"/>
    </w:pPr>
    <w:rPr>
      <w:rFonts w:ascii="CMU Bright Roman" w:eastAsia="MS Mincho" w:hAnsi="CMU Bright Roman" w:cs="Cambria"/>
      <w:sz w:val="24"/>
      <w:szCs w:val="26"/>
      <w:lang w:eastAsia="ar-SA"/>
    </w:rPr>
  </w:style>
  <w:style w:type="paragraph" w:customStyle="1" w:styleId="TEIarcheoreportlink">
    <w:name w:val="TEI_archeo_reportlink"/>
    <w:qFormat/>
    <w:rsid w:val="00065B6C"/>
    <w:pPr>
      <w:spacing w:before="120" w:after="120" w:line="240" w:lineRule="auto"/>
      <w:ind w:firstLine="340"/>
    </w:pPr>
    <w:rPr>
      <w:rFonts w:ascii="Minion Pro" w:eastAsia="MS Mincho" w:hAnsi="Minion Pro" w:cs="Cambria"/>
      <w:sz w:val="24"/>
      <w:szCs w:val="24"/>
      <w:lang w:eastAsia="ar-SA"/>
    </w:rPr>
  </w:style>
  <w:style w:type="paragraph" w:customStyle="1" w:styleId="TEIarcheonatauthority">
    <w:name w:val="TEI_archeo_nat_authority"/>
    <w:basedOn w:val="Normal"/>
    <w:qFormat/>
    <w:rsid w:val="00065B6C"/>
    <w:pPr>
      <w:shd w:val="clear" w:color="auto" w:fill="B8CEF7"/>
      <w:suppressAutoHyphens w:val="0"/>
      <w:jc w:val="left"/>
    </w:pPr>
    <w:rPr>
      <w:rFonts w:ascii="CMU Bright Roman" w:hAnsi="CMU Bright Roman"/>
      <w:szCs w:val="26"/>
      <w:lang w:val="fr-BE"/>
    </w:rPr>
  </w:style>
  <w:style w:type="paragraph" w:customStyle="1" w:styleId="TEIarcheofiledworkteam">
    <w:name w:val="TEI_archeo_filedwork_team"/>
    <w:basedOn w:val="Normal"/>
    <w:qFormat/>
    <w:rsid w:val="00065B6C"/>
    <w:pPr>
      <w:shd w:val="clear" w:color="auto" w:fill="B8CEF7"/>
      <w:suppressAutoHyphens w:val="0"/>
      <w:jc w:val="left"/>
    </w:pPr>
    <w:rPr>
      <w:rFonts w:ascii="CMU Bright Roman" w:eastAsia="Times New Roman" w:hAnsi="CMU Bright Roman" w:cs="Arial MT"/>
      <w:szCs w:val="20"/>
      <w:lang w:val="fr-BE"/>
    </w:rPr>
  </w:style>
  <w:style w:type="paragraph" w:customStyle="1" w:styleId="TEIarcheoIDmission">
    <w:name w:val="TEI_archeo_IDmission"/>
    <w:qFormat/>
    <w:rsid w:val="00065B6C"/>
    <w:pPr>
      <w:shd w:val="clear" w:color="auto" w:fill="DBDBDB" w:themeFill="accent3" w:themeFillTint="66"/>
      <w:spacing w:before="120" w:after="120" w:line="276" w:lineRule="auto"/>
    </w:pPr>
    <w:rPr>
      <w:rFonts w:ascii="CMU Bright Roman" w:eastAsia="MS Mincho" w:hAnsi="CMU Bright Roman" w:cs="Cambria"/>
      <w:sz w:val="24"/>
      <w:szCs w:val="24"/>
      <w:lang w:eastAsia="ar-SA"/>
    </w:rPr>
  </w:style>
  <w:style w:type="paragraph" w:customStyle="1" w:styleId="TEIarcheolink">
    <w:name w:val="TEI_archeo_link"/>
    <w:basedOn w:val="Normal"/>
    <w:qFormat/>
    <w:rsid w:val="00065B6C"/>
  </w:style>
  <w:style w:type="paragraph" w:customStyle="1" w:styleId="TEIarcheofieldworkyears">
    <w:name w:val="TEI_archeo_fieldwork_years"/>
    <w:qFormat/>
    <w:rsid w:val="00065B6C"/>
    <w:pPr>
      <w:spacing w:after="0" w:line="480" w:lineRule="auto"/>
      <w:ind w:left="340"/>
    </w:pPr>
    <w:rPr>
      <w:rFonts w:ascii="Minion Pro" w:eastAsia="MS Mincho" w:hAnsi="Minion Pro" w:cs="Cambria"/>
      <w:sz w:val="24"/>
      <w:szCs w:val="26"/>
      <w:lang w:eastAsia="ar-SA"/>
    </w:rPr>
  </w:style>
  <w:style w:type="character" w:customStyle="1" w:styleId="TEIarcheonamefldinline">
    <w:name w:val="TEI_archeo_name_fld_inline"/>
    <w:qFormat/>
    <w:rsid w:val="00065B6C"/>
    <w:rPr>
      <w:color w:val="943634"/>
    </w:rPr>
  </w:style>
  <w:style w:type="paragraph" w:customStyle="1" w:styleId="TEIarcheoauthority">
    <w:name w:val="TEI_archeo_authority"/>
    <w:qFormat/>
    <w:rsid w:val="00065B6C"/>
    <w:pPr>
      <w:spacing w:before="120" w:after="120" w:line="240" w:lineRule="auto"/>
    </w:pPr>
    <w:rPr>
      <w:rFonts w:ascii="Minion Pro" w:eastAsia="Times New Roman" w:hAnsi="Minion Pro" w:cs="Arial MT"/>
      <w:sz w:val="24"/>
      <w:szCs w:val="20"/>
      <w:lang w:eastAsia="ar-SA"/>
    </w:rPr>
  </w:style>
  <w:style w:type="character" w:customStyle="1" w:styleId="TEIarcheocoordinline">
    <w:name w:val="TEI_archeo_coord_inline"/>
    <w:uiPriority w:val="1"/>
    <w:qFormat/>
    <w:rsid w:val="00065B6C"/>
    <w:rPr>
      <w:rFonts w:ascii="Minion Pro" w:hAnsi="Minion Pro"/>
      <w:b/>
      <w:color w:val="E36C0A"/>
      <w:sz w:val="22"/>
    </w:rPr>
  </w:style>
  <w:style w:type="character" w:customStyle="1" w:styleId="TEIarcheoauthorrespinline">
    <w:name w:val="TEI_archeo_authorresp_inline"/>
    <w:uiPriority w:val="1"/>
    <w:qFormat/>
    <w:rsid w:val="00065B6C"/>
    <w:rPr>
      <w:color w:val="538135" w:themeColor="accent6" w:themeShade="BF"/>
    </w:rPr>
  </w:style>
  <w:style w:type="character" w:customStyle="1" w:styleId="TEIarcheoredacinline">
    <w:name w:val="TEI_archeo_redac_inline"/>
    <w:uiPriority w:val="1"/>
    <w:qFormat/>
    <w:rsid w:val="00065B6C"/>
    <w:rPr>
      <w:color w:val="943634"/>
    </w:rPr>
  </w:style>
  <w:style w:type="paragraph" w:customStyle="1" w:styleId="TEIarcheoIDmissionEFA0">
    <w:name w:val="TEI_archeo_IDmission:EFA"/>
    <w:qFormat/>
    <w:rsid w:val="00065B6C"/>
    <w:pPr>
      <w:shd w:val="clear" w:color="auto" w:fill="9EBCF2"/>
      <w:spacing w:before="120" w:after="120" w:line="276" w:lineRule="auto"/>
    </w:pPr>
    <w:rPr>
      <w:rFonts w:ascii="CMU Bright Roman" w:eastAsia="MS Mincho" w:hAnsi="CMU Bright Roman" w:cs="Cambria"/>
      <w:sz w:val="24"/>
      <w:szCs w:val="24"/>
      <w:lang w:eastAsia="ar-SA"/>
    </w:rPr>
  </w:style>
  <w:style w:type="character" w:customStyle="1" w:styleId="TEIarcheorespinline">
    <w:name w:val="TEI_archeo_resp_inline"/>
    <w:uiPriority w:val="1"/>
    <w:qFormat/>
    <w:rsid w:val="00065B6C"/>
    <w:rPr>
      <w:color w:val="538135" w:themeColor="accent6" w:themeShade="BF"/>
    </w:rPr>
  </w:style>
  <w:style w:type="character" w:customStyle="1" w:styleId="TEIarcheoaffiliationinline">
    <w:name w:val="TEI_archeo_affiliation_inline"/>
    <w:uiPriority w:val="1"/>
    <w:qFormat/>
    <w:rsid w:val="00065B6C"/>
    <w:rPr>
      <w:color w:val="943634"/>
    </w:rPr>
  </w:style>
  <w:style w:type="paragraph" w:customStyle="1" w:styleId="TEIfigure-alttext">
    <w:name w:val="TEI_figure-alttext"/>
    <w:qFormat/>
    <w:rsid w:val="00065B6C"/>
    <w:pPr>
      <w:spacing w:after="120" w:line="264" w:lineRule="auto"/>
    </w:pPr>
    <w:rPr>
      <w:rFonts w:asciiTheme="majorHAnsi" w:eastAsia="MS Mincho" w:hAnsiTheme="majorHAnsi" w:cs="Calibri Light"/>
      <w:i/>
      <w:color w:val="A6A6A6" w:themeColor="background1" w:themeShade="A6"/>
      <w:szCs w:val="26"/>
      <w:lang w:eastAsia="ar-SA"/>
    </w:rPr>
  </w:style>
  <w:style w:type="paragraph" w:customStyle="1" w:styleId="TEIlocalpara">
    <w:name w:val="TEI_localpara"/>
    <w:qFormat/>
    <w:rsid w:val="00065B6C"/>
    <w:pPr>
      <w:shd w:val="clear" w:color="auto" w:fill="FFF2CC" w:themeFill="accent4" w:themeFillTint="33"/>
      <w:spacing w:after="120" w:line="264" w:lineRule="auto"/>
    </w:pPr>
    <w:rPr>
      <w:rFonts w:asciiTheme="majorHAnsi" w:eastAsia="MS Mincho" w:hAnsiTheme="majorHAnsi" w:cs="Calibri Light"/>
      <w:szCs w:val="26"/>
      <w:lang w:eastAsia="ar-SA"/>
    </w:rPr>
  </w:style>
  <w:style w:type="character" w:customStyle="1" w:styleId="TEIlocalcar">
    <w:name w:val="TEI_localcar"/>
    <w:uiPriority w:val="1"/>
    <w:qFormat/>
    <w:rsid w:val="00065B6C"/>
    <w:rPr>
      <w:bdr w:val="none" w:sz="0" w:space="0" w:color="auto"/>
      <w:shd w:val="clear" w:color="auto" w:fill="FFF2CC" w:themeFill="accent4" w:themeFillTint="33"/>
    </w:rPr>
  </w:style>
  <w:style w:type="paragraph" w:customStyle="1" w:styleId="TEIfigurealttext">
    <w:name w:val="TEI_figure_alttext"/>
    <w:qFormat/>
    <w:rsid w:val="00065B6C"/>
    <w:pPr>
      <w:spacing w:after="120" w:line="264" w:lineRule="auto"/>
    </w:pPr>
    <w:rPr>
      <w:rFonts w:asciiTheme="majorHAnsi" w:eastAsia="MS Mincho" w:hAnsiTheme="majorHAnsi" w:cs="Calibri Light"/>
      <w:i/>
      <w:color w:val="A6A6A6" w:themeColor="background1" w:themeShade="A6"/>
      <w:szCs w:val="26"/>
      <w:lang w:eastAsia="ar-SA"/>
    </w:rPr>
  </w:style>
  <w:style w:type="character" w:customStyle="1" w:styleId="TEIauthoritybiographyCar">
    <w:name w:val="TEI_authority_biography Car"/>
    <w:basedOn w:val="Policepardfaut"/>
    <w:link w:val="TEIauthoritybiography"/>
    <w:rsid w:val="00065B6C"/>
    <w:rPr>
      <w:rFonts w:asciiTheme="majorHAnsi" w:eastAsia="MS Mincho" w:hAnsiTheme="majorHAnsi" w:cs="Calibri Light"/>
      <w:sz w:val="21"/>
      <w:szCs w:val="26"/>
      <w:lang w:eastAsia="ar-SA"/>
    </w:rPr>
  </w:style>
  <w:style w:type="paragraph" w:customStyle="1" w:styleId="TEIeditoredt">
    <w:name w:val="TEI_editor:edt"/>
    <w:link w:val="TEIeditoredtCar"/>
    <w:rsid w:val="00065B6C"/>
    <w:pPr>
      <w:spacing w:after="120" w:line="264" w:lineRule="auto"/>
      <w:jc w:val="right"/>
    </w:pPr>
    <w:rPr>
      <w:rFonts w:asciiTheme="majorHAnsi" w:eastAsia="MS Mincho" w:hAnsiTheme="majorHAnsi" w:cs="Calibri Light"/>
      <w:sz w:val="24"/>
      <w:szCs w:val="26"/>
      <w:lang w:eastAsia="ar-SA"/>
    </w:rPr>
  </w:style>
  <w:style w:type="character" w:customStyle="1" w:styleId="TEIeditoredtCar">
    <w:name w:val="TEI_editor:edt Car"/>
    <w:basedOn w:val="Policepardfaut"/>
    <w:link w:val="TEIeditoredt"/>
    <w:rsid w:val="00065B6C"/>
    <w:rPr>
      <w:rFonts w:asciiTheme="majorHAnsi" w:eastAsia="MS Mincho" w:hAnsiTheme="majorHAnsi" w:cs="Calibri Light"/>
      <w:sz w:val="24"/>
      <w:szCs w:val="26"/>
      <w:lang w:eastAsia="ar-SA"/>
    </w:rPr>
  </w:style>
  <w:style w:type="paragraph" w:customStyle="1" w:styleId="TEIerratum">
    <w:name w:val="TEI_erratum"/>
    <w:qFormat/>
    <w:rsid w:val="00065B6C"/>
    <w:pPr>
      <w:spacing w:before="120" w:after="120" w:line="264" w:lineRule="auto"/>
    </w:pPr>
    <w:rPr>
      <w:rFonts w:asciiTheme="majorHAnsi" w:eastAsia="Times New Roman" w:hAnsiTheme="majorHAnsi" w:cs="Minion Pro"/>
      <w:szCs w:val="20"/>
      <w:lang w:val="en-US" w:eastAsia="ar-SA"/>
    </w:rPr>
  </w:style>
  <w:style w:type="paragraph" w:customStyle="1" w:styleId="TEIkeywordsfr">
    <w:name w:val="TEI_keywords|fr"/>
    <w:basedOn w:val="TEIkeywords"/>
    <w:link w:val="TEIkeywordsfrCar"/>
    <w:rsid w:val="00065B6C"/>
    <w:rPr>
      <w:color w:val="000000" w:themeColor="text1"/>
      <w:kern w:val="1"/>
      <w:szCs w:val="32"/>
      <w:lang w:bidi="ar-LB"/>
    </w:rPr>
  </w:style>
  <w:style w:type="character" w:customStyle="1" w:styleId="TEIkeywordsfrCar">
    <w:name w:val="TEI_keywords|fr Car"/>
    <w:basedOn w:val="Policepardfaut"/>
    <w:link w:val="TEIkeywordsfr"/>
    <w:rsid w:val="00065B6C"/>
    <w:rPr>
      <w:rFonts w:asciiTheme="majorHAnsi" w:eastAsia="Times New Roman" w:hAnsiTheme="majorHAnsi" w:cs="Minion Pro"/>
      <w:color w:val="000000" w:themeColor="text1"/>
      <w:kern w:val="1"/>
      <w:szCs w:val="32"/>
      <w:lang w:eastAsia="ar-SA" w:bidi="ar-LB"/>
    </w:rPr>
  </w:style>
  <w:style w:type="character" w:customStyle="1" w:styleId="TEIparagraphleadCar">
    <w:name w:val="TEI_paragraph_lead Car"/>
    <w:basedOn w:val="Policepardfaut"/>
    <w:link w:val="TEIparagraphlead"/>
    <w:rsid w:val="00065B6C"/>
    <w:rPr>
      <w:rFonts w:ascii="Calibri Light" w:eastAsia="SimSun" w:hAnsi="Calibri Light" w:cs="Arial"/>
      <w:color w:val="000000" w:themeColor="text1"/>
      <w:kern w:val="1"/>
      <w:szCs w:val="32"/>
      <w:lang w:eastAsia="ar-LB" w:bidi="ar-LB"/>
    </w:rPr>
  </w:style>
  <w:style w:type="paragraph" w:customStyle="1" w:styleId="TEIlinguisticlabel">
    <w:name w:val="TEI_linguistic_label"/>
    <w:autoRedefine/>
    <w:qFormat/>
    <w:rsid w:val="00065B6C"/>
    <w:pPr>
      <w:spacing w:after="120" w:line="264" w:lineRule="auto"/>
    </w:pPr>
    <w:rPr>
      <w:rFonts w:asciiTheme="majorHAnsi" w:eastAsia="MS Mincho" w:hAnsiTheme="majorHAnsi" w:cs="Calibri Light"/>
      <w:noProof/>
      <w:sz w:val="20"/>
      <w:lang w:eastAsia="fr-FR"/>
    </w:rPr>
  </w:style>
  <w:style w:type="paragraph" w:customStyle="1" w:styleId="TEIUEtype">
    <w:name w:val="TEI_UEtype"/>
    <w:qFormat/>
    <w:rsid w:val="00065B6C"/>
    <w:pPr>
      <w:shd w:val="clear" w:color="auto" w:fill="718EAC"/>
      <w:spacing w:after="120" w:line="264" w:lineRule="auto"/>
    </w:pPr>
    <w:rPr>
      <w:rFonts w:ascii="Courier New" w:eastAsia="SimSun" w:hAnsi="Courier New" w:cs="Arial"/>
      <w:color w:val="000000" w:themeColor="text1"/>
      <w:kern w:val="1"/>
      <w:sz w:val="16"/>
      <w:szCs w:val="32"/>
      <w:lang w:eastAsia="ar-LB" w:bidi="ar-LB"/>
    </w:rPr>
  </w:style>
  <w:style w:type="character" w:customStyle="1" w:styleId="TEIfiguresourceinline">
    <w:name w:val="TEI_figure_source_inline"/>
    <w:basedOn w:val="Policepardfaut"/>
    <w:uiPriority w:val="1"/>
    <w:qFormat/>
    <w:rsid w:val="00065B6C"/>
    <w:rPr>
      <w:bdr w:val="none" w:sz="0" w:space="0" w:color="auto"/>
      <w:shd w:val="pct10" w:color="auto" w:fill="auto"/>
    </w:rPr>
  </w:style>
  <w:style w:type="paragraph" w:customStyle="1" w:styleId="TEIauthoritiesmail">
    <w:name w:val="TEI_authorities_mail"/>
    <w:qFormat/>
    <w:rsid w:val="00065B6C"/>
    <w:pPr>
      <w:spacing w:after="120" w:line="264" w:lineRule="auto"/>
      <w:jc w:val="right"/>
    </w:pPr>
    <w:rPr>
      <w:rFonts w:asciiTheme="majorHAnsi" w:eastAsia="MS Mincho" w:hAnsiTheme="majorHAnsi" w:cs="Calibri Light"/>
      <w:sz w:val="24"/>
      <w:szCs w:val="26"/>
      <w:lang w:eastAsia="ar-SA"/>
    </w:rPr>
  </w:style>
  <w:style w:type="character" w:customStyle="1" w:styleId="TEImaill-inline">
    <w:name w:val="TEI_maill-inline"/>
    <w:uiPriority w:val="1"/>
    <w:qFormat/>
    <w:rsid w:val="00065B6C"/>
    <w:rPr>
      <w:color w:val="806000" w:themeColor="accent4" w:themeShade="80"/>
    </w:rPr>
  </w:style>
  <w:style w:type="character" w:customStyle="1" w:styleId="TEImail-inline">
    <w:name w:val="TEI_mail-inline"/>
    <w:uiPriority w:val="1"/>
    <w:qFormat/>
    <w:rsid w:val="00065B6C"/>
    <w:rPr>
      <w:color w:val="806000" w:themeColor="accent4" w:themeShade="80"/>
    </w:rPr>
  </w:style>
  <w:style w:type="paragraph" w:customStyle="1" w:styleId="TEIauthoritiesmails">
    <w:name w:val="TEI_authorities_mails"/>
    <w:qFormat/>
    <w:rsid w:val="00065B6C"/>
    <w:pPr>
      <w:spacing w:after="120" w:line="264" w:lineRule="auto"/>
      <w:jc w:val="right"/>
    </w:pPr>
    <w:rPr>
      <w:rFonts w:asciiTheme="majorHAnsi" w:eastAsia="MS Mincho" w:hAnsiTheme="majorHAnsi" w:cs="Calibri Light"/>
      <w:sz w:val="24"/>
      <w:szCs w:val="26"/>
      <w:lang w:eastAsia="ar-SA"/>
    </w:rPr>
  </w:style>
  <w:style w:type="paragraph" w:customStyle="1" w:styleId="TEIsignature">
    <w:name w:val="TEI_signature"/>
    <w:next w:val="Normal"/>
    <w:qFormat/>
    <w:rsid w:val="00065B6C"/>
    <w:pPr>
      <w:spacing w:after="120" w:line="264" w:lineRule="auto"/>
      <w:jc w:val="right"/>
    </w:pPr>
    <w:rPr>
      <w:rFonts w:asciiTheme="majorHAnsi" w:eastAsia="MS Mincho" w:hAnsiTheme="majorHAnsi" w:cs="Calibri Light"/>
      <w:sz w:val="24"/>
      <w:szCs w:val="26"/>
      <w:lang w:eastAsia="ar-SA"/>
    </w:rPr>
  </w:style>
  <w:style w:type="paragraph" w:customStyle="1" w:styleId="TEIfigure-grpstart">
    <w:name w:val="TEI_figure-grp_start"/>
    <w:qFormat/>
    <w:rsid w:val="00065B6C"/>
    <w:pPr>
      <w:spacing w:after="120" w:line="264" w:lineRule="auto"/>
    </w:pPr>
    <w:rPr>
      <w:rFonts w:ascii="Courier New" w:eastAsia="MS Mincho" w:hAnsi="Courier New" w:cs="Calibri Light"/>
      <w:color w:val="718EAC"/>
      <w:sz w:val="16"/>
      <w:lang w:eastAsia="ar-SA"/>
    </w:rPr>
  </w:style>
  <w:style w:type="paragraph" w:customStyle="1" w:styleId="TEIfigure-grpend">
    <w:name w:val="TEI_figure-grp_end"/>
    <w:qFormat/>
    <w:rsid w:val="00065B6C"/>
    <w:pPr>
      <w:spacing w:after="120" w:line="264" w:lineRule="auto"/>
    </w:pPr>
    <w:rPr>
      <w:rFonts w:ascii="Courier New" w:eastAsia="MS Mincho" w:hAnsi="Courier New" w:cs="Calibri Light"/>
      <w:color w:val="718EAC"/>
      <w:sz w:val="16"/>
      <w:lang w:eastAsia="ar-SA"/>
    </w:rPr>
  </w:style>
  <w:style w:type="paragraph" w:customStyle="1" w:styleId="TEIarcheoCHRreportlink">
    <w:name w:val="TEI_archeoCHR_reportlink"/>
    <w:qFormat/>
    <w:rsid w:val="00065B6C"/>
    <w:pPr>
      <w:spacing w:before="120" w:after="120" w:line="240" w:lineRule="auto"/>
      <w:ind w:firstLine="340"/>
    </w:pPr>
    <w:rPr>
      <w:rFonts w:asciiTheme="majorHAnsi" w:eastAsia="MS Mincho" w:hAnsiTheme="majorHAnsi" w:cs="Cambria"/>
      <w:sz w:val="24"/>
      <w:szCs w:val="24"/>
      <w:lang w:eastAsia="ar-SA"/>
    </w:rPr>
  </w:style>
  <w:style w:type="paragraph" w:customStyle="1" w:styleId="TEIarcheoCHRIDpatriarche">
    <w:name w:val="TEI_archeoCHR_IDpatriarche"/>
    <w:qFormat/>
    <w:rsid w:val="00065B6C"/>
    <w:pPr>
      <w:spacing w:before="120" w:after="120" w:line="276" w:lineRule="auto"/>
      <w:ind w:firstLine="340"/>
    </w:pPr>
    <w:rPr>
      <w:rFonts w:asciiTheme="majorHAnsi" w:eastAsia="MS Mincho" w:hAnsiTheme="majorHAnsi" w:cs="Cambria"/>
      <w:sz w:val="24"/>
      <w:szCs w:val="24"/>
      <w:lang w:eastAsia="ar-SA"/>
    </w:rPr>
  </w:style>
  <w:style w:type="paragraph" w:customStyle="1" w:styleId="TEIarcheoCHRfieldwork-method">
    <w:name w:val="TEI_archeoCHR_fieldwork-method"/>
    <w:basedOn w:val="Normal"/>
    <w:autoRedefine/>
    <w:qFormat/>
    <w:rsid w:val="00065B6C"/>
    <w:pPr>
      <w:spacing w:after="200" w:line="276" w:lineRule="auto"/>
      <w:ind w:firstLine="284"/>
    </w:pPr>
    <w:rPr>
      <w:color w:val="538135" w:themeColor="accent6" w:themeShade="BF"/>
      <w:sz w:val="20"/>
    </w:rPr>
  </w:style>
  <w:style w:type="paragraph" w:customStyle="1" w:styleId="TEIarcheoARTteam">
    <w:name w:val="TEI_archeoART_team"/>
    <w:qFormat/>
    <w:rsid w:val="00065B6C"/>
    <w:pPr>
      <w:shd w:val="clear" w:color="auto" w:fill="9EBCF2"/>
      <w:spacing w:before="120" w:after="0" w:line="480" w:lineRule="auto"/>
    </w:pPr>
    <w:rPr>
      <w:rFonts w:ascii="CMU Bright Roman" w:eastAsia="MS Mincho" w:hAnsi="CMU Bright Roman" w:cs="Cambria"/>
      <w:sz w:val="24"/>
      <w:szCs w:val="26"/>
      <w:lang w:eastAsia="ar-SA"/>
    </w:rPr>
  </w:style>
  <w:style w:type="paragraph" w:customStyle="1" w:styleId="TEIarcheoARTnatauthority">
    <w:name w:val="TEI_archeoART_nat_authority"/>
    <w:basedOn w:val="Normal"/>
    <w:qFormat/>
    <w:rsid w:val="00065B6C"/>
    <w:pPr>
      <w:shd w:val="clear" w:color="auto" w:fill="B8CEF7"/>
      <w:suppressAutoHyphens w:val="0"/>
      <w:jc w:val="left"/>
    </w:pPr>
    <w:rPr>
      <w:rFonts w:ascii="CMU Bright Roman" w:hAnsi="CMU Bright Roman"/>
      <w:szCs w:val="26"/>
      <w:lang w:val="fr-BE"/>
    </w:rPr>
  </w:style>
  <w:style w:type="paragraph" w:customStyle="1" w:styleId="TEIarcheoARTdate">
    <w:name w:val="TEI_archeoART_date"/>
    <w:qFormat/>
    <w:rsid w:val="00065B6C"/>
    <w:pPr>
      <w:shd w:val="clear" w:color="auto" w:fill="B4C6E7" w:themeFill="accent1" w:themeFillTint="66"/>
      <w:spacing w:after="0" w:line="240" w:lineRule="auto"/>
    </w:pPr>
    <w:rPr>
      <w:rFonts w:asciiTheme="majorHAnsi" w:eastAsia="MS Mincho" w:hAnsiTheme="majorHAnsi" w:cs="Cambria"/>
      <w:sz w:val="24"/>
      <w:szCs w:val="26"/>
      <w:lang w:eastAsia="ar-SA"/>
    </w:rPr>
  </w:style>
  <w:style w:type="paragraph" w:customStyle="1" w:styleId="TEIarcheoARTIDmission">
    <w:name w:val="TEI_archeoART_IDmission"/>
    <w:qFormat/>
    <w:rsid w:val="00065B6C"/>
    <w:pPr>
      <w:shd w:val="clear" w:color="auto" w:fill="DBDBDB" w:themeFill="accent3" w:themeFillTint="66"/>
      <w:spacing w:before="120" w:after="120" w:line="276" w:lineRule="auto"/>
    </w:pPr>
    <w:rPr>
      <w:rFonts w:ascii="CMU Bright Roman" w:eastAsia="MS Mincho" w:hAnsi="CMU Bright Roman" w:cs="Cambria"/>
      <w:sz w:val="24"/>
      <w:szCs w:val="24"/>
      <w:lang w:eastAsia="ar-SA"/>
    </w:rPr>
  </w:style>
  <w:style w:type="paragraph" w:customStyle="1" w:styleId="TEIkeywordssubjectspactols">
    <w:name w:val="TEI_keywords_subjects:pactols"/>
    <w:autoRedefine/>
    <w:qFormat/>
    <w:rsid w:val="00065B6C"/>
    <w:pPr>
      <w:shd w:val="clear" w:color="auto" w:fill="7D99CE"/>
      <w:spacing w:after="120" w:line="264" w:lineRule="auto"/>
    </w:pPr>
    <w:rPr>
      <w:rFonts w:asciiTheme="majorHAnsi" w:eastAsia="MS Mincho" w:hAnsiTheme="majorHAnsi" w:cs="Calibri Light"/>
      <w:color w:val="404040" w:themeColor="text1" w:themeTint="BF"/>
      <w:lang w:eastAsia="ar-SA"/>
    </w:rPr>
  </w:style>
  <w:style w:type="paragraph" w:customStyle="1" w:styleId="TEIarcheoARTholder">
    <w:name w:val="TEI_archeoART_holder"/>
    <w:qFormat/>
    <w:rsid w:val="00065B6C"/>
    <w:pPr>
      <w:shd w:val="clear" w:color="auto" w:fill="B8CEF7"/>
      <w:spacing w:after="200" w:line="360" w:lineRule="auto"/>
    </w:pPr>
    <w:rPr>
      <w:rFonts w:asciiTheme="majorHAnsi" w:eastAsia="MS Mincho" w:hAnsiTheme="majorHAnsi" w:cs="Cambria"/>
      <w:color w:val="000000" w:themeColor="text1"/>
      <w:sz w:val="24"/>
      <w:szCs w:val="24"/>
      <w:lang w:eastAsia="ar-SA"/>
    </w:rPr>
  </w:style>
  <w:style w:type="paragraph" w:customStyle="1" w:styleId="TEIarcheoARTIDmissionEFA">
    <w:name w:val="TEI_archeoART_IDmission:EFA"/>
    <w:qFormat/>
    <w:rsid w:val="00065B6C"/>
    <w:pPr>
      <w:shd w:val="clear" w:color="auto" w:fill="DBDBDB" w:themeFill="accent3" w:themeFillTint="66"/>
      <w:spacing w:before="120" w:after="120" w:line="276" w:lineRule="auto"/>
    </w:pPr>
    <w:rPr>
      <w:rFonts w:ascii="CMU Bright Roman" w:eastAsia="MS Mincho" w:hAnsi="CMU Bright Roman" w:cs="Cambria"/>
      <w:sz w:val="24"/>
      <w:szCs w:val="24"/>
      <w:lang w:eastAsia="ar-SA"/>
    </w:rPr>
  </w:style>
  <w:style w:type="paragraph" w:customStyle="1" w:styleId="TEIarcheoCHRfieldworkyear">
    <w:name w:val="TEI_archeoCHR_fieldwork_year"/>
    <w:qFormat/>
    <w:rsid w:val="00065B6C"/>
    <w:pPr>
      <w:spacing w:after="0" w:line="480" w:lineRule="auto"/>
      <w:ind w:left="340"/>
    </w:pPr>
    <w:rPr>
      <w:rFonts w:asciiTheme="majorHAnsi" w:eastAsia="MS Mincho" w:hAnsiTheme="majorHAnsi" w:cs="Cambria"/>
      <w:sz w:val="24"/>
      <w:szCs w:val="26"/>
      <w:lang w:eastAsia="ar-SA"/>
    </w:rPr>
  </w:style>
  <w:style w:type="paragraph" w:customStyle="1" w:styleId="TEIarcheoCHRholder">
    <w:name w:val="TEI_archeoCHR_holder"/>
    <w:qFormat/>
    <w:rsid w:val="00065B6C"/>
    <w:pPr>
      <w:spacing w:after="120" w:line="264" w:lineRule="auto"/>
    </w:pPr>
    <w:rPr>
      <w:rFonts w:asciiTheme="majorHAnsi" w:eastAsia="MS Mincho" w:hAnsiTheme="majorHAnsi" w:cs="Cambria"/>
      <w:color w:val="000000" w:themeColor="text1"/>
      <w:sz w:val="24"/>
      <w:szCs w:val="24"/>
      <w:lang w:eastAsia="ar-SA"/>
    </w:rPr>
  </w:style>
  <w:style w:type="paragraph" w:customStyle="1" w:styleId="TEIarcheoCHRtype">
    <w:name w:val="TEI_archeoCHR_type"/>
    <w:qFormat/>
    <w:rsid w:val="00065B6C"/>
    <w:pPr>
      <w:spacing w:after="120" w:line="264" w:lineRule="auto"/>
    </w:pPr>
    <w:rPr>
      <w:rFonts w:asciiTheme="majorHAnsi" w:eastAsia="MS Mincho" w:hAnsiTheme="majorHAnsi" w:cs="Cambria"/>
      <w:color w:val="000000" w:themeColor="text1"/>
      <w:sz w:val="24"/>
      <w:szCs w:val="24"/>
      <w:lang w:eastAsia="ar-SA"/>
    </w:rPr>
  </w:style>
  <w:style w:type="paragraph" w:customStyle="1" w:styleId="TEIarcheoCHRkeywordssubjects">
    <w:name w:val="TEI_archeoCHR_keywords_subjects"/>
    <w:qFormat/>
    <w:rsid w:val="00065B6C"/>
    <w:pPr>
      <w:spacing w:after="120" w:line="264" w:lineRule="auto"/>
    </w:pPr>
    <w:rPr>
      <w:rFonts w:asciiTheme="majorHAnsi" w:eastAsia="MS Mincho" w:hAnsiTheme="majorHAnsi" w:cs="Cambria"/>
      <w:sz w:val="24"/>
      <w:szCs w:val="24"/>
      <w:lang w:eastAsia="ar-SA"/>
    </w:rPr>
  </w:style>
  <w:style w:type="paragraph" w:customStyle="1" w:styleId="TEIarcheoCHRkeywordssubjectschronology">
    <w:name w:val="TEI_archeoCHR_keywords_subjects:chronology"/>
    <w:qFormat/>
    <w:rsid w:val="00065B6C"/>
    <w:pPr>
      <w:spacing w:after="120" w:line="264" w:lineRule="auto"/>
    </w:pPr>
    <w:rPr>
      <w:rFonts w:asciiTheme="majorHAnsi" w:eastAsia="MS Mincho" w:hAnsiTheme="majorHAnsi" w:cs="Cambria"/>
      <w:sz w:val="24"/>
      <w:szCs w:val="24"/>
      <w:lang w:eastAsia="ar-SA"/>
    </w:rPr>
  </w:style>
  <w:style w:type="paragraph" w:customStyle="1" w:styleId="TEIarcheofieldworkyear">
    <w:name w:val="TEI_archeo_fieldwork_year"/>
    <w:qFormat/>
    <w:rsid w:val="00065B6C"/>
    <w:pPr>
      <w:spacing w:after="0" w:line="480" w:lineRule="auto"/>
      <w:ind w:left="340"/>
    </w:pPr>
    <w:rPr>
      <w:rFonts w:asciiTheme="majorHAnsi" w:eastAsia="MS Mincho" w:hAnsiTheme="majorHAnsi" w:cs="Cambria"/>
      <w:sz w:val="24"/>
      <w:szCs w:val="26"/>
      <w:lang w:eastAsia="ar-SA"/>
    </w:rPr>
  </w:style>
  <w:style w:type="paragraph" w:customStyle="1" w:styleId="TEIarcheofieldwork-method">
    <w:name w:val="TEI_archeo_fieldwork-method"/>
    <w:qFormat/>
    <w:rsid w:val="00065B6C"/>
    <w:pPr>
      <w:spacing w:after="120" w:line="264" w:lineRule="auto"/>
    </w:pPr>
    <w:rPr>
      <w:rFonts w:asciiTheme="majorHAnsi" w:eastAsia="MS Mincho" w:hAnsiTheme="majorHAnsi" w:cs="Cambria"/>
      <w:sz w:val="24"/>
      <w:szCs w:val="26"/>
      <w:lang w:eastAsia="ar-SA"/>
    </w:rPr>
  </w:style>
  <w:style w:type="paragraph" w:customStyle="1" w:styleId="TEIarcheofieldworkmethod">
    <w:name w:val="TEI_archeo_fieldwork_method"/>
    <w:qFormat/>
    <w:rsid w:val="00065B6C"/>
    <w:pPr>
      <w:spacing w:after="120" w:line="264" w:lineRule="auto"/>
    </w:pPr>
    <w:rPr>
      <w:rFonts w:asciiTheme="majorHAnsi" w:eastAsia="MS Mincho" w:hAnsiTheme="majorHAnsi" w:cs="Cambria"/>
      <w:sz w:val="24"/>
      <w:szCs w:val="26"/>
      <w:lang w:eastAsia="ar-SA"/>
    </w:rPr>
  </w:style>
  <w:style w:type="paragraph" w:customStyle="1" w:styleId="TEIarcheoCHRfieldworkmethod">
    <w:name w:val="TEI_archeoCHR_fieldwork_method"/>
    <w:qFormat/>
    <w:rsid w:val="00065B6C"/>
    <w:pPr>
      <w:spacing w:after="120" w:line="264" w:lineRule="auto"/>
    </w:pPr>
    <w:rPr>
      <w:rFonts w:asciiTheme="majorHAnsi" w:eastAsia="MS Mincho" w:hAnsiTheme="majorHAnsi" w:cs="Cambria"/>
      <w:sz w:val="24"/>
      <w:szCs w:val="26"/>
      <w:lang w:eastAsia="ar-SA"/>
    </w:rPr>
  </w:style>
  <w:style w:type="character" w:customStyle="1" w:styleId="TEIarcheoCHRnameedt">
    <w:name w:val="TEI_archeoCHR_name:edt"/>
    <w:uiPriority w:val="1"/>
    <w:qFormat/>
    <w:rsid w:val="00065B6C"/>
    <w:rPr>
      <w:bdr w:val="none" w:sz="0" w:space="0" w:color="auto"/>
      <w:shd w:val="clear" w:color="auto" w:fill="DEEAF6" w:themeFill="accent5" w:themeFillTint="33"/>
    </w:rPr>
  </w:style>
  <w:style w:type="character" w:customStyle="1" w:styleId="TEIarcheoCHRnamefld">
    <w:name w:val="TEI_archeoCHR_name:fld"/>
    <w:uiPriority w:val="1"/>
    <w:qFormat/>
    <w:rsid w:val="00065B6C"/>
    <w:rPr>
      <w:bdr w:val="none" w:sz="0" w:space="0" w:color="auto"/>
      <w:shd w:val="clear" w:color="auto" w:fill="9CC2E5" w:themeFill="accent5" w:themeFillTint="99"/>
    </w:rPr>
  </w:style>
  <w:style w:type="character" w:customStyle="1" w:styleId="TEIarcheoCHRnameaut">
    <w:name w:val="TEI_archeoCHR_name:aut"/>
    <w:uiPriority w:val="1"/>
    <w:qFormat/>
    <w:rsid w:val="00065B6C"/>
    <w:rPr>
      <w:bdr w:val="none" w:sz="0" w:space="0" w:color="auto"/>
      <w:shd w:val="clear" w:color="auto" w:fill="BFBFBF" w:themeFill="background1" w:themeFillShade="BF"/>
    </w:rPr>
  </w:style>
  <w:style w:type="character" w:customStyle="1" w:styleId="TEIarcheoCHRnameautfld">
    <w:name w:val="TEI_archeoCHR_name:aut fld"/>
    <w:uiPriority w:val="1"/>
    <w:qFormat/>
    <w:rsid w:val="00065B6C"/>
    <w:rPr>
      <w:bdr w:val="none" w:sz="0" w:space="0" w:color="auto"/>
      <w:shd w:val="clear" w:color="auto" w:fill="ACB9CA" w:themeFill="text2" w:themeFillTint="66"/>
    </w:rPr>
  </w:style>
  <w:style w:type="paragraph" w:customStyle="1" w:styleId="TEIarcheoCHRauthority">
    <w:name w:val="TEI_archeoCHR_authority"/>
    <w:qFormat/>
    <w:rsid w:val="00065B6C"/>
    <w:pPr>
      <w:spacing w:before="120" w:after="120" w:line="240" w:lineRule="auto"/>
    </w:pPr>
    <w:rPr>
      <w:rFonts w:asciiTheme="majorHAnsi" w:eastAsia="Times New Roman" w:hAnsiTheme="majorHAnsi" w:cs="Arial MT"/>
      <w:sz w:val="24"/>
      <w:szCs w:val="20"/>
      <w:lang w:eastAsia="ar-SA"/>
    </w:rPr>
  </w:style>
  <w:style w:type="character" w:customStyle="1" w:styleId="TEIarcheoCHRaffinline">
    <w:name w:val="TEI_archeoCHR_aff_inline"/>
    <w:uiPriority w:val="1"/>
    <w:qFormat/>
    <w:rsid w:val="00065B6C"/>
    <w:rPr>
      <w:color w:val="3B3838" w:themeColor="background2" w:themeShade="40"/>
    </w:rPr>
  </w:style>
  <w:style w:type="character" w:styleId="Marquedecommentaire">
    <w:name w:val="annotation reference"/>
    <w:basedOn w:val="Policepardfaut"/>
    <w:uiPriority w:val="99"/>
    <w:semiHidden/>
    <w:unhideWhenUsed/>
    <w:rsid w:val="00D87F0B"/>
    <w:rPr>
      <w:sz w:val="16"/>
      <w:szCs w:val="16"/>
    </w:rPr>
  </w:style>
  <w:style w:type="paragraph" w:styleId="Commentaire">
    <w:name w:val="annotation text"/>
    <w:basedOn w:val="Normal"/>
    <w:link w:val="CommentaireCar"/>
    <w:uiPriority w:val="99"/>
    <w:semiHidden/>
    <w:unhideWhenUsed/>
    <w:rsid w:val="00D87F0B"/>
    <w:pPr>
      <w:spacing w:line="240" w:lineRule="auto"/>
    </w:pPr>
    <w:rPr>
      <w:sz w:val="20"/>
      <w:szCs w:val="20"/>
    </w:rPr>
  </w:style>
  <w:style w:type="character" w:customStyle="1" w:styleId="CommentaireCar">
    <w:name w:val="Commentaire Car"/>
    <w:basedOn w:val="Policepardfaut"/>
    <w:link w:val="Commentaire"/>
    <w:uiPriority w:val="99"/>
    <w:semiHidden/>
    <w:rsid w:val="00D87F0B"/>
    <w:rPr>
      <w:rFonts w:ascii="Calibri Light" w:eastAsia="MS Mincho" w:hAnsi="Calibri Light" w:cs="Calibri Light"/>
      <w:sz w:val="20"/>
      <w:szCs w:val="20"/>
      <w:lang w:eastAsia="ar-SA"/>
    </w:rPr>
  </w:style>
  <w:style w:type="paragraph" w:styleId="Objetducommentaire">
    <w:name w:val="annotation subject"/>
    <w:basedOn w:val="Commentaire"/>
    <w:next w:val="Commentaire"/>
    <w:link w:val="ObjetducommentaireCar"/>
    <w:uiPriority w:val="99"/>
    <w:semiHidden/>
    <w:unhideWhenUsed/>
    <w:rsid w:val="00D87F0B"/>
    <w:rPr>
      <w:b/>
      <w:bCs/>
    </w:rPr>
  </w:style>
  <w:style w:type="character" w:customStyle="1" w:styleId="ObjetducommentaireCar">
    <w:name w:val="Objet du commentaire Car"/>
    <w:basedOn w:val="CommentaireCar"/>
    <w:link w:val="Objetducommentaire"/>
    <w:uiPriority w:val="99"/>
    <w:semiHidden/>
    <w:rsid w:val="00D87F0B"/>
    <w:rPr>
      <w:rFonts w:ascii="Calibri Light" w:eastAsia="MS Mincho" w:hAnsi="Calibri Light" w:cs="Calibri Light"/>
      <w:b/>
      <w:bCs/>
      <w:sz w:val="20"/>
      <w:szCs w:val="2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file:///Z:\PURH\Livres_en_cours\Heraldique_et_papaute_2\Heraldique%20_et_papaute_2_preepr_20240827\icono\br\Ch10_Larraz\Fig133.jpg" TargetMode="External"/><Relationship Id="rId13" Type="http://schemas.openxmlformats.org/officeDocument/2006/relationships/image" Target="file:///Z:\PURH\Livres_en_cours\Heraldique_et_papaute_2\Heraldique%20_et_papaute_2_preepr_20240827\icono\br\Ch10_Larraz\Fig138.jpg" TargetMode="External"/><Relationship Id="rId3" Type="http://schemas.openxmlformats.org/officeDocument/2006/relationships/settings" Target="settings.xml"/><Relationship Id="rId7" Type="http://schemas.openxmlformats.org/officeDocument/2006/relationships/image" Target="file:///Z:\PURH\Livres_en_cours\Heraldique_et_papaute_2\Heraldique%20_et_papaute_2_preepr_20240827\icono\br\Ch10_Larraz\Fig132.jpg" TargetMode="External"/><Relationship Id="rId12" Type="http://schemas.openxmlformats.org/officeDocument/2006/relationships/image" Target="file:///Z:\PURH\Livres_en_cours\Heraldique_et_papaute_2\Heraldique%20_et_papaute_2_preepr_20240827\icono\br\Ch10_Larraz\Fig137.jp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file:///Z:\PURH\Livres_en_cours\Heraldique_et_papaute_2\Heraldique%20_et_papaute_2_preepr_20240827\icono\br\Ch10_Larraz\Fig136.png"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file:///Z:\PURH\Livres_en_cours\Heraldique_et_papaute_2\Heraldique%20_et_papaute_2_preepr_20240827\icono\br\Ch10_Larraz\Fig135.jpg" TargetMode="External"/><Relationship Id="rId4" Type="http://schemas.openxmlformats.org/officeDocument/2006/relationships/webSettings" Target="webSettings.xml"/><Relationship Id="rId9" Type="http://schemas.openxmlformats.org/officeDocument/2006/relationships/image" Target="file:///Z:\PURH\Livres_en_cours\Heraldique_et_papaute_2\Heraldique%20_et_papaute_2_preepr_20240827\icono\br\Ch10_Larraz\Fig134.jpg"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euziev1\AppData\Roaming\Microsoft\Templates\Commons-publishing-Metopes_extended.dot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Commons-publishing-Metopes_extended.dotm</Template>
  <TotalTime>568</TotalTime>
  <Pages>18</Pages>
  <Words>4314</Words>
  <Characters>24937</Characters>
  <Application>Microsoft Office Word</Application>
  <DocSecurity>0</DocSecurity>
  <Lines>402</Lines>
  <Paragraphs>171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29080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EVELYNE COMBES (Personnel)</dc:creator>
  <cp:keywords/>
  <dc:description/>
  <cp:lastModifiedBy>EVELYNE COMBES (Personnel)</cp:lastModifiedBy>
  <cp:revision>18</cp:revision>
  <dcterms:created xsi:type="dcterms:W3CDTF">2024-08-27T12:58:00Z</dcterms:created>
  <dcterms:modified xsi:type="dcterms:W3CDTF">2025-03-27T09:47:00Z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plVersion">
    <vt:lpwstr>1.0</vt:lpwstr>
  </property>
  <property fmtid="{D5CDD505-2E9C-101B-9397-08002B2CF9AE}" pid="3" name="source">
    <vt:lpwstr>Metopes</vt:lpwstr>
  </property>
  <property fmtid="{D5CDD505-2E9C-101B-9397-08002B2CF9AE}" pid="4" name="language">
    <vt:lpwstr>fr-FR</vt:lpwstr>
  </property>
  <property fmtid="{D5CDD505-2E9C-101B-9397-08002B2CF9AE}" pid="5" name="typez39">
    <vt:lpwstr>chapter</vt:lpwstr>
  </property>
</Properties>
</file>