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référentiel-purh"/>
    <w:p>
      <w:pPr>
        <w:pStyle w:val="Heading1"/>
      </w:pPr>
      <w:r>
        <w:t xml:space="preserve">RÉFÉRENTIEL PURH</w:t>
      </w:r>
    </w:p>
    <w:bookmarkStart w:id="9" w:name="Xc82257e326913da924c0884718611a42b4ffd5a"/>
    <w:p>
      <w:pPr>
        <w:pStyle w:val="Heading2"/>
      </w:pPr>
      <w:r>
        <w:t xml:space="preserve">Mise en page intérieure — chantier de parité v0.6 → v0.7 (profil</w:t>
      </w:r>
      <w:r>
        <w:t xml:space="preserve"> </w:t>
      </w:r>
      <w:r>
        <w:rPr>
          <w:rStyle w:val="VerbatimChar"/>
        </w:rPr>
        <w:t xml:space="preserve">purh_155x230_production_2025</w:t>
      </w:r>
      <w:r>
        <w:t xml:space="preserve">)</w:t>
      </w:r>
    </w:p>
    <w:p>
      <w:pPr>
        <w:pStyle w:val="FirstParagraph"/>
      </w:pPr>
      <w:r>
        <w:t xml:space="preserve">Version 0.7 — 2026-08-04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-de-cette-version"/>
    <w:p>
      <w:pPr>
        <w:pStyle w:val="Heading1"/>
      </w:pPr>
      <w:r>
        <w:t xml:space="preserve">0. Objet de cette version</w:t>
      </w:r>
    </w:p>
    <w:p>
      <w:pPr>
        <w:pStyle w:val="FirstParagraph"/>
      </w:pPr>
      <w:r>
        <w:t xml:space="preserve">La v0.6 fixait la cible et l’état des lieux. Depuis, un chantier de parité</w:t>
      </w:r>
      <w:r>
        <w:t xml:space="preserve"> </w:t>
      </w:r>
      <w:r>
        <w:t xml:space="preserve">visuelle a comparé systématiquement le PDF généré aux PDF imprimeur réels de</w:t>
      </w:r>
      <w:r>
        <w:t xml:space="preserve"> </w:t>
      </w:r>
      <w:r>
        <w:rPr>
          <w:i/>
          <w:iCs/>
        </w:rPr>
        <w:t xml:space="preserve">Dissimuler pour mieux régner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Beautés vitales</w:t>
      </w:r>
      <w:r>
        <w:t xml:space="preserve"> </w:t>
      </w:r>
      <w:r>
        <w:t xml:space="preserve">(vérification humaine</w:t>
      </w:r>
      <w:r>
        <w:t xml:space="preserve"> </w:t>
      </w:r>
      <w:r>
        <w:t xml:space="preserve">directe, page à page, jamais une mesure automatisée seule) et a corrigé</w:t>
      </w:r>
      <w:r>
        <w:t xml:space="preserve"> </w:t>
      </w:r>
      <w:r>
        <w:t xml:space="preserve">quatorze commits de défauts constatés. Cette version 0.7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 remplace pas</w:t>
      </w:r>
      <w:r>
        <w:t xml:space="preserve"> </w:t>
      </w:r>
      <w:r>
        <w:t xml:space="preserve">la v0.6 comme document de méthode (hiérarchie des</w:t>
      </w:r>
      <w:r>
        <w:t xml:space="preserve"> </w:t>
      </w:r>
      <w:r>
        <w:t xml:space="preserve">preuves, statut des profils, architecture LaTEI) — elle en est un</w:t>
      </w:r>
      <w:r>
        <w:t xml:space="preserve"> </w:t>
      </w:r>
      <w:r>
        <w:rPr>
          <w:b/>
          <w:bCs/>
        </w:rPr>
        <w:t xml:space="preserve">journal de modifications</w:t>
      </w:r>
      <w:r>
        <w:t xml:space="preserve">, à lire à sa suite ;</w:t>
      </w:r>
    </w:p>
    <w:p>
      <w:pPr>
        <w:pStyle w:val="Compact"/>
        <w:numPr>
          <w:ilvl w:val="0"/>
          <w:numId w:val="1001"/>
        </w:numPr>
      </w:pPr>
      <w:r>
        <w:t xml:space="preserve">documente</w:t>
      </w:r>
      <w:r>
        <w:t xml:space="preserve"> </w:t>
      </w:r>
      <w:r>
        <w:rPr>
          <w:b/>
          <w:bCs/>
        </w:rPr>
        <w:t xml:space="preserve">chaque valeur exacte</w:t>
      </w:r>
      <w:r>
        <w:t xml:space="preserve"> </w:t>
      </w:r>
      <w:r>
        <w:t xml:space="preserve">(police, graisse, corps, interligne,</w:t>
      </w:r>
      <w:r>
        <w:t xml:space="preserve"> </w:t>
      </w:r>
      <w:r>
        <w:t xml:space="preserve">couleur CMJN, marge, macro LaTeX) telle qu’elle est</w:t>
      </w:r>
      <w:r>
        <w:t xml:space="preserve"> </w:t>
      </w:r>
      <w:r>
        <w:rPr>
          <w:i/>
          <w:iCs/>
        </w:rPr>
        <w:t xml:space="preserve">implémentée</w:t>
      </w:r>
      <w:r>
        <w:rPr>
          <w:i/>
          <w:iCs/>
        </w:rPr>
        <w:t xml:space="preserve"> </w:t>
      </w:r>
      <w:r>
        <w:rPr>
          <w:i/>
          <w:iCs/>
        </w:rPr>
        <w:t xml:space="preserve">aujourd’hui</w:t>
      </w:r>
      <w:r>
        <w:t xml:space="preserve"> </w:t>
      </w:r>
      <w:r>
        <w:t xml:space="preserve">dans le code, avec sa justification et, si elle contredit un</w:t>
      </w:r>
      <w:r>
        <w:t xml:space="preserve"> </w:t>
      </w:r>
      <w:r>
        <w:t xml:space="preserve">passage antérieur du référentiel, la raison de cette contradiction ;</w:t>
      </w:r>
    </w:p>
    <w:p>
      <w:pPr>
        <w:pStyle w:val="Compact"/>
        <w:numPr>
          <w:ilvl w:val="0"/>
          <w:numId w:val="1001"/>
        </w:numPr>
      </w:pPr>
      <w:r>
        <w:t xml:space="preserve">est écrite pour qu’une personne qui n’a pas suivi le chantier puisse</w:t>
      </w:r>
      <w:r>
        <w:t xml:space="preserve"> </w:t>
      </w:r>
      <w:r>
        <w:rPr>
          <w:b/>
          <w:bCs/>
        </w:rPr>
        <w:t xml:space="preserve">reproduire le même travail sur un autre format</w:t>
      </w:r>
      <w:r>
        <w:t xml:space="preserve"> </w:t>
      </w:r>
      <w:r>
        <w:t xml:space="preserve">(195 × 255, 180 × 240)</w:t>
      </w:r>
      <w:r>
        <w:t xml:space="preserve"> </w:t>
      </w:r>
      <w:r>
        <w:t xml:space="preserve">sans redécouvrir par tâtonnement les mêmes pièges.</w:t>
      </w:r>
    </w:p>
    <w:p>
      <w:pPr>
        <w:pStyle w:val="FirstParagraph"/>
      </w:pPr>
      <w:r>
        <w:rPr>
          <w:b/>
          <w:bCs/>
        </w:rPr>
        <w:t xml:space="preserve">Portée</w:t>
      </w:r>
      <w:r>
        <w:t xml:space="preserve"> </w:t>
      </w:r>
      <w:r>
        <w:t xml:space="preserve">: uniquement le profil</w:t>
      </w:r>
      <w:r>
        <w:t xml:space="preserve"> </w:t>
      </w:r>
      <w:r>
        <w:rPr>
          <w:rStyle w:val="VerbatimChar"/>
        </w:rPr>
        <w:t xml:space="preserve">purh_155x230_production_2025</w:t>
      </w:r>
      <w:r>
        <w:t xml:space="preserve"> </w:t>
      </w:r>
      <w:r>
        <w:t xml:space="preserve">(155 × 230</w:t>
      </w:r>
      <w:r>
        <w:t xml:space="preserve"> </w:t>
      </w:r>
      <w:r>
        <w:t xml:space="preserve">mm), seul format actuellement implémenté. Le profil</w:t>
      </w:r>
      <w:r>
        <w:t xml:space="preserve"> </w:t>
      </w:r>
      <w:r>
        <w:rPr>
          <w:rStyle w:val="VerbatimChar"/>
        </w:rPr>
        <w:t xml:space="preserve">purh_155x230_current_2026</w:t>
      </w:r>
      <w:r>
        <w:t xml:space="preserve"> </w:t>
      </w:r>
      <w:r>
        <w:t xml:space="preserve">existe toujours dans</w:t>
      </w:r>
      <w:r>
        <w:t xml:space="preserve"> </w:t>
      </w:r>
      <w:r>
        <w:rPr>
          <w:rStyle w:val="VerbatimChar"/>
        </w:rPr>
        <w:t xml:space="preserve">purh_layout_profiles.py</w:t>
      </w:r>
      <w:r>
        <w:t xml:space="preserve"> </w:t>
      </w:r>
      <w:r>
        <w:t xml:space="preserve">mais n’a pas reçu les mêmes</w:t>
      </w:r>
      <w:r>
        <w:t xml:space="preserve"> </w:t>
      </w:r>
      <w:r>
        <w:t xml:space="preserve">correctifs de titraille/couleur (ceux-ci sont dans les macros et le</w:t>
      </w:r>
      <w:r>
        <w:t xml:space="preserve"> </w:t>
      </w:r>
      <w:r>
        <w:t xml:space="preserve">préambule, communs à tous les profils — seules les dimensions géométriques</w:t>
      </w:r>
      <w:r>
        <w:t xml:space="preserve"> </w:t>
      </w:r>
      <w:r>
        <w:t xml:space="preserve">sont propres au profil, voir §12).</w:t>
      </w:r>
    </w:p>
    <w:p>
      <w:pPr>
        <w:pStyle w:val="BodyText"/>
      </w:pPr>
      <w:r>
        <w:rPr>
          <w:b/>
          <w:bCs/>
        </w:rPr>
        <w:t xml:space="preserve">Méthode suivie sur tout le chantier, à respecter pour les prochains</w:t>
      </w:r>
      <w:r>
        <w:rPr>
          <w:b/>
          <w:bCs/>
        </w:rPr>
        <w:t xml:space="preserve"> </w:t>
      </w:r>
      <w:r>
        <w:rPr>
          <w:b/>
          <w:bCs/>
        </w:rPr>
        <w:t xml:space="preserve">formats</w:t>
      </w:r>
      <w:r>
        <w:t xml:space="preserve"> </w:t>
      </w:r>
      <w:r>
        <w:t xml:space="preserve">: quand une observation humaine directe sur le PDF généré</w:t>
      </w:r>
      <w:r>
        <w:t xml:space="preserve"> </w:t>
      </w:r>
      <w:r>
        <w:t xml:space="preserve">face au PDF imprimeur contredit un passage antérieur du référentiel, c’est</w:t>
      </w:r>
      <w:r>
        <w:t xml:space="preserve"> </w:t>
      </w:r>
      <w:r>
        <w:t xml:space="preserve">l’observation directe qui l’emporte, et l’écart est documenté dans un</w:t>
      </w:r>
      <w:r>
        <w:t xml:space="preserve"> </w:t>
      </w:r>
      <w:r>
        <w:t xml:space="preserve">commentaire de code à l’endroit corrigé (jamais silencieusement). Ce</w:t>
      </w:r>
      <w:r>
        <w:t xml:space="preserve"> </w:t>
      </w:r>
      <w:r>
        <w:t xml:space="preserve">document reproduit ces commentaires en substance pour ne pas les laisser</w:t>
      </w:r>
      <w:r>
        <w:t xml:space="preserve"> </w:t>
      </w:r>
      <w:r>
        <w:t xml:space="preserve">dispersés dans onze fichiers.</w:t>
      </w:r>
    </w:p>
    <w:p>
      <w:r>
        <w:pict>
          <v:rect style="width:0;height:1.5pt" o:hralign="center" o:hrstd="t" o:hr="t"/>
        </w:pict>
      </w:r>
    </w:p>
    <w:bookmarkEnd w:id="11"/>
    <w:bookmarkStart w:id="12" w:name="X29182a4d31ec98c9697be8704cde264e383e4db"/>
    <w:p>
      <w:pPr>
        <w:pStyle w:val="Heading1"/>
      </w:pPr>
      <w:r>
        <w:t xml:space="preserve">1. Résumé exécutif des changements depuis la v0.6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Sujet</w:t>
            </w:r>
          </w:p>
        </w:tc>
        <w:tc>
          <w:tcPr/>
          <w:p>
            <w:pPr>
              <w:pStyle w:val="Compact"/>
            </w:pPr>
            <w:r>
              <w:t xml:space="preserve">Changement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Titraille (parties, chapitres, sections, sous-sections, sous-sous-sections)</w:t>
            </w:r>
          </w:p>
        </w:tc>
        <w:tc>
          <w:tcPr/>
          <w:p>
            <w:pPr>
              <w:pStyle w:val="Compact"/>
            </w:pPr>
            <w:r>
              <w:t xml:space="preserve">Passage de Josefin Sans</w:t>
            </w:r>
            <w:r>
              <w:t xml:space="preserve"> </w:t>
            </w:r>
            <w:r>
              <w:rPr>
                <w:b/>
                <w:bCs/>
              </w:rPr>
              <w:t xml:space="preserve">Thin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rPr>
                <w:b/>
                <w:bCs/>
              </w:rPr>
              <w:t xml:space="preserve">Bold</w:t>
            </w:r>
            <w:r>
              <w:t xml:space="preserve">, sur tous les niveaux — le référentiel v0.6 prescrivait Thin, contredit par observation directe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Sous-titre d’ouverture de contribution</w:t>
            </w:r>
          </w:p>
        </w:tc>
        <w:tc>
          <w:tcPr/>
          <w:p>
            <w:pPr>
              <w:pStyle w:val="Compact"/>
            </w:pPr>
            <w:r>
              <w:t xml:space="preserve">Thin Italic →</w:t>
            </w:r>
            <w:r>
              <w:t xml:space="preserve"> </w:t>
            </w:r>
            <w:r>
              <w:rPr>
                <w:b/>
                <w:bCs/>
              </w:rPr>
              <w:t xml:space="preserve">Bold Italic</w:t>
            </w:r>
            <w:r>
              <w:t xml:space="preserve">, bas de casse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Titre courant (running title)</w:t>
            </w:r>
          </w:p>
        </w:tc>
        <w:tc>
          <w:tcPr/>
          <w:p>
            <w:pPr>
              <w:pStyle w:val="Compact"/>
            </w:pPr>
            <w:r>
              <w:t xml:space="preserve">Trois réglages successifs le même jour ; valeur finale : famille Thin + couleur CMJN noir 50 % explicite (pas de changement de graisse)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Texte courant</w:t>
            </w:r>
          </w:p>
        </w:tc>
        <w:tc>
          <w:tcPr/>
          <w:p>
            <w:pPr>
              <w:pStyle w:val="Compact"/>
            </w:pPr>
            <w:r>
              <w:t xml:space="preserve">Couleur CMJN noir 90 % appliquée globalement (</w:t>
            </w:r>
            <w:r>
              <w:rPr>
                <w:rStyle w:val="VerbatimChar"/>
              </w:rPr>
              <w:t xml:space="preserve">\AtBeginDocument{\color{PURHBodyBlack}}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Table des matières</w:t>
            </w:r>
          </w:p>
        </w:tc>
        <w:tc>
          <w:tcPr/>
          <w:p>
            <w:pPr>
              <w:pStyle w:val="Compact"/>
            </w:pPr>
            <w:r>
              <w:t xml:space="preserve">Refonte complète : entrées de contribution non grasses/bas de casse/Chaparral/alignées à gauche avec points de conduite, entrées de partie centrées Josefin Bold, auteur en gras sous chaque entrée de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Signature de fin d’article</w:t>
            </w:r>
          </w:p>
        </w:tc>
        <w:tc>
          <w:tcPr/>
          <w:p>
            <w:pPr>
              <w:pStyle w:val="Compact"/>
            </w:pPr>
            <w:r>
              <w:t xml:space="preserve">Nouveau mécanisme : auteur + affiliation réapparaissent à la fin du corps de la contribution, calés à droite, Chaparral 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Page de titre</w:t>
            </w:r>
          </w:p>
        </w:tc>
        <w:tc>
          <w:tcPr/>
          <w:p>
            <w:pPr>
              <w:pStyle w:val="Compact"/>
            </w:pPr>
            <w:r>
              <w:t xml:space="preserve">Refonte complète : titre principal 22/26 pt, sous-titre 15/18 pt sur 2 lignes calibrées, responsabilité éditoriale (« sous la direction de ») sur 2 lignes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Faux-titre</w:t>
            </w:r>
          </w:p>
        </w:tc>
        <w:tc>
          <w:tcPr/>
          <w:p>
            <w:pPr>
              <w:pStyle w:val="Compact"/>
            </w:pPr>
            <w:r>
              <w:t xml:space="preserve">Remonté (0,35 → 0,25</w:t>
            </w:r>
            <w:r>
              <w:t xml:space="preserve"> </w:t>
            </w:r>
            <w:r>
              <w:rPr>
                <w:rStyle w:val="VerbatimChar"/>
              </w:rPr>
              <w:t xml:space="preserve">\textheight</w:t>
            </w:r>
            <w:r>
              <w:t xml:space="preserve">), repassé en Bold capitales 12/14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Colophon (page de crédits)</w:t>
            </w:r>
          </w:p>
        </w:tc>
        <w:tc>
          <w:tcPr/>
          <w:p>
            <w:pPr>
              <w:pStyle w:val="Compact"/>
            </w:pPr>
            <w:r>
              <w:t xml:space="preserve">Calé en bas de page (pas centré verticalement), interlignage resserré, année/ISBN correctement omis si absents, adresse/URL PURH fixes ajoutées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Coupures de ligne du titre d’ouverture de contribution</w:t>
            </w:r>
          </w:p>
        </w:tc>
        <w:tc>
          <w:tcPr/>
          <w:p>
            <w:pPr>
              <w:pStyle w:val="Compact"/>
            </w:pPr>
            <w:r>
              <w:t xml:space="preserve">Largeur de boîte calibrée empiriquement à 104 mm (vérifiée contre 7 titres réels)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Tableaux : fond des lignes d’en-tête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\rowcolor{black!30}</w:t>
            </w:r>
            <w:r>
              <w:t xml:space="preserve"> </w:t>
            </w:r>
            <w:r>
              <w:t xml:space="preserve">généré directement par le writer Python, reconnu et neutralisé par le 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Ouverture de contribution/partie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\thispagestyle{empty}</w:t>
            </w:r>
            <w:r>
              <w:t xml:space="preserve"> </w:t>
            </w:r>
            <w:r>
              <w:t xml:space="preserve">forcé sur la première page (déjà partiellement en place, complété)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Auteur/affiliation sur l’ouverture de contribution</w:t>
            </w:r>
          </w:p>
        </w:tc>
        <w:tc>
          <w:tcPr/>
          <w:p>
            <w:pPr>
              <w:pStyle w:val="Compact"/>
            </w:pPr>
            <w:r>
              <w:t xml:space="preserve">Confirmé masqué par défaut (</w:t>
            </w:r>
            <w:r>
              <w:rPr>
                <w:rStyle w:val="VerbatimChar"/>
              </w:rPr>
              <w:t xml:space="preserve">show_contribution_author=False</w:t>
            </w:r>
            <w:r>
              <w:t xml:space="preserve">), donnée conservée dans le corps réversible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Liste des auteurs en fin d’ouvrage (item séparé par ligne blanche)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implémenté</w:t>
            </w:r>
            <w:r>
              <w:t xml:space="preserve"> </w:t>
            </w:r>
            <w:r>
              <w:t xml:space="preserve">— voir §14, aucun marqueur TEI générique disponible</w:t>
            </w:r>
          </w:p>
        </w:tc>
      </w:tr>
    </w:tbl>
    <w:p>
      <w:pPr>
        <w:pStyle w:val="BodyText"/>
      </w:pPr>
      <w:r>
        <w:t xml:space="preserve">Le détail de chaque point, avec valeurs exactes et code source, suit dans</w:t>
      </w:r>
      <w:r>
        <w:t xml:space="preserve"> </w:t>
      </w:r>
      <w:r>
        <w:t xml:space="preserve">les sections thématiques ci-dessous.</w:t>
      </w:r>
    </w:p>
    <w:p>
      <w:r>
        <w:pict>
          <v:rect style="width:0;height:1.5pt" o:hralign="center" o:hrstd="t" o:hr="t"/>
        </w:pict>
      </w:r>
    </w:p>
    <w:bookmarkEnd w:id="12"/>
    <w:bookmarkStart w:id="18" w:name="X984115664138b996af87d7964d4bd47de469b81"/>
    <w:p>
      <w:pPr>
        <w:pStyle w:val="Heading1"/>
      </w:pPr>
      <w:r>
        <w:t xml:space="preserve">2. Système typographique — état exact au 2026-08-04</w:t>
      </w:r>
    </w:p>
    <w:bookmarkStart w:id="13" w:name="fontes-chargées"/>
    <w:p>
      <w:pPr>
        <w:pStyle w:val="Heading2"/>
      </w:pPr>
      <w:r>
        <w:t xml:space="preserve">2.1. Fontes chargées</w:t>
      </w:r>
    </w:p>
    <w:p>
      <w:pPr>
        <w:pStyle w:val="SourceCode"/>
      </w:pPr>
      <w:r>
        <w:rPr>
          <w:rStyle w:val="FunctionTok"/>
        </w:rPr>
        <w:t xml:space="preserve">\IfFontExistsTF</w:t>
      </w:r>
      <w:r>
        <w:rPr>
          <w:rStyle w:val="NormalTok"/>
        </w:rPr>
        <w:t xml:space="preserve">{Chaparral Pro}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\setmainfont</w:t>
      </w:r>
      <w:r>
        <w:rPr>
          <w:rStyle w:val="NormalTok"/>
        </w:rPr>
        <w:t xml:space="preserve">{Chaparral Pro}}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\setmainfont</w:t>
      </w:r>
      <w:r>
        <w:rPr>
          <w:rStyle w:val="NormalTok"/>
        </w:rPr>
        <w:t xml:space="preserve">{TeX Gyre Pagella}}</w:t>
      </w:r>
      <w:r>
        <w:br/>
      </w:r>
      <w:r>
        <w:br/>
      </w:r>
      <w:r>
        <w:rPr>
          <w:rStyle w:val="FunctionTok"/>
        </w:rPr>
        <w:t xml:space="preserve">\IfFontExistsTF</w:t>
      </w:r>
      <w:r>
        <w:rPr>
          <w:rStyle w:val="NormalTok"/>
        </w:rPr>
        <w:t xml:space="preserve">{Josefin Sans}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\newfontfamily\PURHTitleFont</w:t>
      </w:r>
      <w:r>
        <w:rPr>
          <w:rStyle w:val="NormalTok"/>
        </w:rPr>
        <w:t xml:space="preserve">{Josefin Sans}}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\newfontfamily\PURHTitleFont</w:t>
      </w:r>
      <w:r>
        <w:rPr>
          <w:rStyle w:val="NormalTok"/>
        </w:rPr>
        <w:t xml:space="preserve">{TeX Gyre Heros}}</w:t>
      </w:r>
      <w:r>
        <w:br/>
      </w:r>
      <w:r>
        <w:br/>
      </w:r>
      <w:r>
        <w:rPr>
          <w:rStyle w:val="FunctionTok"/>
        </w:rPr>
        <w:t xml:space="preserve">\IfFontExistsTF</w:t>
      </w:r>
      <w:r>
        <w:rPr>
          <w:rStyle w:val="NormalTok"/>
        </w:rPr>
        <w:t xml:space="preserve">{Josefin Sans Thin}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\newfontfamily\PURHTitreFont</w:t>
      </w:r>
      <w:r>
        <w:rPr>
          <w:rStyle w:val="NormalTok"/>
        </w:rPr>
        <w:t xml:space="preserve">{Josefin Sans Thin}}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\newfontfamily\PURHTitreFont</w:t>
      </w:r>
      <w:r>
        <w:rPr>
          <w:rStyle w:val="NormalTok"/>
        </w:rPr>
        <w:t xml:space="preserve">{TeX Gyre Heros}}</w:t>
      </w:r>
      <w:r>
        <w:br/>
      </w:r>
      <w:r>
        <w:br/>
      </w:r>
      <w:r>
        <w:rPr>
          <w:rStyle w:val="FunctionTok"/>
        </w:rPr>
        <w:t xml:space="preserve">\IfFontExistsTF</w:t>
      </w:r>
      <w:r>
        <w:rPr>
          <w:rStyle w:val="NormalTok"/>
        </w:rPr>
        <w:t xml:space="preserve">{Latin Modern Mono}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\setmonofont</w:t>
      </w:r>
      <w:r>
        <w:rPr>
          <w:rStyle w:val="NormalTok"/>
        </w:rPr>
        <w:t xml:space="preserve">{Latin Modern Mono}}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\setmonofont</w:t>
      </w:r>
      <w:r>
        <w:rPr>
          <w:rStyle w:val="NormalTok"/>
        </w:rPr>
        <w:t xml:space="preserve">{TeX Gyre Cursor}}</w:t>
      </w:r>
    </w:p>
    <w:p>
      <w:pPr>
        <w:pStyle w:val="FirstParagraph"/>
      </w:pPr>
      <w:r>
        <w:t xml:space="preserve">Deux familles Josefin Sans distinctes coexistent, et c’est volontaire 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\PURHTitleFont</w:t>
      </w:r>
      <w:r>
        <w:t xml:space="preserve"> </w:t>
      </w:r>
      <w:r>
        <w:t xml:space="preserve">charge la famille Josefin Sans complète (toutes</w:t>
      </w:r>
      <w:r>
        <w:t xml:space="preserve"> </w:t>
      </w:r>
      <w:r>
        <w:t xml:space="preserve">graisses NFSS : régulière,</w:t>
      </w:r>
      <w:r>
        <w:t xml:space="preserve"> </w:t>
      </w:r>
      <w:r>
        <w:rPr>
          <w:b/>
          <w:bCs/>
        </w:rPr>
        <w:t xml:space="preserve">Bold</w:t>
      </w:r>
      <w:r>
        <w:t xml:space="preserve">, italique…). C’est elle qu’il faut</w:t>
      </w:r>
      <w:r>
        <w:t xml:space="preserve"> </w:t>
      </w:r>
      <w:r>
        <w:t xml:space="preserve">utiliser partout où un</w:t>
      </w:r>
      <w:r>
        <w:t xml:space="preserve"> </w:t>
      </w:r>
      <w:r>
        <w:rPr>
          <w:rStyle w:val="VerbatimChar"/>
        </w:rPr>
        <w:t xml:space="preserve">\bfseries</w:t>
      </w:r>
      <w:r>
        <w:t xml:space="preserve"> </w:t>
      </w:r>
      <w:r>
        <w:t xml:space="preserve">réel est requis.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\PURHTitreFont</w:t>
      </w:r>
      <w:r>
        <w:t xml:space="preserve"> </w:t>
      </w:r>
      <w:r>
        <w:t xml:space="preserve">charge uniquement</w:t>
      </w:r>
      <w:r>
        <w:t xml:space="preserve"> </w:t>
      </w:r>
      <w:r>
        <w:rPr>
          <w:b/>
          <w:bCs/>
        </w:rPr>
        <w:t xml:space="preserve">Josefin Sans Thin</w:t>
      </w:r>
      <w:r>
        <w:t xml:space="preserve"> </w:t>
      </w:r>
      <w:r>
        <w:t xml:space="preserve">comme famille</w:t>
      </w:r>
      <w:r>
        <w:t xml:space="preserve"> </w:t>
      </w:r>
      <w:r>
        <w:t xml:space="preserve">indépendante (elle porte ses propres graisses Thin romain/italique, mais</w:t>
      </w:r>
      <w:r>
        <w:t xml:space="preserve"> </w:t>
      </w:r>
      <w:r>
        <w:t xml:space="preserve">aucune graisse « Bold » véritable au sens NFSS — un</w:t>
      </w:r>
      <w:r>
        <w:t xml:space="preserve"> </w:t>
      </w:r>
      <w:r>
        <w:rPr>
          <w:rStyle w:val="VerbatimChar"/>
        </w:rPr>
        <w:t xml:space="preserve">\bfseries</w:t>
      </w:r>
      <w:r>
        <w:t xml:space="preserve"> </w:t>
      </w:r>
      <w:r>
        <w:t xml:space="preserve">sur cette</w:t>
      </w:r>
      <w:r>
        <w:t xml:space="preserve"> </w:t>
      </w:r>
      <w:r>
        <w:t xml:space="preserve">famille ne produirait rien de fiable). Elle ne sert plus, après ce</w:t>
      </w:r>
      <w:r>
        <w:t xml:space="preserve"> </w:t>
      </w:r>
      <w:r>
        <w:t xml:space="preserve">chantier, qu’au titre courant (</w:t>
      </w:r>
      <w:r>
        <w:rPr>
          <w:rStyle w:val="VerbatimChar"/>
        </w:rPr>
        <w:t xml:space="preserve">\PURHHeaderFont</w:t>
      </w:r>
      <w:r>
        <w:t xml:space="preserve">, voir §4).</w:t>
      </w:r>
    </w:p>
    <w:p>
      <w:pPr>
        <w:pStyle w:val="FirstParagraph"/>
      </w:pPr>
      <w:r>
        <w:rPr>
          <w:b/>
          <w:bCs/>
        </w:rPr>
        <w:t xml:space="preserve">Piège à éviter sur un autre format</w:t>
      </w:r>
      <w:r>
        <w:t xml:space="preserve"> </w:t>
      </w:r>
      <w:r>
        <w:t xml:space="preserve">: ne jamais utiliser</w:t>
      </w:r>
      <w:r>
        <w:t xml:space="preserve"> </w:t>
      </w:r>
      <w:r>
        <w:rPr>
          <w:rStyle w:val="VerbatimChar"/>
        </w:rPr>
        <w:t xml:space="preserve">\PURHTitreFont\bfseries</w:t>
      </w:r>
      <w:r>
        <w:t xml:space="preserve"> </w:t>
      </w:r>
      <w:r>
        <w:t xml:space="preserve">en espérant un résultat gras — la police Thin</w:t>
      </w:r>
      <w:r>
        <w:t xml:space="preserve"> </w:t>
      </w:r>
      <w:r>
        <w:t xml:space="preserve">correspondante n’existe simplement pas dans cette famille NFSS. Utiliser</w:t>
      </w:r>
      <w:r>
        <w:t xml:space="preserve"> </w:t>
      </w:r>
      <w:r>
        <w:rPr>
          <w:rStyle w:val="VerbatimChar"/>
        </w:rPr>
        <w:t xml:space="preserve">\PURHTitleFont\bfseries</w:t>
      </w:r>
      <w:r>
        <w:t xml:space="preserve"> </w:t>
      </w:r>
      <w:r>
        <w:t xml:space="preserve">à la place.</w:t>
      </w:r>
    </w:p>
    <w:bookmarkEnd w:id="13"/>
    <w:bookmarkStart w:id="14" w:name="couleur-du-texte-courant"/>
    <w:p>
      <w:pPr>
        <w:pStyle w:val="Heading2"/>
      </w:pPr>
      <w:r>
        <w:t xml:space="preserve">2.2. Couleur du texte courant</w:t>
      </w:r>
    </w:p>
    <w:p>
      <w:pPr>
        <w:pStyle w:val="SourceCode"/>
      </w:pPr>
      <w:r>
        <w:rPr>
          <w:rStyle w:val="FunctionTok"/>
        </w:rPr>
        <w:t xml:space="preserve">\definecolor</w:t>
      </w:r>
      <w:r>
        <w:rPr>
          <w:rStyle w:val="NormalTok"/>
        </w:rPr>
        <w:t xml:space="preserve">{PURHBodyBlack}{cmyk}{0,0,0,0.9}</w:t>
      </w:r>
      <w:r>
        <w:br/>
      </w:r>
      <w:r>
        <w:rPr>
          <w:rStyle w:val="FunctionTok"/>
        </w:rPr>
        <w:t xml:space="preserve">\AtBeginDocument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{PURHBodyBlack}}</w:t>
      </w:r>
    </w:p>
    <w:p>
      <w:pPr>
        <w:pStyle w:val="FirstParagraph"/>
      </w:pPr>
      <w:r>
        <w:t xml:space="preserve">Le référentiel v0.6 (§12.1) constatait que « le texte courant du PDF</w:t>
      </w:r>
      <w:r>
        <w:t xml:space="preserve"> </w:t>
      </w:r>
      <w:r>
        <w:t xml:space="preserve">imprimeur correspond à un noir process à 90 % [K] » contre un noir plein</w:t>
      </w:r>
      <w:r>
        <w:t xml:space="preserve"> </w:t>
      </w:r>
      <w:r>
        <w:t xml:space="preserve">dans la sortie générée. Corrigé par une teinte CMJN explicite (et non un</w:t>
      </w:r>
      <w:r>
        <w:t xml:space="preserve"> </w:t>
      </w:r>
      <w:r>
        <w:t xml:space="preserve">gris RVB, qui n’a pas de sens en quadrichromie), appliquée globalement dès</w:t>
      </w:r>
      <w:r>
        <w:t xml:space="preserve"> </w:t>
      </w:r>
      <w:r>
        <w:t xml:space="preserve">le début du document.</w:t>
      </w:r>
    </w:p>
    <w:bookmarkEnd w:id="14"/>
    <w:bookmarkStart w:id="15" w:name="corps-de-texte"/>
    <w:p>
      <w:pPr>
        <w:pStyle w:val="Heading2"/>
      </w:pPr>
      <w:r>
        <w:t xml:space="preserve">2.3. Corps de texte</w:t>
      </w:r>
    </w:p>
    <w:p>
      <w:pPr>
        <w:pStyle w:val="SourceCode"/>
      </w:pPr>
      <w:r>
        <w:rPr>
          <w:rStyle w:val="FunctionTok"/>
        </w:rPr>
        <w:t xml:space="preserve">\renewcommand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\normalsize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\fontsize</w:t>
      </w:r>
      <w:r>
        <w:rPr>
          <w:rStyle w:val="NormalTok"/>
        </w:rPr>
        <w:t xml:space="preserve">{11pt}{13.5pt}</w:t>
      </w:r>
      <w:r>
        <w:rPr>
          <w:rStyle w:val="FunctionTok"/>
        </w:rPr>
        <w:t xml:space="preserve">\selectfont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\normalsize</w:t>
      </w:r>
    </w:p>
    <w:p>
      <w:pPr>
        <w:pStyle w:val="FirstParagraph"/>
      </w:pPr>
      <w:r>
        <w:t xml:space="preserve">Fixé explicitement (11/13,5 pt) plutôt que de dépendre de la table de</w:t>
      </w:r>
      <w:r>
        <w:t xml:space="preserve"> </w:t>
      </w:r>
      <w:r>
        <w:t xml:space="preserve">tailles native de</w:t>
      </w:r>
      <w:r>
        <w:t xml:space="preserve"> </w:t>
      </w:r>
      <w:r>
        <w:rPr>
          <w:rStyle w:val="VerbatimChar"/>
        </w:rPr>
        <w:t xml:space="preserve">\documentclass{book}</w:t>
      </w:r>
      <w:r>
        <w:t xml:space="preserve">, qui donne un pas voisin mais pas</w:t>
      </w:r>
      <w:r>
        <w:t xml:space="preserve"> </w:t>
      </w:r>
      <w:r>
        <w:t xml:space="preserve">identique.</w:t>
      </w:r>
    </w:p>
    <w:bookmarkEnd w:id="15"/>
    <w:bookmarkStart w:id="16" w:name="Xe13f0889413ef9a84fcfc3a012b473d948d3e59"/>
    <w:p>
      <w:pPr>
        <w:pStyle w:val="Heading2"/>
      </w:pPr>
      <w:r>
        <w:t xml:space="preserve">2.4. Graisse des titres — la correction centrale du chantier</w:t>
      </w:r>
    </w:p>
    <w:p>
      <w:pPr>
        <w:pStyle w:val="FirstParagraph"/>
      </w:pPr>
      <w:r>
        <w:rPr>
          <w:b/>
          <w:bCs/>
        </w:rPr>
        <w:t xml:space="preserve">Constat commun à tous les niveaux de titraille</w:t>
      </w:r>
      <w:r>
        <w:t xml:space="preserve"> </w:t>
      </w:r>
      <w:r>
        <w:t xml:space="preserve">(parties, chapitres,</w:t>
      </w:r>
      <w:r>
        <w:t xml:space="preserve"> </w:t>
      </w:r>
      <w:r>
        <w:t xml:space="preserve">sections, sous-sections, sous-sous-sections, titre et sous-titre d’ouverture</w:t>
      </w:r>
      <w:r>
        <w:t xml:space="preserve"> </w:t>
      </w:r>
      <w:r>
        <w:t xml:space="preserve">de contribution) : le référentiel v0.6 prescrivait la famille</w:t>
      </w:r>
      <w:r>
        <w:t xml:space="preserve"> </w:t>
      </w:r>
      <w:r>
        <w:rPr>
          <w:b/>
          <w:bCs/>
        </w:rPr>
        <w:t xml:space="preserve">Thin</w:t>
      </w:r>
      <w:r>
        <w:t xml:space="preserve"> </w:t>
      </w:r>
      <w:r>
        <w:t xml:space="preserve">(§2.5, §4.3, §5.3), mais la vérification humaine directe du PDF généré face</w:t>
      </w:r>
      <w:r>
        <w:t xml:space="preserve"> </w:t>
      </w:r>
      <w:r>
        <w:t xml:space="preserve">au PDF imprimeur montre que</w:t>
      </w:r>
      <w:r>
        <w:t xml:space="preserve"> </w:t>
      </w:r>
      <w:r>
        <w:rPr>
          <w:b/>
          <w:bCs/>
        </w:rPr>
        <w:t xml:space="preserve">tous ces niveaux sont noirs et gras</w:t>
      </w:r>
      <w:r>
        <w:t xml:space="preserve"> </w:t>
      </w:r>
      <w:r>
        <w:t xml:space="preserve">dans</w:t>
      </w:r>
      <w:r>
        <w:t xml:space="preserve"> </w:t>
      </w:r>
      <w:r>
        <w:t xml:space="preserve">l’imprimé réel — le rendu Thin, lui, produisait un texte maigre et grisâtre,</w:t>
      </w:r>
      <w:r>
        <w:t xml:space="preserve"> </w:t>
      </w:r>
      <w:r>
        <w:t xml:space="preserve">peu lisible. C’est cette observation directe qui a été suivie, pas le texte</w:t>
      </w:r>
      <w:r>
        <w:t xml:space="preserve"> </w:t>
      </w:r>
      <w:r>
        <w:t xml:space="preserve">du référentiel.</w:t>
      </w:r>
    </w:p>
    <w:p>
      <w:pPr>
        <w:pStyle w:val="BodyText"/>
      </w:pPr>
      <w:r>
        <w:t xml:space="preserve">Le correctif technique est le même partout : remplacer</w:t>
      </w:r>
      <w:r>
        <w:t xml:space="preserve"> </w:t>
      </w:r>
      <w:r>
        <w:rPr>
          <w:rStyle w:val="VerbatimChar"/>
        </w:rPr>
        <w:t xml:space="preserve">\PURHTitreFont</w:t>
      </w:r>
      <w:r>
        <w:t xml:space="preserve"> </w:t>
      </w:r>
      <w:r>
        <w:t xml:space="preserve">(famille Thin seule) par</w:t>
      </w:r>
      <w:r>
        <w:t xml:space="preserve"> </w:t>
      </w:r>
      <w:r>
        <w:rPr>
          <w:rStyle w:val="VerbatimChar"/>
        </w:rPr>
        <w:t xml:space="preserve">\PURHTitleFont\bfseries</w:t>
      </w:r>
      <w:r>
        <w:t xml:space="preserve"> </w:t>
      </w:r>
      <w:r>
        <w:t xml:space="preserve">(famille</w:t>
      </w:r>
      <w:r>
        <w:t xml:space="preserve"> </w:t>
      </w:r>
      <w:r>
        <w:t xml:space="preserve">complète + graisse Bold via NFSS).</w:t>
      </w:r>
    </w:p>
    <w:bookmarkEnd w:id="16"/>
    <w:bookmarkStart w:id="17" w:name="X0c3c5f6056bca4b2e58bafbd079655605c59d5e"/>
    <w:p>
      <w:pPr>
        <w:pStyle w:val="Heading2"/>
      </w:pPr>
      <w:r>
        <w:t xml:space="preserve">2.5. Titre courant (running title) — traité à part, trois vérifications le même jour</w:t>
      </w:r>
    </w:p>
    <w:p>
      <w:pPr>
        <w:pStyle w:val="FirstParagraph"/>
      </w:pPr>
      <w:r>
        <w:t xml:space="preserve">Le titre courant est le</w:t>
      </w:r>
      <w:r>
        <w:t xml:space="preserve"> </w:t>
      </w:r>
      <w:r>
        <w:rPr>
          <w:b/>
          <w:bCs/>
        </w:rPr>
        <w:t xml:space="preserve">seul niveau typographique qui n’a PAS reçu le</w:t>
      </w:r>
      <w:r>
        <w:rPr>
          <w:b/>
          <w:bCs/>
        </w:rPr>
        <w:t xml:space="preserve"> </w:t>
      </w:r>
      <w:r>
        <w:rPr>
          <w:b/>
          <w:bCs/>
        </w:rPr>
        <w:t xml:space="preserve">correctif Bold ci-dessus</w:t>
      </w:r>
      <w:r>
        <w:t xml:space="preserve"> </w:t>
      </w:r>
      <w:r>
        <w:t xml:space="preserve">: la couleur, pas la graisse, était le problème</w:t>
      </w:r>
      <w:r>
        <w:t xml:space="preserve"> </w:t>
      </w:r>
      <w:r>
        <w:t xml:space="preserve">réel ici, et il a fallu trois allers-retours pour le comprendre.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1ʳᵉ vérification</w:t>
      </w:r>
      <w:r>
        <w:t xml:space="preserve"> </w:t>
      </w:r>
      <w:r>
        <w:t xml:space="preserve">: gris jugé trop clair → tentative de passer de</w:t>
      </w:r>
      <w:r>
        <w:t xml:space="preserve"> </w:t>
      </w:r>
      <w:r>
        <w:rPr>
          <w:rStyle w:val="VerbatimChar"/>
        </w:rPr>
        <w:t xml:space="preserve">\PURHTitreFont</w:t>
      </w:r>
      <w:r>
        <w:t xml:space="preserve"> </w:t>
      </w:r>
      <w:r>
        <w:t xml:space="preserve">(Thin) à</w:t>
      </w:r>
      <w:r>
        <w:t xml:space="preserve"> </w:t>
      </w:r>
      <w:r>
        <w:rPr>
          <w:rStyle w:val="VerbatimChar"/>
        </w:rPr>
        <w:t xml:space="preserve">\PURHTitleFont</w:t>
      </w:r>
      <w:r>
        <w:t xml:space="preserve"> </w:t>
      </w:r>
      <w:r>
        <w:t xml:space="preserve">(famille standard) sans</w:t>
      </w:r>
      <w:r>
        <w:t xml:space="preserve"> </w:t>
      </w:r>
      <w:r>
        <w:rPr>
          <w:rStyle w:val="VerbatimChar"/>
        </w:rPr>
        <w:t xml:space="preserve">\bfseries</w:t>
      </w:r>
      <w:r>
        <w:t xml:space="preserve">. Sans effet suffisant.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2ᵉ vérification</w:t>
      </w:r>
      <w:r>
        <w:t xml:space="preserve"> </w:t>
      </w:r>
      <w:r>
        <w:t xml:space="preserve">: ce résultat jugé trop noir et visuellement gras —</w:t>
      </w:r>
      <w:r>
        <w:t xml:space="preserve"> </w:t>
      </w:r>
      <w:r>
        <w:t xml:space="preserve">le PDF imprimeur, lui, « n’a pas de graisse » à ce niveau. Retour à la</w:t>
      </w:r>
      <w:r>
        <w:t xml:space="preserve"> </w:t>
      </w:r>
      <w:r>
        <w:t xml:space="preserve">famille Thin (</w:t>
      </w:r>
      <w:r>
        <w:rPr>
          <w:rStyle w:val="VerbatimChar"/>
        </w:rPr>
        <w:t xml:space="preserve">\PURHTitreFont</w:t>
      </w:r>
      <w:r>
        <w:t xml:space="preserve">), avec un gris RVB explicite</w:t>
      </w:r>
      <w:r>
        <w:t xml:space="preserve"> </w:t>
      </w:r>
      <w:r>
        <w:t xml:space="preserve">(</w:t>
      </w:r>
      <w:r>
        <w:rPr>
          <w:rStyle w:val="VerbatimChar"/>
        </w:rPr>
        <w:t xml:space="preserve">\color[gray]{0.25}</w:t>
      </w:r>
      <w:r>
        <w:t xml:space="preserve">, valeur approximative) en remplacement.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3ᵉ vérification</w:t>
      </w:r>
      <w:r>
        <w:t xml:space="preserve"> </w:t>
      </w:r>
      <w:r>
        <w:t xml:space="preserve">: ce gris encore jugé trop clair. Passage au même</w:t>
      </w:r>
      <w:r>
        <w:t xml:space="preserve"> </w:t>
      </w:r>
      <w:r>
        <w:t xml:space="preserve">système que le fond d’en-tête de tableau et le texte courant — une teinte</w:t>
      </w:r>
      <w:r>
        <w:t xml:space="preserve"> </w:t>
      </w:r>
      <w:r>
        <w:rPr>
          <w:b/>
          <w:bCs/>
        </w:rPr>
        <w:t xml:space="preserve">CMJN noir X %</w:t>
      </w:r>
      <w:r>
        <w:t xml:space="preserve"> </w:t>
      </w:r>
      <w:r>
        <w:t xml:space="preserve">plutôt qu’un gris RVB — à</w:t>
      </w:r>
      <w:r>
        <w:t xml:space="preserve"> </w:t>
      </w:r>
      <w:r>
        <w:rPr>
          <w:b/>
          <w:bCs/>
        </w:rPr>
        <w:t xml:space="preserve">50 % noir</w:t>
      </w:r>
      <w:r>
        <w:t xml:space="preserve">, valeur donnée</w:t>
      </w:r>
      <w:r>
        <w:t xml:space="preserve"> </w:t>
      </w:r>
      <w:r>
        <w:t xml:space="preserve">explicitement par l’utilisateur (pas une estimation à recalibrer).</w:t>
      </w:r>
    </w:p>
    <w:p>
      <w:pPr>
        <w:pStyle w:val="FirstParagraph"/>
      </w:pPr>
      <w:r>
        <w:t xml:space="preserve">Valeur finale :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\PURHHeaderFont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\PURHTitreFont\small\color</w:t>
      </w:r>
      <w:r>
        <w:rPr>
          <w:rStyle w:val="NormalTok"/>
        </w:rPr>
        <w:t xml:space="preserve">[cmyk]{0,0,0,0.5}}</w:t>
      </w:r>
    </w:p>
    <w:p>
      <w:pPr>
        <w:pStyle w:val="FirstParagraph"/>
      </w:pPr>
      <w:r>
        <w:rPr>
          <w:b/>
          <w:bCs/>
        </w:rPr>
        <w:t xml:space="preserve">Leçon méthodologique pour un autre format</w:t>
      </w:r>
      <w:r>
        <w:t xml:space="preserve"> </w:t>
      </w:r>
      <w:r>
        <w:t xml:space="preserve">: face à un écart de rendu</w:t>
      </w:r>
      <w:r>
        <w:t xml:space="preserve"> </w:t>
      </w:r>
      <w:r>
        <w:t xml:space="preserve">signalé plusieurs fois de suite sur le même élément, vérifier si graisse et</w:t>
      </w:r>
      <w:r>
        <w:t xml:space="preserve"> </w:t>
      </w:r>
      <w:r>
        <w:t xml:space="preserve">couleur sont bien traitées comme deux leviers indépendants avant de</w:t>
      </w:r>
      <w:r>
        <w:t xml:space="preserve"> </w:t>
      </w:r>
      <w:r>
        <w:t xml:space="preserve">re-changer de famille de police à chaque itération — c’est la confusion des</w:t>
      </w:r>
      <w:r>
        <w:t xml:space="preserve"> </w:t>
      </w:r>
      <w:r>
        <w:t xml:space="preserve">deux qui a coûté les deux premiers essais ici.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itraille-valeurs-exactes-par-niveau"/>
    <w:p>
      <w:pPr>
        <w:pStyle w:val="Heading1"/>
      </w:pPr>
      <w:r>
        <w:t xml:space="preserve">3. Titraille — valeurs exactes par niveau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Graisse</w:t>
            </w:r>
          </w:p>
        </w:tc>
        <w:tc>
          <w:tcPr/>
          <w:p>
            <w:pPr>
              <w:pStyle w:val="Compact"/>
            </w:pPr>
            <w:r>
              <w:t xml:space="preserve">Corps/interligne</w:t>
            </w:r>
          </w:p>
        </w:tc>
        <w:tc>
          <w:tcPr/>
          <w:p>
            <w:pPr>
              <w:pStyle w:val="Compact"/>
            </w:pPr>
            <w:r>
              <w:t xml:space="preserve">Casse</w:t>
            </w:r>
          </w:p>
        </w:tc>
        <w:tc>
          <w:tcPr/>
          <w:p>
            <w:pPr>
              <w:pStyle w:val="Compact"/>
            </w:pPr>
            <w:r>
              <w:t xml:space="preserve">Alignement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Partie (</w:t>
            </w:r>
            <w:r>
              <w:rPr>
                <w:rStyle w:val="VerbatimChar"/>
              </w:rPr>
              <w:t xml:space="preserve">\part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\PURHTitleFont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16/19 pt</w:t>
            </w:r>
          </w:p>
        </w:tc>
        <w:tc>
          <w:tcPr/>
          <w:p>
            <w:pPr>
              <w:pStyle w:val="Compact"/>
            </w:pPr>
            <w:r>
              <w:t xml:space="preserve">MAJUSCULES</w:t>
            </w:r>
          </w:p>
        </w:tc>
        <w:tc>
          <w:tcPr/>
          <w:p>
            <w:pPr>
              <w:pStyle w:val="Compact"/>
            </w:pPr>
            <w:r>
              <w:t xml:space="preserve">centré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Chapitre/contribution (</w:t>
            </w:r>
            <w:r>
              <w:rPr>
                <w:rStyle w:val="VerbatimChar"/>
              </w:rPr>
              <w:t xml:space="preserve">\chapter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\PURHTitleFont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16/19 pt</w:t>
            </w:r>
          </w:p>
        </w:tc>
        <w:tc>
          <w:tcPr/>
          <w:p>
            <w:pPr>
              <w:pStyle w:val="Compact"/>
            </w:pPr>
            <w:r>
              <w:t xml:space="preserve">MAJUSCULES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\raggedright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(intertitre,</w:t>
            </w:r>
            <w:r>
              <w:t xml:space="preserve"> </w:t>
            </w:r>
            <w:r>
              <w:rPr>
                <w:rStyle w:val="VerbatimChar"/>
              </w:rPr>
              <w:t xml:space="preserve">\section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\PURHTitleFont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12/14 pt</w:t>
            </w:r>
          </w:p>
        </w:tc>
        <w:tc>
          <w:tcPr/>
          <w:p>
            <w:pPr>
              <w:pStyle w:val="Compact"/>
            </w:pPr>
            <w:r>
              <w:t xml:space="preserve">MAJUSCULES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\raggedright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Sous-section (</w:t>
            </w:r>
            <w:r>
              <w:rPr>
                <w:rStyle w:val="VerbatimChar"/>
              </w:rPr>
              <w:t xml:space="preserve">\subsection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\PURHTitleFont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\large</w:t>
            </w:r>
          </w:p>
        </w:tc>
        <w:tc>
          <w:tcPr/>
          <w:p>
            <w:pPr>
              <w:pStyle w:val="Compact"/>
            </w:pPr>
            <w:r>
              <w:t xml:space="preserve">bas de casse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\raggedright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Sous-sous-section (</w:t>
            </w:r>
            <w:r>
              <w:rPr>
                <w:rStyle w:val="VerbatimChar"/>
              </w:rPr>
              <w:t xml:space="preserve">\subsubsection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\PURHTitleFont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\normalsize</w:t>
            </w:r>
          </w:p>
        </w:tc>
        <w:tc>
          <w:tcPr/>
          <w:p>
            <w:pPr>
              <w:pStyle w:val="Compact"/>
            </w:pPr>
            <w:r>
              <w:t xml:space="preserve">bas de casse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\raggedright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Titre d’ouverture de 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\PURHTitleFont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16/19 pt</w:t>
            </w:r>
          </w:p>
        </w:tc>
        <w:tc>
          <w:tcPr/>
          <w:p>
            <w:pPr>
              <w:pStyle w:val="Compact"/>
            </w:pPr>
            <w:r>
              <w:t xml:space="preserve">MAJUSCULES</w:t>
            </w:r>
          </w:p>
        </w:tc>
        <w:tc>
          <w:tcPr/>
          <w:p>
            <w:pPr>
              <w:pStyle w:val="Compact"/>
            </w:pPr>
            <w:r>
              <w:t xml:space="preserve">centré, boîte 104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Sous-titre d’ouverture de 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\PURHTitleFont</w:t>
            </w:r>
          </w:p>
        </w:tc>
        <w:tc>
          <w:tcPr/>
          <w:p>
            <w:pPr>
              <w:pStyle w:val="Compact"/>
            </w:pPr>
            <w:r>
              <w:t xml:space="preserve">Bold italique</w:t>
            </w:r>
          </w:p>
        </w:tc>
        <w:tc>
          <w:tcPr/>
          <w:p>
            <w:pPr>
              <w:pStyle w:val="Compact"/>
            </w:pPr>
            <w:r>
              <w:t xml:space="preserve">12/14 pt</w:t>
            </w:r>
          </w:p>
        </w:tc>
        <w:tc>
          <w:tcPr/>
          <w:p>
            <w:pPr>
              <w:pStyle w:val="Compact"/>
            </w:pPr>
            <w:r>
              <w:t xml:space="preserve">bas de casse</w:t>
            </w:r>
          </w:p>
        </w:tc>
        <w:tc>
          <w:tcPr/>
          <w:p>
            <w:pPr>
              <w:pStyle w:val="Compact"/>
            </w:pPr>
            <w:r>
              <w:t xml:space="preserve">centré</w:t>
            </w:r>
          </w:p>
        </w:tc>
      </w:tr>
    </w:tbl>
    <w:p>
      <w:pPr>
        <w:pStyle w:val="BodyText"/>
      </w:pPr>
      <w:r>
        <w:t xml:space="preserve">Note sur les sous-sections : le référentiel v0.6 §4.3 ne chiffrait que le</w:t>
      </w:r>
      <w:r>
        <w:t xml:space="preserve"> </w:t>
      </w:r>
      <w:r>
        <w:t xml:space="preserve">niveau « section » (section1) ; aucune taille n’est donc imposée par une</w:t>
      </w:r>
      <w:r>
        <w:t xml:space="preserve"> </w:t>
      </w:r>
      <w:r>
        <w:t xml:space="preserve">source externe pour section2/section3 —</w:t>
      </w:r>
      <w:r>
        <w:t xml:space="preserve"> </w:t>
      </w:r>
      <w:r>
        <w:rPr>
          <w:rStyle w:val="VerbatimChar"/>
        </w:rPr>
        <w:t xml:space="preserve">\large</w:t>
      </w:r>
      <w:r>
        <w:t xml:space="preserve">/</w:t>
      </w:r>
      <w:r>
        <w:rPr>
          <w:rStyle w:val="VerbatimChar"/>
        </w:rPr>
        <w:t xml:space="preserve">\normalsize</w:t>
      </w:r>
      <w:r>
        <w:t xml:space="preserve"> </w:t>
      </w:r>
      <w:r>
        <w:t xml:space="preserve">sont</w:t>
      </w:r>
      <w:r>
        <w:t xml:space="preserve"> </w:t>
      </w:r>
      <w:r>
        <w:t xml:space="preserve">conservés tels quels, seule la graisse a été alignée sur le reste de la</w:t>
      </w:r>
      <w:r>
        <w:t xml:space="preserve"> </w:t>
      </w:r>
      <w:r>
        <w:t xml:space="preserve">titraille. Un correctif antérieur au chantier avait délibérément retiré le</w:t>
      </w:r>
      <w:r>
        <w:t xml:space="preserve"> </w:t>
      </w:r>
      <w:r>
        <w:t xml:space="preserve">gras à ce niveau (au motif que</w:t>
      </w:r>
      <w:r>
        <w:t xml:space="preserve"> </w:t>
      </w:r>
      <w:r>
        <w:rPr>
          <w:rStyle w:val="VerbatimChar"/>
        </w:rPr>
        <w:t xml:space="preserve">&lt;div type="section2"&gt;</w:t>
      </w:r>
      <w:r>
        <w:t xml:space="preserve"> </w:t>
      </w:r>
      <w:r>
        <w:t xml:space="preserve">porte de vrais</w:t>
      </w:r>
      <w:r>
        <w:t xml:space="preserve"> </w:t>
      </w:r>
      <w:r>
        <w:t xml:space="preserve">sous-titres phrastiques, pas des libellés courts) ; la vérification directe</w:t>
      </w:r>
      <w:r>
        <w:t xml:space="preserve"> </w:t>
      </w:r>
      <w:r>
        <w:t xml:space="preserve">du 2026-08-04 est revenue sur ce choix.</w:t>
      </w:r>
    </w:p>
    <w:p>
      <w:pPr>
        <w:pStyle w:val="SourceCode"/>
      </w:pPr>
      <w:r>
        <w:rPr>
          <w:rStyle w:val="FunctionTok"/>
        </w:rPr>
        <w:t xml:space="preserve">\titleformat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\chapter</w:t>
      </w:r>
      <w:r>
        <w:rPr>
          <w:rStyle w:val="NormalTok"/>
        </w:rPr>
        <w:t xml:space="preserve">}[display]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\PURHTitleFont\bfseries\fontsize</w:t>
      </w:r>
      <w:r>
        <w:rPr>
          <w:rStyle w:val="NormalTok"/>
        </w:rPr>
        <w:t xml:space="preserve">{16pt}{19pt}</w:t>
      </w:r>
      <w:r>
        <w:rPr>
          <w:rStyle w:val="FunctionTok"/>
        </w:rPr>
        <w:t xml:space="preserve">\selectfont\raggedright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\chaptertitlename</w:t>
      </w:r>
      <w:r>
        <w:rPr>
          <w:rStyle w:val="NormalTok"/>
        </w:rPr>
        <w:t xml:space="preserve">~</w:t>
      </w:r>
      <w:r>
        <w:rPr>
          <w:rStyle w:val="FunctionTok"/>
        </w:rPr>
        <w:t xml:space="preserve">\thechapter</w:t>
      </w:r>
      <w:r>
        <w:rPr>
          <w:rStyle w:val="NormalTok"/>
        </w:rPr>
        <w:t xml:space="preserve">}{10pt}{</w:t>
      </w:r>
      <w:r>
        <w:rPr>
          <w:rStyle w:val="FunctionTok"/>
        </w:rPr>
        <w:t xml:space="preserve">\MakeUppercase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\titleformat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\part</w:t>
      </w:r>
      <w:r>
        <w:rPr>
          <w:rStyle w:val="NormalTok"/>
        </w:rPr>
        <w:t xml:space="preserve">}[display]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\PURHTitleFont\bfseries\fontsize</w:t>
      </w:r>
      <w:r>
        <w:rPr>
          <w:rStyle w:val="NormalTok"/>
        </w:rPr>
        <w:t xml:space="preserve">{16pt}{19pt}</w:t>
      </w:r>
      <w:r>
        <w:rPr>
          <w:rStyle w:val="FunctionTok"/>
        </w:rPr>
        <w:t xml:space="preserve">\selectfont\centering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{}{0pt}{</w:t>
      </w:r>
      <w:r>
        <w:rPr>
          <w:rStyle w:val="FunctionTok"/>
        </w:rPr>
        <w:t xml:space="preserve">\MakeUppercase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\titleformat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}[block]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\PURHTitleFont\bfseries\fontsize</w:t>
      </w:r>
      <w:r>
        <w:rPr>
          <w:rStyle w:val="NormalTok"/>
        </w:rPr>
        <w:t xml:space="preserve">{12pt}{14pt}</w:t>
      </w:r>
      <w:r>
        <w:rPr>
          <w:rStyle w:val="FunctionTok"/>
        </w:rPr>
        <w:t xml:space="preserve">\selectfont\raggedright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{}{0pt}{</w:t>
      </w:r>
      <w:r>
        <w:rPr>
          <w:rStyle w:val="FunctionTok"/>
        </w:rPr>
        <w:t xml:space="preserve">\MakeUppercase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\titleformat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}[block]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\PURHTitleFont\bfseries\large\raggedright</w:t>
      </w:r>
      <w:r>
        <w:rPr>
          <w:rStyle w:val="NormalTok"/>
        </w:rPr>
        <w:t xml:space="preserve">}{}{0pt}{}</w:t>
      </w:r>
      <w:r>
        <w:br/>
      </w:r>
      <w:r>
        <w:br/>
      </w:r>
      <w:r>
        <w:rPr>
          <w:rStyle w:val="FunctionTok"/>
        </w:rPr>
        <w:t xml:space="preserve">\titleformat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\subsubsection</w:t>
      </w:r>
      <w:r>
        <w:rPr>
          <w:rStyle w:val="NormalTok"/>
        </w:rPr>
        <w:t xml:space="preserve">}[block]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\PURHTitleFont\bfseries\normalsize\raggedright</w:t>
      </w:r>
      <w:r>
        <w:rPr>
          <w:rStyle w:val="NormalTok"/>
        </w:rPr>
        <w:t xml:space="preserve">}{}{0pt}{}</w:t>
      </w:r>
      <w:r>
        <w:br/>
      </w:r>
      <w:r>
        <w:br/>
      </w:r>
      <w:r>
        <w:rPr>
          <w:rStyle w:val="FunctionTok"/>
        </w:rPr>
        <w:t xml:space="preserve">\titlespacing*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\part</w:t>
      </w:r>
      <w:r>
        <w:rPr>
          <w:rStyle w:val="NormalTok"/>
        </w:rPr>
        <w:t xml:space="preserve">}{0pt}{0pt}{30pt}</w:t>
      </w:r>
      <w:r>
        <w:br/>
      </w:r>
      <w:r>
        <w:rPr>
          <w:rStyle w:val="FunctionTok"/>
        </w:rPr>
        <w:t xml:space="preserve">\titlespacing*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\chapter</w:t>
      </w:r>
      <w:r>
        <w:rPr>
          <w:rStyle w:val="NormalTok"/>
        </w:rPr>
        <w:t xml:space="preserve">}{0pt}{20pt}{18pt}</w:t>
      </w:r>
      <w:r>
        <w:br/>
      </w:r>
      <w:r>
        <w:rPr>
          <w:rStyle w:val="FunctionTok"/>
        </w:rPr>
        <w:t xml:space="preserve">\titlespacing*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}{0pt}{18pt}{10pt}</w:t>
      </w:r>
      <w:r>
        <w:br/>
      </w:r>
      <w:r>
        <w:rPr>
          <w:rStyle w:val="FunctionTok"/>
        </w:rPr>
        <w:t xml:space="preserve">\titlespacing*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}{0pt}{14pt}{8pt}</w:t>
      </w:r>
      <w:r>
        <w:br/>
      </w:r>
      <w:r>
        <w:rPr>
          <w:rStyle w:val="FunctionTok"/>
        </w:rPr>
        <w:t xml:space="preserve">\titlespacing*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\subsubsection</w:t>
      </w:r>
      <w:r>
        <w:rPr>
          <w:rStyle w:val="NormalTok"/>
        </w:rPr>
        <w:t xml:space="preserve">}{0pt}{12pt}{6pt}</w:t>
      </w:r>
    </w:p>
    <w:p>
      <w:pPr>
        <w:pStyle w:val="FirstParagraph"/>
      </w:pPr>
      <w:r>
        <w:t xml:space="preserve">Vérification objective complémentaire à la lecture humaine :</w:t>
      </w:r>
      <w:r>
        <w:t xml:space="preserve"> </w:t>
      </w:r>
      <w:r>
        <w:rPr>
          <w:rStyle w:val="VerbatimChar"/>
        </w:rPr>
        <w:t xml:space="preserve">pdffonts</w:t>
      </w:r>
      <w:r>
        <w:t xml:space="preserve"> </w:t>
      </w:r>
      <w:r>
        <w:t xml:space="preserve">sur le PDF généré doit lister au moins une police portant « Bold »/« Bd » —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seul ne peut pas détecter la graisse (aucune notion de</w:t>
      </w:r>
      <w:r>
        <w:t xml:space="preserve"> </w:t>
      </w:r>
      <w:r>
        <w:t xml:space="preserve">graisse dans le texte extrait), donc ne suffit pas à valider ce correctif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tests/test_latei_titraille.py::test_part_and_contribution_titles_embed_a_bold_font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1" w:name="Xd1d49492aef7cc10660310c025f9b6322989c95"/>
    <w:p>
      <w:pPr>
        <w:pStyle w:val="Heading1"/>
      </w:pPr>
      <w:r>
        <w:t xml:space="preserve">4. Titre et sous-titre de la page de titre (page de titre pleine, distincte du titre d’ouverture de contribution)</w:t>
      </w:r>
    </w:p>
    <w:p>
      <w:pPr>
        <w:pStyle w:val="FirstParagraph"/>
      </w:pPr>
      <w:r>
        <w:t xml:space="preserve">Ne pas confondre avec la titraille de contribution du §3 : la page de</w:t>
      </w:r>
      <w:r>
        <w:t xml:space="preserve"> </w:t>
      </w:r>
      <w:r>
        <w:t xml:space="preserve">titre du livre (§7 ci-dessous) a son propre jeu de tailles, plus grand,</w:t>
      </w:r>
      <w:r>
        <w:t xml:space="preserve"> </w:t>
      </w:r>
      <w:r>
        <w:t xml:space="preserve">défini par des macros séparées (</w:t>
      </w:r>
      <w:r>
        <w:rPr>
          <w:rStyle w:val="VerbatimChar"/>
        </w:rPr>
        <w:t xml:space="preserve">\PurhTitleMain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\PurhSubtitle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\PurhContributors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\PurhTitleExtra</w:t>
      </w:r>
      <w:r>
        <w:t xml:space="preserve">), toutes dans</w:t>
      </w:r>
      <w:r>
        <w:t xml:space="preserve"> </w:t>
      </w:r>
      <w:r>
        <w:rPr>
          <w:rStyle w:val="VerbatimChar"/>
        </w:rPr>
        <w:t xml:space="preserve">latei_preamble.py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\PurhTitleMain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\PURHTitleFont\bfseries\fontsize</w:t>
      </w:r>
      <w:r>
        <w:rPr>
          <w:rStyle w:val="NormalTok"/>
        </w:rPr>
        <w:t xml:space="preserve">{22pt}{26pt}</w:t>
      </w:r>
      <w:r>
        <w:rPr>
          <w:rStyle w:val="FunctionTok"/>
        </w:rPr>
        <w:t xml:space="preserve">\selectfont\centering\MakeUppercase</w:t>
      </w:r>
      <w:r>
        <w:rPr>
          <w:rStyle w:val="NormalTok"/>
        </w:rPr>
        <w:t xml:space="preserve">{#1}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\PurhSubtitle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\par\vspace</w:t>
      </w:r>
      <w:r>
        <w:rPr>
          <w:rStyle w:val="NormalTok"/>
        </w:rPr>
        <w:t xml:space="preserve">{0.6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\parbox</w:t>
      </w:r>
      <w:r>
        <w:rPr>
          <w:rStyle w:val="NormalTok"/>
        </w:rPr>
        <w:t xml:space="preserve">{88mm}{</w:t>
      </w:r>
      <w:r>
        <w:rPr>
          <w:rStyle w:val="FunctionTok"/>
        </w:rPr>
        <w:t xml:space="preserve">\PURHTitleFont\bfseries\fontsize</w:t>
      </w:r>
      <w:r>
        <w:rPr>
          <w:rStyle w:val="NormalTok"/>
        </w:rPr>
        <w:t xml:space="preserve">{15pt}{18pt}</w:t>
      </w:r>
      <w:r>
        <w:rPr>
          <w:rStyle w:val="FunctionTok"/>
        </w:rPr>
        <w:t xml:space="preserve">\selectfont\centering</w:t>
      </w:r>
      <w:r>
        <w:rPr>
          <w:rStyle w:val="NormalTok"/>
        </w:rPr>
        <w:t xml:space="preserve"> #1}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{0.4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\PurhContributors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\par\vspace</w:t>
      </w:r>
      <w:r>
        <w:rPr>
          <w:rStyle w:val="NormalTok"/>
        </w:rPr>
        <w:t xml:space="preserve">{0.5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\bfseries\fontsize</w:t>
      </w:r>
      <w:r>
        <w:rPr>
          <w:rStyle w:val="NormalTok"/>
        </w:rPr>
        <w:t xml:space="preserve">{11pt}{13pt}</w:t>
      </w:r>
      <w:r>
        <w:rPr>
          <w:rStyle w:val="FunctionTok"/>
        </w:rPr>
        <w:t xml:space="preserve">\selectfont\centering</w:t>
      </w:r>
      <w:r>
        <w:rPr>
          <w:rStyle w:val="NormalTok"/>
        </w:rPr>
        <w:t xml:space="preserve"> #1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{0.6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\PurhTitleExtra</w:t>
      </w:r>
      <w:r>
        <w:rPr>
          <w:rStyle w:val="NormalTok"/>
        </w:rPr>
        <w:t xml:space="preserve">}[1]{{</w:t>
      </w:r>
      <w:r>
        <w:rPr>
          <w:rStyle w:val="FunctionTok"/>
        </w:rPr>
        <w:t xml:space="preserve">\small</w:t>
      </w:r>
      <w:r>
        <w:rPr>
          <w:rStyle w:val="NormalTok"/>
        </w:rPr>
        <w:t xml:space="preserve"> #1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Titre principal</w:t>
      </w:r>
      <w:r>
        <w:t xml:space="preserve"> </w:t>
      </w:r>
      <w:r>
        <w:t xml:space="preserve">: 22/26 pt, Bold, MAJUSCULES, centré. Corps choisi</w:t>
      </w:r>
      <w:r>
        <w:t xml:space="preserve"> </w:t>
      </w:r>
      <w:r>
        <w:t xml:space="preserve">sans mesure millimétrique donnée par l’utilisateur : la seule contrainte</w:t>
      </w:r>
      <w:r>
        <w:t xml:space="preserve"> </w:t>
      </w:r>
      <w:r>
        <w:t xml:space="preserve">exprimée était « nettement plus grand que le faux-titre » (12/14 pt) ; à</w:t>
      </w:r>
      <w:r>
        <w:t xml:space="preserve"> </w:t>
      </w:r>
      <w:r>
        <w:t xml:space="preserve">recalibrer avec une vraie mesure si elle devient disponible pour un autre</w:t>
      </w:r>
      <w:r>
        <w:t xml:space="preserve"> </w:t>
      </w:r>
      <w:r>
        <w:t xml:space="preserve">format.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Sous-titre</w:t>
      </w:r>
      <w:r>
        <w:t xml:space="preserve"> </w:t>
      </w:r>
      <w:r>
        <w:t xml:space="preserve">: 15/18 pt, Bold Italique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— Bold droit, bas de</w:t>
      </w:r>
      <w:r>
        <w:t xml:space="preserve"> </w:t>
      </w:r>
      <w:r>
        <w:t xml:space="preserve">casse (pas de</w:t>
      </w:r>
      <w:r>
        <w:t xml:space="preserve"> </w:t>
      </w:r>
      <w:r>
        <w:rPr>
          <w:rStyle w:val="VerbatimChar"/>
        </w:rPr>
        <w:t xml:space="preserve">\MakeUppercase</w:t>
      </w:r>
      <w:r>
        <w:t xml:space="preserve">, à la différence du titre), sur deux lignes</w:t>
      </w:r>
      <w:r>
        <w:t xml:space="preserve"> </w:t>
      </w:r>
      <w:r>
        <w:t xml:space="preserve">forcées par une boîte de 88 mm (voir §4.1 ci-dessous pour la méthode de</w:t>
      </w:r>
      <w:r>
        <w:t xml:space="preserve"> </w:t>
      </w:r>
      <w:r>
        <w:t xml:space="preserve">calibrage).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Responsabilité éditoriale</w:t>
      </w:r>
      <w:r>
        <w:t xml:space="preserve"> </w:t>
      </w:r>
      <w:r>
        <w:t xml:space="preserve">(« sous la direction de » + noms) : Chaparral</w:t>
      </w:r>
      <w:r>
        <w:t xml:space="preserve"> </w:t>
      </w:r>
      <w:r>
        <w:t xml:space="preserve">(fonte principale, aucun changement de famille), Bold bas de casse,</w:t>
      </w:r>
      <w:r>
        <w:t xml:space="preserve"> </w:t>
      </w:r>
      <w:r>
        <w:t xml:space="preserve">11/13 pt — plus petit que le sous-titre.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Mention finale</w:t>
      </w:r>
      <w:r>
        <w:t xml:space="preserve"> </w:t>
      </w:r>
      <w:r>
        <w:t xml:space="preserve">(éditeur) :</w:t>
      </w:r>
      <w:r>
        <w:t xml:space="preserve"> </w:t>
      </w:r>
      <w:r>
        <w:rPr>
          <w:rStyle w:val="VerbatimChar"/>
        </w:rPr>
        <w:t xml:space="preserve">\small</w:t>
      </w:r>
      <w:r>
        <w:t xml:space="preserve">, sans graisse particulière.</w:t>
      </w:r>
    </w:p>
    <w:bookmarkStart w:id="20" w:name="Xe1390d0d31df7b29c5a25df9943f32329642bcf"/>
    <w:p>
      <w:pPr>
        <w:pStyle w:val="Heading2"/>
      </w:pPr>
      <w:r>
        <w:t xml:space="preserve">4.1. Calibrage de la largeur de boîte du sous-titre (88 mm)</w:t>
      </w:r>
    </w:p>
    <w:p>
      <w:pPr>
        <w:pStyle w:val="FirstParagraph"/>
      </w:pPr>
      <w:r>
        <w:t xml:space="preserve">Objectif : reproduire exactement la coupure de ligne réelle du PDF</w:t>
      </w:r>
      <w:r>
        <w:t xml:space="preserve"> </w:t>
      </w:r>
      <w:r>
        <w:t xml:space="preserve">imprimeur pour le sous-titre de</w:t>
      </w:r>
      <w:r>
        <w:t xml:space="preserve"> </w:t>
      </w:r>
      <w:r>
        <w:rPr>
          <w:i/>
          <w:iCs/>
        </w:rPr>
        <w:t xml:space="preserve">Beautés vitales</w:t>
      </w:r>
      <w:r>
        <w:t xml:space="preserve">, « Pour une approche</w:t>
      </w:r>
      <w:r>
        <w:t xml:space="preserve"> </w:t>
      </w:r>
      <w:r>
        <w:t xml:space="preserve">contemporaine de la beauté », qui casse en :</w:t>
      </w:r>
    </w:p>
    <w:p>
      <w:pPr>
        <w:pStyle w:val="SourceCode"/>
      </w:pPr>
      <w:r>
        <w:rPr>
          <w:rStyle w:val="VerbatimChar"/>
        </w:rPr>
        <w:t xml:space="preserve">Pour une approche contemporaine</w:t>
      </w:r>
      <w:r>
        <w:br/>
      </w:r>
      <w:r>
        <w:rPr>
          <w:rStyle w:val="VerbatimChar"/>
        </w:rPr>
        <w:t xml:space="preserve">de la beauté</w:t>
      </w:r>
    </w:p>
    <w:p>
      <w:pPr>
        <w:pStyle w:val="FirstParagraph"/>
      </w:pPr>
      <w:r>
        <w:t xml:space="preserve">Méthode : simple</w:t>
      </w:r>
      <w:r>
        <w:t xml:space="preserve"> </w:t>
      </w:r>
      <w:r>
        <w:rPr>
          <w:rStyle w:val="VerbatimChar"/>
        </w:rPr>
        <w:t xml:space="preserve">\parbox</w:t>
      </w:r>
      <w:r>
        <w:t xml:space="preserve"> </w:t>
      </w:r>
      <w:r>
        <w:t xml:space="preserve">de largeur fixe, laissant l’algorithme</w:t>
      </w:r>
      <w:r>
        <w:t xml:space="preserve"> </w:t>
      </w:r>
      <w:r>
        <w:t xml:space="preserve">Knuth-Plass de LaTeX faire la coupure — pas de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inséré à la main. La</w:t>
      </w:r>
      <w:r>
        <w:t xml:space="preserve"> </w:t>
      </w:r>
      <w:r>
        <w:t xml:space="preserve">largeur a été resserrée itérativement (rendu → export PNG → lecture</w:t>
      </w:r>
      <w:r>
        <w:t xml:space="preserve"> </w:t>
      </w:r>
      <w:r>
        <w:t xml:space="preserve">visuelle) de 95 mm jusqu’à 88 mm, valeur à laquelle la coupure obtenue</w:t>
      </w:r>
      <w:r>
        <w:t xml:space="preserve"> </w:t>
      </w:r>
      <w:r>
        <w:t xml:space="preserve">correspond exactement à celle du PDF imprimeur.</w:t>
      </w:r>
    </w:p>
    <w:p>
      <w:pPr>
        <w:pStyle w:val="BodyText"/>
      </w:pPr>
      <w:r>
        <w:rPr>
          <w:b/>
          <w:bCs/>
        </w:rPr>
        <w:t xml:space="preserve">Reproductibilité pour un autre titre/format</w:t>
      </w:r>
      <w:r>
        <w:t xml:space="preserve"> </w:t>
      </w:r>
      <w:r>
        <w:t xml:space="preserve">: cette valeur (88 mm) est</w:t>
      </w:r>
      <w:r>
        <w:t xml:space="preserve"> </w:t>
      </w:r>
      <w:r>
        <w:t xml:space="preserve">calibrée sur</w:t>
      </w:r>
      <w:r>
        <w:t xml:space="preserve"> </w:t>
      </w:r>
      <w:r>
        <w:rPr>
          <w:b/>
          <w:bCs/>
        </w:rPr>
        <w:t xml:space="preserve">ce texte précis</w:t>
      </w:r>
      <w:r>
        <w:t xml:space="preserve">, pas une constante universelle du profil de</w:t>
      </w:r>
      <w:r>
        <w:t xml:space="preserve"> </w:t>
      </w:r>
      <w:r>
        <w:t xml:space="preserve">page. Pour un autre ouvrage dirigé avec un sous-titre différent, revérifier</w:t>
      </w:r>
      <w:r>
        <w:t xml:space="preserve"> </w:t>
      </w:r>
      <w:r>
        <w:t xml:space="preserve">visuellement contre le PDF imprimeur réel et réajuster la largeur si</w:t>
      </w:r>
      <w:r>
        <w:t xml:space="preserve"> </w:t>
      </w:r>
      <w:r>
        <w:t xml:space="preserve">nécessaire — ne pas supposer que 88 mm convient à un autre sous-titre sans</w:t>
      </w:r>
      <w:r>
        <w:t xml:space="preserve"> </w:t>
      </w:r>
      <w:r>
        <w:t xml:space="preserve">vérification.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106a860e691a8d6e328647a327de620163cc89"/>
    <w:p>
      <w:pPr>
        <w:pStyle w:val="Heading1"/>
      </w:pPr>
      <w:r>
        <w:t xml:space="preserve">5. Coupures de ligne du titre d’ouverture de contribution (104 mm)</w:t>
      </w:r>
    </w:p>
    <w:p>
      <w:pPr>
        <w:pStyle w:val="FirstParagraph"/>
      </w:pPr>
      <w:r>
        <w:rPr>
          <w:rStyle w:val="VerbatimChar"/>
        </w:rPr>
        <w:t xml:space="preserve">\PURHContributionTitleWidth</w:t>
      </w:r>
      <w:r>
        <w:t xml:space="preserve"> </w:t>
      </w:r>
      <w:r>
        <w:t xml:space="preserve">fixe la largeur du</w:t>
      </w:r>
      <w:r>
        <w:t xml:space="preserve"> </w:t>
      </w:r>
      <w:r>
        <w:rPr>
          <w:rStyle w:val="VerbatimChar"/>
        </w:rPr>
        <w:t xml:space="preserve">\parbox</w:t>
      </w:r>
      <w:r>
        <w:t xml:space="preserve"> </w:t>
      </w:r>
      <w:r>
        <w:t xml:space="preserve">du titre affiché</w:t>
      </w:r>
      <w:r>
        <w:t xml:space="preserve"> </w:t>
      </w:r>
      <w:r>
        <w:t xml:space="preserve">en tête de chaque contribution (</w:t>
      </w:r>
      <w:r>
        <w:rPr>
          <w:rStyle w:val="VerbatimChar"/>
        </w:rPr>
        <w:t xml:space="preserve">\lateiContributionTitle</w:t>
      </w:r>
      <w:r>
        <w:t xml:space="preserve">) :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\PURHContributionTitleWidth</w:t>
      </w:r>
      <w:r>
        <w:rPr>
          <w:rStyle w:val="NormalTok"/>
        </w:rPr>
        <w:t xml:space="preserve">}{104mm}</w:t>
      </w:r>
    </w:p>
    <w:p>
      <w:pPr>
        <w:pStyle w:val="FirstParagraph"/>
      </w:pPr>
      <w:r>
        <w:t xml:space="preserve">Le référentiel v0.5/v0.6 (§7.3, « coupures éditoriales ») prévenait</w:t>
      </w:r>
      <w:r>
        <w:t xml:space="preserve"> </w:t>
      </w:r>
      <w:r>
        <w:t xml:space="preserve">explicitement qu’il ne fallait pas reconstruire ces coupures « par une</w:t>
      </w:r>
      <w:r>
        <w:t xml:space="preserve"> </w:t>
      </w:r>
      <w:r>
        <w:t xml:space="preserve">largeur de boîte arbitraire ». Une vérification empirique a montré que ce</w:t>
      </w:r>
      <w:r>
        <w:t xml:space="preserve"> </w:t>
      </w:r>
      <w:r>
        <w:t xml:space="preserve">n’est en fait pas nécessairement le cas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Méthode</w:t>
      </w:r>
      <w:r>
        <w:t xml:space="preserve"> </w:t>
      </w:r>
      <w:r>
        <w:t xml:space="preserve">: 7 titres réels du PDF imprimeur de</w:t>
      </w:r>
      <w:r>
        <w:t xml:space="preserve"> </w:t>
      </w:r>
      <w:r>
        <w:rPr>
          <w:i/>
          <w:iCs/>
        </w:rPr>
        <w:t xml:space="preserve">Dissimuler pour mieux</w:t>
      </w:r>
      <w:r>
        <w:rPr>
          <w:i/>
          <w:iCs/>
        </w:rPr>
        <w:t xml:space="preserve"> </w:t>
      </w:r>
      <w:r>
        <w:rPr>
          <w:i/>
          <w:iCs/>
        </w:rPr>
        <w:t xml:space="preserve">régner</w:t>
      </w:r>
      <w:r>
        <w:t xml:space="preserve"> </w:t>
      </w:r>
      <w:r>
        <w:t xml:space="preserve">ont été mesurés (longueurs environ 7, 9, 15, 27, 26, 51, 191</w:t>
      </w:r>
      <w:r>
        <w:t xml:space="preserve"> </w:t>
      </w:r>
      <w:r>
        <w:t xml:space="preserve">caractères), et une largeur de boîte a été recherchée par approche</w:t>
      </w:r>
      <w:r>
        <w:t xml:space="preserve"> </w:t>
      </w:r>
      <w:r>
        <w:t xml:space="preserve">itérative jusqu’à faire correspondre les coupures obtenues à celles du</w:t>
      </w:r>
      <w:r>
        <w:t xml:space="preserve"> </w:t>
      </w:r>
      <w:r>
        <w:t xml:space="preserve">PDF imprimeur.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Résultat</w:t>
      </w:r>
      <w:r>
        <w:t xml:space="preserve"> </w:t>
      </w:r>
      <w:r>
        <w:t xml:space="preserve">: 104 mm calculé correspond de très près à 103,4 mm mesuré</w:t>
      </w:r>
      <w:r>
        <w:t xml:space="preserve"> </w:t>
      </w:r>
      <w:r>
        <w:t xml:space="preserve">indépendamment par analyse de pixels sur le rendu réel, et à l’empagement</w:t>
      </w:r>
      <w:r>
        <w:t xml:space="preserve"> </w:t>
      </w:r>
      <w:r>
        <w:t xml:space="preserve">du profil 155×230 (105 mm de largeur de texte). Ce n’est donc pas une</w:t>
      </w:r>
      <w:r>
        <w:t xml:space="preserve"> </w:t>
      </w:r>
      <w:r>
        <w:t xml:space="preserve">coïncidence arbitraire : la largeur du bloc de titre suit visiblement la</w:t>
      </w:r>
      <w:r>
        <w:t xml:space="preserve"> </w:t>
      </w:r>
      <w:r>
        <w:t xml:space="preserve">largeur d’empagement du corps de texte.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Vérification positive</w:t>
      </w:r>
      <w:r>
        <w:t xml:space="preserve"> </w:t>
      </w:r>
      <w:r>
        <w:t xml:space="preserve">: sur un titre de 4 lignes (« Les lieux de la</w:t>
      </w:r>
      <w:r>
        <w:t xml:space="preserve"> </w:t>
      </w:r>
      <w:r>
        <w:t xml:space="preserve">conjuration : société secrète et hétérotopie dans la littérature</w:t>
      </w:r>
      <w:r>
        <w:t xml:space="preserve"> </w:t>
      </w:r>
      <w:r>
        <w:t xml:space="preserve">romantique »), le nombre de lignes et la coupure obtenus avec cette</w:t>
      </w:r>
      <w:r>
        <w:t xml:space="preserve"> </w:t>
      </w:r>
      <w:r>
        <w:t xml:space="preserve">largeur sont</w:t>
      </w:r>
      <w:r>
        <w:t xml:space="preserve"> </w:t>
      </w:r>
      <w:r>
        <w:rPr>
          <w:b/>
          <w:bCs/>
        </w:rPr>
        <w:t xml:space="preserve">identiques</w:t>
      </w:r>
      <w:r>
        <w:t xml:space="preserve"> </w:t>
      </w:r>
      <w:r>
        <w:t xml:space="preserve">au PDF imprimeur.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Limite documentée</w:t>
      </w:r>
      <w:r>
        <w:t xml:space="preserve"> </w:t>
      </w:r>
      <w:r>
        <w:t xml:space="preserve">: sur d’autres titres, la coupure diffère du PDF</w:t>
      </w:r>
      <w:r>
        <w:t xml:space="preserve"> </w:t>
      </w:r>
      <w:r>
        <w:t xml:space="preserve">imprimeur d’un mot. Exemple : « Les espaces du secret à Clarens » casse en</w:t>
      </w:r>
      <w:r>
        <w:t xml:space="preserve"> </w:t>
      </w:r>
      <w:r>
        <w:t xml:space="preserve">« LES ESPACES DU SECRET À » / « CLARENS » avec cette méthode, contre</w:t>
      </w:r>
      <w:r>
        <w:t xml:space="preserve"> </w:t>
      </w:r>
      <w:r>
        <w:t xml:space="preserve">« LES ESPACES DU SECRET » / « À CLARENS » dans le PDF imprimeur. Écart</w:t>
      </w:r>
      <w:r>
        <w:t xml:space="preserve"> </w:t>
      </w:r>
      <w:r>
        <w:t xml:space="preserve">probablement dû à une règle InDesign de conservation des mots courts</w:t>
      </w:r>
      <w:r>
        <w:t xml:space="preserve"> </w:t>
      </w:r>
      <w:r>
        <w:t xml:space="preserve">(« à », « de »…) avec la ligne suivante, que l’algorithme Knuth-Plass de</w:t>
      </w:r>
      <w:r>
        <w:t xml:space="preserve"> </w:t>
      </w:r>
      <w:r>
        <w:t xml:space="preserve">LaTeX ne reproduit pas nativement.</w:t>
      </w:r>
    </w:p>
    <w:p>
      <w:pPr>
        <w:pStyle w:val="FirstParagraph"/>
      </w:pPr>
      <w:r>
        <w:rPr>
          <w:b/>
          <w:bCs/>
        </w:rPr>
        <w:t xml:space="preserve">Pour un autre format</w:t>
      </w:r>
      <w:r>
        <w:t xml:space="preserve"> </w:t>
      </w:r>
      <w:r>
        <w:t xml:space="preserve">: recommencer la même méthode empirique (mesurer</w:t>
      </w:r>
      <w:r>
        <w:t xml:space="preserve"> </w:t>
      </w:r>
      <w:r>
        <w:t xml:space="preserve">un échantillon de titres réels du PDF imprimeur cible, chercher la largeur</w:t>
      </w:r>
      <w:r>
        <w:t xml:space="preserve"> </w:t>
      </w:r>
      <w:r>
        <w:t xml:space="preserve">de boîte qui reproduit le plus grand nombre de coupures identiques,</w:t>
      </w:r>
      <w:r>
        <w:t xml:space="preserve"> </w:t>
      </w:r>
      <w:r>
        <w:t xml:space="preserve">documenter le taux de réussite et les cas résiduels) plutôt que de</w:t>
      </w:r>
      <w:r>
        <w:t xml:space="preserve"> </w:t>
      </w:r>
      <w:r>
        <w:t xml:space="preserve">réutiliser 104 mm tel quel — cette valeur est spécifique à l’empagement du</w:t>
      </w:r>
      <w:r>
        <w:t xml:space="preserve"> </w:t>
      </w:r>
      <w:r>
        <w:t xml:space="preserve">profil 155×230 et à ce corpus de titres.</w:t>
      </w:r>
    </w:p>
    <w:p>
      <w:r>
        <w:pict>
          <v:rect style="width:0;height:1.5pt" o:hralign="center" o:hrstd="t" o:hr="t"/>
        </w:pict>
      </w:r>
    </w:p>
    <w:bookmarkEnd w:id="22"/>
    <w:bookmarkStart w:id="26" w:name="ouvertures-de-partie-et-de-contribution"/>
    <w:p>
      <w:pPr>
        <w:pStyle w:val="Heading1"/>
      </w:pPr>
      <w:r>
        <w:t xml:space="preserve">6. Ouvertures de partie et de contribution</w:t>
      </w:r>
    </w:p>
    <w:bookmarkStart w:id="23" w:name="pagestyle-vide"/>
    <w:p>
      <w:pPr>
        <w:pStyle w:val="Heading2"/>
      </w:pPr>
      <w:r>
        <w:t xml:space="preserve">6.1. Pagestyle vide</w:t>
      </w:r>
    </w:p>
    <w:p>
      <w:pPr>
        <w:pStyle w:val="FirstParagraph"/>
      </w:pPr>
      <w:r>
        <w:t xml:space="preserve">Référentiel v0.6 §7.1/§7.2, P1 items 1 et 2 : « aucun en-tête ni folio » sur</w:t>
      </w:r>
      <w:r>
        <w:t xml:space="preserve"> </w:t>
      </w:r>
      <w:r>
        <w:t xml:space="preserve">la première page d’une partie ou d’une contribution.</w:t>
      </w:r>
    </w:p>
    <w:p>
      <w:pPr>
        <w:pStyle w:val="SourceCode"/>
      </w:pPr>
      <w:r>
        <w:rPr>
          <w:rStyle w:val="CommentTok"/>
        </w:rPr>
        <w:t xml:space="preserve">% Rupture d'ouverture de contribution</w:t>
      </w:r>
      <w:r>
        <w:br/>
      </w:r>
      <w:r>
        <w:rPr>
          <w:rStyle w:val="FunctionTok"/>
        </w:rPr>
        <w:t xml:space="preserve">\thispagestyle</w:t>
      </w:r>
      <w:r>
        <w:rPr>
          <w:rStyle w:val="NormalTok"/>
        </w:rPr>
        <w:t xml:space="preserve">{empty}</w:t>
      </w:r>
      <w:r>
        <w:br/>
      </w:r>
      <w:r>
        <w:rPr>
          <w:rStyle w:val="CommentTok"/>
        </w:rPr>
        <w:t xml:space="preserve">% Rupture d'ouverture de partie</w:t>
      </w:r>
      <w:r>
        <w:br/>
      </w:r>
      <w:r>
        <w:rPr>
          <w:rStyle w:val="FunctionTok"/>
        </w:rPr>
        <w:t xml:space="preserve">\thispagestyle</w:t>
      </w:r>
      <w:r>
        <w:rPr>
          <w:rStyle w:val="NormalTok"/>
        </w:rPr>
        <w:t xml:space="preserve">{empty}</w:t>
      </w:r>
    </w:p>
    <w:p>
      <w:pPr>
        <w:pStyle w:val="FirstParagraph"/>
      </w:pPr>
      <w:r>
        <w:rPr>
          <w:rStyle w:val="VerbatimChar"/>
        </w:rPr>
        <w:t xml:space="preserve">\thispagestyle</w:t>
      </w:r>
      <w:r>
        <w:t xml:space="preserve"> </w:t>
      </w:r>
      <w:r>
        <w:t xml:space="preserve">(et non</w:t>
      </w:r>
      <w:r>
        <w:t xml:space="preserve"> </w:t>
      </w:r>
      <w:r>
        <w:rPr>
          <w:rStyle w:val="VerbatimChar"/>
        </w:rPr>
        <w:t xml:space="preserve">\pagestyle</w:t>
      </w:r>
      <w:r>
        <w:t xml:space="preserve">) : seule la première page bascule en</w:t>
      </w:r>
      <w:r>
        <w:t xml:space="preserve"> </w:t>
      </w:r>
      <w:r>
        <w:t xml:space="preserve">style vide, les pages suivantes de la même contribution/partie reprennent</w:t>
      </w:r>
      <w:r>
        <w:t xml:space="preserve"> </w:t>
      </w:r>
      <w:r>
        <w:t xml:space="preserve">le titre courant normalement.</w:t>
      </w:r>
    </w:p>
    <w:bookmarkEnd w:id="23"/>
    <w:bookmarkStart w:id="24" w:name="X7c7d1da7a58f626e700ef1fb346b6648def9e50"/>
    <w:p>
      <w:pPr>
        <w:pStyle w:val="Heading2"/>
      </w:pPr>
      <w:r>
        <w:t xml:space="preserve">6.2. Réinitialisation des notes de bas de page</w:t>
      </w:r>
    </w:p>
    <w:p>
      <w:pPr>
        <w:pStyle w:val="FirstParagraph"/>
      </w:pPr>
      <w:r>
        <w:t xml:space="preserve">Référentiel v0.6 §5/§17 : « notes remise à 1 par contribution ».</w:t>
      </w:r>
    </w:p>
    <w:p>
      <w:pPr>
        <w:pStyle w:val="SourceCode"/>
      </w:pPr>
      <w:r>
        <w:rPr>
          <w:rStyle w:val="FunctionTok"/>
        </w:rPr>
        <w:t xml:space="preserve">\setcounter</w:t>
      </w:r>
      <w:r>
        <w:rPr>
          <w:rStyle w:val="NormalTok"/>
        </w:rPr>
        <w:t xml:space="preserve">{footnote}{0}</w:t>
      </w:r>
    </w:p>
    <w:p>
      <w:pPr>
        <w:pStyle w:val="FirstParagraph"/>
      </w:pPr>
      <w:r>
        <w:t xml:space="preserve">Exécuté à chaque rupture d’ouverture (front matter, chapitre/article,</w:t>
      </w:r>
      <w:r>
        <w:t xml:space="preserve"> </w:t>
      </w:r>
      <w:r>
        <w:t xml:space="preserve">back matter) — chaque ouverture redémarre sa propre numérotation plutôt que</w:t>
      </w:r>
      <w:r>
        <w:t xml:space="preserve"> </w:t>
      </w:r>
      <w:r>
        <w:t xml:space="preserve">de poursuivre celle de la contribution précédente sur tout le livre.</w:t>
      </w:r>
    </w:p>
    <w:bookmarkEnd w:id="24"/>
    <w:bookmarkStart w:id="25" w:name="X396fd31e7a31578209e18e7f00c08b2de10e4a1"/>
    <w:p>
      <w:pPr>
        <w:pStyle w:val="Heading2"/>
      </w:pPr>
      <w:r>
        <w:t xml:space="preserve">6.3. Auteur et affiliation masqués sur l’ouverture, réversibilité préservée</w:t>
      </w:r>
    </w:p>
    <w:p>
      <w:pPr>
        <w:pStyle w:val="FirstParagraph"/>
      </w:pPr>
      <w:r>
        <w:t xml:space="preserve">Référentiel v0.6 §7.2/§17, P1 item 3 : « auteur et affiliation non</w:t>
      </w:r>
      <w:r>
        <w:t xml:space="preserve"> </w:t>
      </w:r>
      <w:r>
        <w:t xml:space="preserve">imprimés » sur l’ouverture de contribution, mais « le profil doit</w:t>
      </w:r>
      <w:r>
        <w:t xml:space="preserve"> </w:t>
      </w:r>
      <w:r>
        <w:t xml:space="preserve">distinguer conservation des métadonnées et visibilité sur la page ».</w:t>
      </w:r>
    </w:p>
    <w:p>
      <w:pPr>
        <w:pStyle w:val="SourceCode"/>
      </w:pPr>
      <w:r>
        <w:rPr>
          <w:rStyle w:val="CommentTok"/>
        </w:rPr>
        <w:t xml:space="preserve">% purh_layout_profiles.py</w:t>
      </w:r>
      <w:r>
        <w:br/>
      </w:r>
      <w:r>
        <w:rPr>
          <w:rStyle w:val="NormalTok"/>
        </w:rPr>
        <w:t xml:space="preserve">show_contribution_author: bool  # False sur les deux profils actuels</w:t>
      </w:r>
      <w:r>
        <w:br/>
      </w:r>
      <w:r>
        <w:br/>
      </w:r>
      <w:r>
        <w:rPr>
          <w:rStyle w:val="CommentTok"/>
        </w:rPr>
        <w:t xml:space="preserve">% latei_preamble.py</w:t>
      </w:r>
      <w:r>
        <w:br/>
      </w:r>
      <w:r>
        <w:rPr>
          <w:rStyle w:val="FunctionTok"/>
        </w:rPr>
        <w:t xml:space="preserve">\newif\iflateiShowContributionAuthor</w:t>
      </w:r>
      <w:r>
        <w:br/>
      </w:r>
      <w:r>
        <w:rPr>
          <w:rStyle w:val="FunctionTok"/>
        </w:rPr>
        <w:t xml:space="preserve">\lateiShowContributionAuthorfalse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ou …true selon profile.show_contribution_author</w:t>
      </w:r>
    </w:p>
    <w:p>
      <w:pPr>
        <w:pStyle w:val="FirstParagraph"/>
      </w:pPr>
      <w:r>
        <w:t xml:space="preserve">Le contenu réversible (</w:t>
      </w:r>
      <w:r>
        <w:rPr>
          <w:rStyle w:val="VerbatimChar"/>
        </w:rPr>
        <w:t xml:space="preserve">\teiP[rend={author-aut}]…</w:t>
      </w:r>
      <w:r>
        <w:t xml:space="preserve">,</w:t>
      </w:r>
      <w:r>
        <w:t xml:space="preserve"> </w:t>
      </w:r>
      <w:r>
        <w:rPr>
          <w:rStyle w:val="VerbatimChar"/>
        </w:rPr>
        <w:t xml:space="preserve">\teiP[rend={authority\_affiliation}]…</w:t>
      </w:r>
      <w:r>
        <w:t xml:space="preserve">) reste</w:t>
      </w:r>
      <w:r>
        <w:t xml:space="preserve"> </w:t>
      </w:r>
      <w:r>
        <w:rPr>
          <w:b/>
          <w:bCs/>
        </w:rPr>
        <w:t xml:space="preserve">inchangé</w:t>
      </w:r>
      <w:r>
        <w:t xml:space="preserve"> </w:t>
      </w:r>
      <w:r>
        <w:t xml:space="preserve">dans le corps</w:t>
      </w:r>
      <w:r>
        <w:t xml:space="preserve"> </w:t>
      </w:r>
      <w:r>
        <w:t xml:space="preserve">LaTEI, quel que soit l’état du drapeau : seul l’affichage PDF bascule.</w:t>
      </w:r>
      <w:r>
        <w:t xml:space="preserve"> </w:t>
      </w:r>
      <w:r>
        <w:t xml:space="preserve">Vérifié par</w:t>
      </w:r>
      <w:r>
        <w:t xml:space="preserve"> </w:t>
      </w:r>
      <w:r>
        <w:rPr>
          <w:rStyle w:val="VerbatimChar"/>
        </w:rPr>
        <w:t xml:space="preserve">tests/test_latei_opening_templates.py:: test_contribution_body_stays_reversible_even_when_author_is_hidden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liminaires-et-fin-douvrage"/>
    <w:p>
      <w:pPr>
        <w:pStyle w:val="Heading1"/>
      </w:pPr>
      <w:r>
        <w:t xml:space="preserve">7. Liminaires et fin d’ouvrage</w:t>
      </w:r>
    </w:p>
    <w:bookmarkStart w:id="27" w:name="séquence-complète-référentiel-v0.6-8.1"/>
    <w:p>
      <w:pPr>
        <w:pStyle w:val="Heading2"/>
      </w:pPr>
      <w:r>
        <w:t xml:space="preserve">7.1. Séquence complète (référentiel v0.6 §8.1)</w:t>
      </w:r>
    </w:p>
    <w:p>
      <w:pPr>
        <w:pStyle w:val="SourceCode"/>
      </w:pPr>
      <w:r>
        <w:rPr>
          <w:rStyle w:val="VerbatimChar"/>
        </w:rPr>
        <w:t xml:space="preserve">\lateiEnsureContinuousArabicPagination</w:t>
      </w:r>
      <w:r>
        <w:br/>
      </w:r>
      <w:r>
        <w:rPr>
          <w:rStyle w:val="VerbatimChar"/>
        </w:rPr>
        <w:t xml:space="preserve">\PURHBlankPage      % page blanche technique</w:t>
      </w:r>
      <w:r>
        <w:br/>
      </w:r>
      <w:r>
        <w:rPr>
          <w:rStyle w:val="VerbatimChar"/>
        </w:rPr>
        <w:t xml:space="preserve">\PURHBlankPage      % page blanche technique</w:t>
      </w:r>
      <w:r>
        <w:br/>
      </w:r>
      <w:r>
        <w:rPr>
          <w:rStyle w:val="VerbatimChar"/>
        </w:rPr>
        <w:t xml:space="preserve">\PURHFalseTitle{…}  % faux-titre</w:t>
      </w:r>
      <w:r>
        <w:br/>
      </w:r>
      <w:r>
        <w:rPr>
          <w:rStyle w:val="VerbatimChar"/>
        </w:rPr>
        <w:t xml:space="preserve">\PURHCreditsPage{…} % colophon</w:t>
      </w:r>
      <w:r>
        <w:br/>
      </w:r>
      <w:r>
        <w:rPr>
          <w:rStyle w:val="VerbatimChar"/>
        </w:rPr>
        <w:t xml:space="preserve">\PURHTitlePage{…}   % page de titre</w:t>
      </w:r>
      <w:r>
        <w:br/>
      </w:r>
      <w:r>
        <w:rPr>
          <w:rStyle w:val="VerbatimChar"/>
        </w:rPr>
        <w:t xml:space="preserve">\PURHBlankPage      % page blanche technique</w:t>
      </w:r>
    </w:p>
    <w:p>
      <w:pPr>
        <w:pStyle w:val="FirstParagraph"/>
      </w:pPr>
      <w:r>
        <w:t xml:space="preserve">Construite uniquement depuis les métadonnées déjà extraites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LateiMetadata</w:t>
      </w:r>
      <w:r>
        <w:t xml:space="preserve">), jamais depuis le corps LaTEI réversible. La pagination</w:t>
      </w:r>
      <w:r>
        <w:t xml:space="preserve"> </w:t>
      </w:r>
      <w:r>
        <w:t xml:space="preserve">arabe continue est initialisée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cette séquence, pour que ces six</w:t>
      </w:r>
      <w:r>
        <w:t xml:space="preserve"> </w:t>
      </w:r>
      <w:r>
        <w:t xml:space="preserve">pages soient comptées (sans folio visible, toutes en pagestyle empty) avant</w:t>
      </w:r>
      <w:r>
        <w:t xml:space="preserve"> </w:t>
      </w:r>
      <w:r>
        <w:t xml:space="preserve">que le contenu principal ne devienne la première page numérotée visible.</w:t>
      </w:r>
    </w:p>
    <w:p>
      <w:pPr>
        <w:pStyle w:val="BodyText"/>
      </w:pPr>
      <w:r>
        <w:t xml:space="preserve">Aucune de ces pages n’utilise</w:t>
      </w:r>
      <w:r>
        <w:t xml:space="preserve"> </w:t>
      </w:r>
      <w:r>
        <w:rPr>
          <w:rStyle w:val="VerbatimChar"/>
        </w:rPr>
        <w:t xml:space="preserve">\begin{titlepage}…\end{titlepage}</w:t>
      </w:r>
      <w:r>
        <w:t xml:space="preserve"> </w:t>
      </w:r>
      <w:r>
        <w:t xml:space="preserve">: ce mode</w:t>
      </w:r>
      <w:r>
        <w:t xml:space="preserve"> </w:t>
      </w:r>
      <w:r>
        <w:t xml:space="preserve">de compatibilité LaTeX 2.09 remet parfois</w:t>
      </w:r>
      <w:r>
        <w:t xml:space="preserve"> </w:t>
      </w:r>
      <w:r>
        <w:rPr>
          <w:rStyle w:val="VerbatimChar"/>
        </w:rPr>
        <w:t xml:space="preserve">\c@page</w:t>
      </w:r>
      <w:r>
        <w:t xml:space="preserve"> </w:t>
      </w:r>
      <w:r>
        <w:t xml:space="preserve">à 1, ce qui casserait la</w:t>
      </w:r>
      <w:r>
        <w:t xml:space="preserve"> </w:t>
      </w:r>
      <w:r>
        <w:t xml:space="preserve">continuité de la pagination — chaque page liminaire utilise</w:t>
      </w:r>
      <w:r>
        <w:t xml:space="preserve"> </w:t>
      </w:r>
      <w:r>
        <w:rPr>
          <w:rStyle w:val="VerbatimChar"/>
        </w:rPr>
        <w:t xml:space="preserve">\clearpage…\thispagestyle{empty}…\clearpage</w:t>
      </w:r>
      <w:r>
        <w:t xml:space="preserve"> </w:t>
      </w:r>
      <w:r>
        <w:t xml:space="preserve">à la place.</w:t>
      </w:r>
    </w:p>
    <w:bookmarkEnd w:id="27"/>
    <w:bookmarkStart w:id="28" w:name="faux-titre"/>
    <w:p>
      <w:pPr>
        <w:pStyle w:val="Heading2"/>
      </w:pPr>
      <w:r>
        <w:t xml:space="preserve">7.2. Faux-titre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\PURHFalseTitle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\clearpage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\thispagestyle</w:t>
      </w:r>
      <w:r>
        <w:rPr>
          <w:rStyle w:val="NormalTok"/>
        </w:rPr>
        <w:t xml:space="preserve">{empty}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\vspace*</w:t>
      </w:r>
      <w:r>
        <w:rPr>
          <w:rStyle w:val="NormalTok"/>
        </w:rPr>
        <w:t xml:space="preserve">{0.25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\PURHTitleFont\bfseries\fontsize</w:t>
      </w:r>
      <w:r>
        <w:rPr>
          <w:rStyle w:val="NormalTok"/>
        </w:rPr>
        <w:t xml:space="preserve">{12pt}{14pt}</w:t>
      </w:r>
      <w:r>
        <w:rPr>
          <w:rStyle w:val="FunctionTok"/>
        </w:rPr>
        <w:t xml:space="preserve">\selectfont\MakeUppercase</w:t>
      </w:r>
      <w:r>
        <w:rPr>
          <w:rStyle w:val="NormalTok"/>
        </w:rPr>
        <w:t xml:space="preserve">{#1}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\clearpage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Position remontée (0,35 → 0,25</w:t>
      </w:r>
      <w:r>
        <w:t xml:space="preserve"> </w:t>
      </w:r>
      <w:r>
        <w:rPr>
          <w:rStyle w:val="VerbatimChar"/>
        </w:rPr>
        <w:t xml:space="preserve">\textheight</w:t>
      </w:r>
      <w:r>
        <w:t xml:space="preserve"> </w:t>
      </w:r>
      <w:r>
        <w:t xml:space="preserve">— approximatif, « un peu plus</w:t>
      </w:r>
      <w:r>
        <w:t xml:space="preserve"> </w:t>
      </w:r>
      <w:r>
        <w:t xml:space="preserve">haut », aucune mesure millimétrique donnée par l’utilisateur) et graisse</w:t>
      </w:r>
      <w:r>
        <w:t xml:space="preserve"> </w:t>
      </w:r>
      <w:r>
        <w:t xml:space="preserve">repassée en Bold capitales, même corps que les titres de section (12/14</w:t>
      </w:r>
      <w:r>
        <w:t xml:space="preserve"> </w:t>
      </w:r>
      <w:r>
        <w:t xml:space="preserve">pt). Le référentiel v0.6 ne donnait aucune cible chiffrée pour ce niveau</w:t>
      </w:r>
      <w:r>
        <w:t xml:space="preserve"> </w:t>
      </w:r>
      <w:r>
        <w:t xml:space="preserve">précis ; seule la vérification humaine directe fait foi ici.</w:t>
      </w:r>
    </w:p>
    <w:bookmarkEnd w:id="28"/>
    <w:bookmarkStart w:id="30" w:name="page-de-titre"/>
    <w:p>
      <w:pPr>
        <w:pStyle w:val="Heading2"/>
      </w:pPr>
      <w:r>
        <w:t xml:space="preserve">7.3. Page de titre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\PURHTitlePage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\clearpage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\thispagestyle</w:t>
      </w:r>
      <w:r>
        <w:rPr>
          <w:rStyle w:val="NormalTok"/>
        </w:rPr>
        <w:t xml:space="preserve">{empty}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\vspace*</w:t>
      </w:r>
      <w:r>
        <w:rPr>
          <w:rStyle w:val="NormalTok"/>
        </w:rPr>
        <w:t xml:space="preserve">{0.25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#1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\clearpage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Même hauteur de départ que le faux-titre</w:t>
      </w:r>
      <w:r>
        <w:t xml:space="preserve"> </w:t>
      </w:r>
      <w:r>
        <w:t xml:space="preserve">(0,25</w:t>
      </w:r>
      <w:r>
        <w:t xml:space="preserve"> </w:t>
      </w:r>
      <w:r>
        <w:rPr>
          <w:rStyle w:val="VerbatimChar"/>
        </w:rPr>
        <w:t xml:space="preserve">\textheight</w:t>
      </w:r>
      <w:r>
        <w:t xml:space="preserve">, valeur</w:t>
      </w:r>
      <w:r>
        <w:t xml:space="preserve"> </w:t>
      </w:r>
      <w:r>
        <w:t xml:space="preserve">partagée volontairement) — seul le corps du texte change entre les deux</w:t>
      </w:r>
      <w:r>
        <w:t xml:space="preserve"> </w:t>
      </w:r>
      <w:r>
        <w:t xml:space="preserve">pages, pas sa position verticale. Contenu (assemblé par</w:t>
      </w:r>
      <w:r>
        <w:t xml:space="preserve"> </w:t>
      </w:r>
      <w:r>
        <w:rPr>
          <w:rStyle w:val="VerbatimChar"/>
        </w:rPr>
        <w:t xml:space="preserve">_full_title_page()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latei_driver.py</w:t>
      </w:r>
      <w:r>
        <w:t xml:space="preserve">) :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rf"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PurhTitleMain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subtitle:</w:t>
      </w:r>
      <w:r>
        <w:br/>
      </w:r>
      <w:r>
        <w:rPr>
          <w:rStyle w:val="NormalTok"/>
        </w:rPr>
        <w:t xml:space="preserve">    lines.append(</w:t>
      </w:r>
      <w:r>
        <w:rPr>
          <w:rStyle w:val="VerbatimStringTok"/>
        </w:rPr>
        <w:t xml:space="preserve">rf"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PurhSubtitle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subtitle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responsibility:          </w:t>
      </w:r>
      <w:r>
        <w:rPr>
          <w:rStyle w:val="CommentTok"/>
        </w:rPr>
        <w:t xml:space="preserve"># "sous la direction de" + noms, ou juste les noms</w:t>
      </w:r>
      <w:r>
        <w:br/>
      </w:r>
      <w:r>
        <w:rPr>
          <w:rStyle w:val="NormalTok"/>
        </w:rPr>
        <w:t xml:space="preserve">    lines.append(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\v</w:t>
      </w:r>
      <w:r>
        <w:rPr>
          <w:rStyle w:val="VerbatimStringTok"/>
        </w:rPr>
        <w:t xml:space="preserve">space{2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aselineskip}"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VerbatimStringTok"/>
        </w:rPr>
        <w:t xml:space="preserve">rf"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PurhContributors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responsibility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publisher:</w:t>
      </w:r>
      <w:r>
        <w:br/>
      </w:r>
      <w:r>
        <w:rPr>
          <w:rStyle w:val="NormalTok"/>
        </w:rPr>
        <w:t xml:space="preserve">    lines.append(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\v</w:t>
      </w:r>
      <w:r>
        <w:rPr>
          <w:rStyle w:val="VerbatimStringTok"/>
        </w:rPr>
        <w:t xml:space="preserve">space{2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aselineskip}"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</w:t>
      </w:r>
      <w:r>
        <w:rPr>
          <w:rStyle w:val="VerbatimStringTok"/>
        </w:rPr>
        <w:t xml:space="preserve">rf"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PurhTitleExtra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publisher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</w:p>
    <w:bookmarkStart w:id="29" w:name="X6183024ed2cb5ac3bb6f33aacbe4674b19ad61a"/>
    <w:p>
      <w:pPr>
        <w:pStyle w:val="Heading3"/>
      </w:pPr>
      <w:r>
        <w:t xml:space="preserve">Logique de la responsabilité éditoriale (« sous la direction de »)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_title_page_responsibility_lines(metadata):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metadata.directors: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et "</w:t>
      </w:r>
      <w:r>
        <w:rPr>
          <w:rStyle w:val="NormalTok"/>
        </w:rPr>
        <w:t xml:space="preserve">.join(metadata.directors)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"sous la direction de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metadata.authors: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et "</w:t>
      </w:r>
      <w:r>
        <w:rPr>
          <w:rStyle w:val="NormalTok"/>
        </w:rPr>
        <w:t xml:space="preserve">.join(metadata.authors)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t xml:space="preserve">« sous la direction de » sur sa propre ligne, puis les noms sur la</w:t>
      </w:r>
      <w:r>
        <w:t xml:space="preserve"> </w:t>
      </w:r>
      <w:r>
        <w:t xml:space="preserve">suivante — deux lignes explicites (</w:t>
      </w:r>
      <w:r>
        <w:rPr>
          <w:rStyle w:val="VerbatimChar"/>
        </w:rPr>
        <w:t xml:space="preserve">\\</w:t>
      </w:r>
      <w:r>
        <w:t xml:space="preserve"> </w:t>
      </w:r>
      <w:r>
        <w:t xml:space="preserve">inséré côté Python, pas dans la</w:t>
      </w:r>
      <w:r>
        <w:t xml:space="preserve"> </w:t>
      </w:r>
      <w:r>
        <w:t xml:space="preserve">macro) — s’applique</w:t>
      </w:r>
      <w:r>
        <w:t xml:space="preserve"> </w:t>
      </w:r>
      <w:r>
        <w:rPr>
          <w:b/>
          <w:bCs/>
        </w:rPr>
        <w:t xml:space="preserve">uniquement</w:t>
      </w:r>
      <w:r>
        <w:t xml:space="preserve"> </w:t>
      </w:r>
      <w:r>
        <w:t xml:space="preserve">aux volumes dirigés (exemple concret</w:t>
      </w:r>
      <w:r>
        <w:t xml:space="preserve"> </w:t>
      </w:r>
      <w:r>
        <w:t xml:space="preserve">donné par l’utilisateur :</w:t>
      </w:r>
      <w:r>
        <w:t xml:space="preserve"> </w:t>
      </w:r>
      <w:r>
        <w:rPr>
          <w:i/>
          <w:iCs/>
        </w:rPr>
        <w:t xml:space="preserve">Beautés vitales</w:t>
      </w:r>
      <w:r>
        <w:t xml:space="preserve">, dirigé par deux personnes). À</w:t>
      </w:r>
      <w:r>
        <w:t xml:space="preserve"> </w:t>
      </w:r>
      <w:r>
        <w:t xml:space="preserve">défaut de directeurs déclarés, seuls les noms des auteurs sont affichés,</w:t>
      </w:r>
      <w:r>
        <w:t xml:space="preserve"> </w:t>
      </w:r>
      <w:r>
        <w:t xml:space="preserve">sans ce préfixe.</w:t>
      </w:r>
    </w:p>
    <w:bookmarkEnd w:id="29"/>
    <w:bookmarkEnd w:id="30"/>
    <w:bookmarkStart w:id="32" w:name="colophon-page-de-crédits"/>
    <w:p>
      <w:pPr>
        <w:pStyle w:val="Heading2"/>
      </w:pPr>
      <w:r>
        <w:t xml:space="preserve">7.4. Colophon (page de crédits)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\PURHCreditsPage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\clearpage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\thispagestyle</w:t>
      </w:r>
      <w:r>
        <w:rPr>
          <w:rStyle w:val="NormalTok"/>
        </w:rPr>
        <w:t xml:space="preserve">{empty}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\vspace*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\fill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\fontsize</w:t>
      </w:r>
      <w:r>
        <w:rPr>
          <w:rStyle w:val="NormalTok"/>
        </w:rPr>
        <w:t xml:space="preserve">{10pt}{11.5pt}</w:t>
      </w:r>
      <w:r>
        <w:rPr>
          <w:rStyle w:val="FunctionTok"/>
        </w:rPr>
        <w:t xml:space="preserve">\selectfont</w:t>
      </w:r>
      <w:r>
        <w:br/>
      </w:r>
      <w:r>
        <w:rPr>
          <w:rStyle w:val="NormalTok"/>
        </w:rPr>
        <w:t xml:space="preserve">  #1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\clearpage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Point le plus délicat du chantier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\vspace*{\fill}</w:t>
      </w:r>
      <w:r>
        <w:t xml:space="preserve">, pas</w:t>
      </w:r>
      <w:r>
        <w:t xml:space="preserve"> </w:t>
      </w:r>
      <w:r>
        <w:rPr>
          <w:rStyle w:val="VerbatimChar"/>
        </w:rPr>
        <w:t xml:space="preserve">\vspace*{0.3\textheight}</w:t>
      </w:r>
      <w:r>
        <w:t xml:space="preserve"> </w:t>
      </w:r>
      <w:r>
        <w:t xml:space="preserve">ni un</w:t>
      </w:r>
      <w:r>
        <w:t xml:space="preserve"> </w:t>
      </w:r>
      <w:r>
        <w:rPr>
          <w:rStyle w:val="VerbatimChar"/>
        </w:rPr>
        <w:t xml:space="preserve">\vfill</w:t>
      </w:r>
      <w:r>
        <w:t xml:space="preserve"> </w:t>
      </w:r>
      <w:r>
        <w:t xml:space="preserve">non étoilé.</w:t>
      </w:r>
    </w:p>
    <w:p>
      <w:pPr>
        <w:pStyle w:val="Compact"/>
        <w:numPr>
          <w:ilvl w:val="0"/>
          <w:numId w:val="1006"/>
        </w:numPr>
      </w:pPr>
      <w:r>
        <w:t xml:space="preserve">Le colophon doit être</w:t>
      </w:r>
      <w:r>
        <w:t xml:space="preserve"> </w:t>
      </w:r>
      <w:r>
        <w:rPr>
          <w:b/>
          <w:bCs/>
        </w:rPr>
        <w:t xml:space="preserve">calé en bas de page</w:t>
      </w:r>
      <w:r>
        <w:t xml:space="preserve">, pas centré verticalement</w:t>
      </w:r>
      <w:r>
        <w:t xml:space="preserve"> </w:t>
      </w:r>
      <w:r>
        <w:t xml:space="preserve">(deuxième vérification humaine directe — la première tentative avec une</w:t>
      </w:r>
      <w:r>
        <w:t xml:space="preserve"> </w:t>
      </w:r>
      <w:r>
        <w:t xml:space="preserve">hauteur fixe approximative ne le calait pas correctement selon la</w:t>
      </w:r>
      <w:r>
        <w:t xml:space="preserve"> </w:t>
      </w:r>
      <w:r>
        <w:t xml:space="preserve">longueur variable du contenu).</w:t>
      </w:r>
    </w:p>
    <w:p>
      <w:pPr>
        <w:pStyle w:val="Compact"/>
        <w:numPr>
          <w:ilvl w:val="0"/>
          <w:numId w:val="1006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\vfill</w:t>
      </w:r>
      <w:r>
        <w:t xml:space="preserve"> </w:t>
      </w:r>
      <w:r>
        <w:rPr>
          <w:b/>
          <w:bCs/>
        </w:rPr>
        <w:t xml:space="preserve">non étoilé</w:t>
      </w:r>
      <w:r>
        <w:t xml:space="preserve"> </w:t>
      </w:r>
      <w:r>
        <w:t xml:space="preserve">placé en tout début de page (rien au-dessus)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silencieusement absorbé</w:t>
      </w:r>
      <w:r>
        <w:t xml:space="preserve"> </w:t>
      </w:r>
      <w:r>
        <w:t xml:space="preserve">par l’algorithme de coupure de page de</w:t>
      </w:r>
      <w:r>
        <w:t xml:space="preserve"> </w:t>
      </w:r>
      <w:r>
        <w:t xml:space="preserve">TeX — bug réel constaté par compilation : le contenu restait centré</w:t>
      </w:r>
      <w:r>
        <w:t xml:space="preserve"> </w:t>
      </w:r>
      <w:r>
        <w:t xml:space="preserve">près du haut malgré le</w:t>
      </w:r>
      <w:r>
        <w:t xml:space="preserve"> </w:t>
      </w:r>
      <w:r>
        <w:rPr>
          <w:rStyle w:val="VerbatimChar"/>
        </w:rPr>
        <w:t xml:space="preserve">\vfill</w:t>
      </w:r>
      <w:r>
        <w:t xml:space="preserve">, sans aucun message d’erreur. Ce risque</w:t>
      </w:r>
      <w:r>
        <w:t xml:space="preserve"> </w:t>
      </w:r>
      <w:r>
        <w:t xml:space="preserve">est renforcé par</w:t>
      </w:r>
      <w:r>
        <w:t xml:space="preserve"> </w:t>
      </w:r>
      <w:r>
        <w:rPr>
          <w:rStyle w:val="VerbatimChar"/>
        </w:rPr>
        <w:t xml:space="preserve">\raggedbottom</w:t>
      </w:r>
      <w:r>
        <w:t xml:space="preserve">, actif dans tout ce document (référentiel</w:t>
      </w:r>
      <w:r>
        <w:t xml:space="preserve"> </w:t>
      </w:r>
      <w:r>
        <w:t xml:space="preserve">§2, autorise justement les pages à ne pas s’étirer jusqu’à</w:t>
      </w:r>
      <w:r>
        <w:t xml:space="preserve"> </w:t>
      </w:r>
      <w:r>
        <w:rPr>
          <w:rStyle w:val="VerbatimChar"/>
        </w:rPr>
        <w:t xml:space="preserve">\textheight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\vspace*</w:t>
      </w:r>
      <w:r>
        <w:t xml:space="preserve"> </w:t>
      </w:r>
      <w:r>
        <w:t xml:space="preserve">(étoilé) protège la glue même en tête de page — c’est ce qui</w:t>
      </w:r>
      <w:r>
        <w:t xml:space="preserve"> </w:t>
      </w:r>
      <w:r>
        <w:t xml:space="preserve">résout le problème.</w:t>
      </w:r>
    </w:p>
    <w:p>
      <w:pPr>
        <w:pStyle w:val="FirstParagraph"/>
      </w:pPr>
      <w:r>
        <w:t xml:space="preserve">Corps fixé explicitement à 10 pt (</w:t>
      </w:r>
      <w:r>
        <w:rPr>
          <w:rStyle w:val="VerbatimChar"/>
        </w:rPr>
        <w:t xml:space="preserve">\fontsize{10pt}{11.5pt}</w:t>
      </w:r>
      <w:r>
        <w:t xml:space="preserve">, pas</w:t>
      </w:r>
      <w:r>
        <w:t xml:space="preserve"> </w:t>
      </w:r>
      <w:r>
        <w:rPr>
          <w:rStyle w:val="VerbatimChar"/>
        </w:rPr>
        <w:t xml:space="preserve">\small</w:t>
      </w:r>
      <w:r>
        <w:t xml:space="preserve">) :</w:t>
      </w:r>
      <w:r>
        <w:t xml:space="preserve"> </w:t>
      </w:r>
      <w:r>
        <w:rPr>
          <w:rStyle w:val="VerbatimChar"/>
        </w:rPr>
        <w:t xml:space="preserve">\small</w:t>
      </w:r>
      <w:r>
        <w:t xml:space="preserve"> </w:t>
      </w:r>
      <w:r>
        <w:t xml:space="preserve">ne correspond pas nécessairement à 10 pt exactement, cela dépend de</w:t>
      </w:r>
      <w:r>
        <w:t xml:space="preserve"> </w:t>
      </w:r>
      <w:r>
        <w:t xml:space="preserve">l’échelle de tailles du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 </w:t>
      </w:r>
      <w:r>
        <w:t xml:space="preserve">choisi — une deuxième vérification</w:t>
      </w:r>
      <w:r>
        <w:t xml:space="preserve"> </w:t>
      </w:r>
      <w:r>
        <w:t xml:space="preserve">humaine directe a demandé une taille absolue plutôt que relative.</w:t>
      </w:r>
    </w:p>
    <w:p>
      <w:pPr>
        <w:pStyle w:val="BodyText"/>
      </w:pPr>
      <w:r>
        <w:t xml:space="preserve">Interlignage resserré à</w:t>
      </w:r>
      <w:r>
        <w:t xml:space="preserve"> </w:t>
      </w:r>
      <w:r>
        <w:rPr>
          <w:rStyle w:val="VerbatimChar"/>
        </w:rPr>
        <w:t xml:space="preserve">0.1\baselineskip</w:t>
      </w:r>
      <w:r>
        <w:t xml:space="preserve">/</w:t>
      </w:r>
      <w:r>
        <w:rPr>
          <w:rStyle w:val="VerbatimChar"/>
        </w:rPr>
        <w:t xml:space="preserve">0.5\baselineskip</w:t>
      </w:r>
      <w:r>
        <w:t xml:space="preserve"> </w:t>
      </w:r>
      <w:r>
        <w:t xml:space="preserve">entre lignes</w:t>
      </w:r>
      <w:r>
        <w:t xml:space="preserve"> </w:t>
      </w:r>
      <w:r>
        <w:t xml:space="preserve">et blocs (vérification humaine directe :</w:t>
      </w:r>
      <w:r>
        <w:t xml:space="preserve"> </w:t>
      </w:r>
      <w:r>
        <w:rPr>
          <w:rStyle w:val="VerbatimChar"/>
        </w:rPr>
        <w:t xml:space="preserve">0.4</w:t>
      </w:r>
      <w:r>
        <w:t xml:space="preserve">/</w:t>
      </w:r>
      <w:r>
        <w:rPr>
          <w:rStyle w:val="VerbatimChar"/>
        </w:rPr>
        <w:t xml:space="preserve">1\baselineskip</w:t>
      </w:r>
      <w:r>
        <w:t xml:space="preserve"> </w:t>
      </w:r>
      <w:r>
        <w:t xml:space="preserve">rendait un</w:t>
      </w:r>
      <w:r>
        <w:t xml:space="preserve"> </w:t>
      </w:r>
      <w:r>
        <w:t xml:space="preserve">colophon trop aéré)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_credits_page(metadata):</w:t>
      </w:r>
      <w:r>
        <w:br/>
      </w:r>
      <w:r>
        <w:rPr>
          <w:rStyle w:val="NormalTok"/>
        </w:rPr>
        <w:t xml:space="preserve">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(_colophon_production_lines(metadata),</w:t>
      </w:r>
      <w:r>
        <w:br/>
      </w:r>
      <w:r>
        <w:rPr>
          <w:rStyle w:val="NormalTok"/>
        </w:rPr>
        <w:t xml:space="preserve">                           _colophon_institutional_lines(metadata))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b]</w:t>
      </w:r>
      <w:r>
        <w:br/>
      </w:r>
      <w:r>
        <w:rPr>
          <w:rStyle w:val="NormalTok"/>
        </w:rPr>
        <w:t xml:space="preserve">    block_bodies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\v</w:t>
      </w:r>
      <w:r>
        <w:rPr>
          <w:rStyle w:val="VerbatimStringTok"/>
        </w:rPr>
        <w:t xml:space="preserve">space{0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aselineskip}"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par"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\v</w:t>
      </w:r>
      <w:r>
        <w:rPr>
          <w:rStyle w:val="VerbatimStringTok"/>
        </w:rPr>
        <w:t xml:space="preserve">space{0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5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aselineskip}"</w:t>
      </w:r>
      <w:r>
        <w:rPr>
          <w:rStyle w:val="NormalTok"/>
        </w:rPr>
        <w:t xml:space="preserve">.join(block_bodies)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rf"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PURHCreditsPage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VerbatimStringTok"/>
        </w:rPr>
        <w:t xml:space="preserve">"</w:t>
      </w:r>
    </w:p>
    <w:bookmarkStart w:id="31" w:name="contenu-du-colophon"/>
    <w:p>
      <w:pPr>
        <w:pStyle w:val="Heading3"/>
      </w:pPr>
      <w:r>
        <w:t xml:space="preserve">Contenu du colophon</w:t>
      </w:r>
    </w:p>
    <w:p>
      <w:pPr>
        <w:pStyle w:val="FirstParagraph"/>
      </w:pPr>
      <w:r>
        <w:t xml:space="preserve">Deux blocs, dans cet ordre : production (facultatif) puis mentions</w:t>
      </w:r>
      <w:r>
        <w:t xml:space="preserve"> </w:t>
      </w:r>
      <w:r>
        <w:t xml:space="preserve">institutionnelles (fixes + métadonnées du livre).</w:t>
      </w:r>
    </w:p>
    <w:p>
      <w:pPr>
        <w:pStyle w:val="SourceCode"/>
      </w:pPr>
      <w:r>
        <w:rPr>
          <w:rStyle w:val="NormalTok"/>
        </w:rPr>
        <w:t xml:space="preserve">_PURH_ADDRESS_LINE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place Émile Blondel – 76821 Mont-Saint-Aignan Cedex"</w:t>
      </w:r>
      <w:r>
        <w:br/>
      </w:r>
      <w:r>
        <w:rPr>
          <w:rStyle w:val="NormalTok"/>
        </w:rPr>
        <w:t xml:space="preserve">_PURH_URL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"http://purh.univ-rouen.fr"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_colophon_production_lines(metadata):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cover_designer / editorial_contact : sans équivalent dans la source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TEI/Métopes, renseignés par l'éditrice via la boîte de dialogue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optionnelle du GUI. Omis tant qu'ils ne sont pas fournis — jamais un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"[Prénom Nom]" littéral imprimé faute de valeur réelle.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metadata.cover_designer: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f"Couverture et mise en pages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cover_designer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metadata.editorial_contact: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f"Suivi éditorial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editorial_contact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_colophon_institutional_lines(metadata):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metadata.publication_year: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f"© Presses universitaires de Rouen et du Havre,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publication_year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lines.append(_PURH_ADDRESS_LINE)          </w:t>
      </w:r>
      <w:r>
        <w:rPr>
          <w:rStyle w:val="CommentTok"/>
        </w:rPr>
        <w:t xml:space="preserve"># toujours présent, fixe</w:t>
      </w:r>
      <w:r>
        <w:br/>
      </w:r>
      <w:r>
        <w:rPr>
          <w:rStyle w:val="NormalTok"/>
        </w:rPr>
        <w:t xml:space="preserve">    lines.append(</w:t>
      </w:r>
      <w:r>
        <w:rPr>
          <w:rStyle w:val="VerbatimStringTok"/>
        </w:rPr>
        <w:t xml:space="preserve">rf"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url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_PURH_URL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toujours présent, fixe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metadata.preferred_isbn:</w:t>
      </w:r>
      <w:r>
        <w:br/>
      </w:r>
      <w:r>
        <w:rPr>
          <w:rStyle w:val="NormalTok"/>
        </w:rPr>
        <w:t xml:space="preserve">        lines.append(metadata.preferred_isbn)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</w:p>
    <w:p>
      <w:pPr>
        <w:pStyle w:val="FirstParagraph"/>
      </w:pPr>
      <w:r>
        <w:t xml:space="preserve">Règle de fabrication commune à</w:t>
      </w:r>
      <w:r>
        <w:t xml:space="preserve"> </w:t>
      </w:r>
      <w:r>
        <w:rPr>
          <w:b/>
          <w:bCs/>
        </w:rPr>
        <w:t xml:space="preserve">tout</w:t>
      </w:r>
      <w:r>
        <w:t xml:space="preserve"> </w:t>
      </w:r>
      <w:r>
        <w:t xml:space="preserve">le colophon (et confirmée cette</w:t>
      </w:r>
      <w:r>
        <w:t xml:space="preserve"> </w:t>
      </w:r>
      <w:r>
        <w:t xml:space="preserve">session comme correcte à conserver) :</w:t>
      </w:r>
      <w:r>
        <w:t xml:space="preserve"> </w:t>
      </w:r>
      <w:r>
        <w:rPr>
          <w:b/>
          <w:bCs/>
        </w:rPr>
        <w:t xml:space="preserve">une métadonnée absente donne une</w:t>
      </w:r>
      <w:r>
        <w:rPr>
          <w:b/>
          <w:bCs/>
        </w:rPr>
        <w:t xml:space="preserve"> </w:t>
      </w:r>
      <w:r>
        <w:rPr>
          <w:b/>
          <w:bCs/>
        </w:rPr>
        <w:t xml:space="preserve">ligne omise, jamais une valeur générique ou un espace réservé littéral</w:t>
      </w:r>
      <w:r>
        <w:t xml:space="preserve">.</w:t>
      </w:r>
      <w:r>
        <w:t xml:space="preserve"> </w:t>
      </w:r>
      <w:r>
        <w:t xml:space="preserve">En particulier :</w:t>
      </w:r>
    </w:p>
    <w:p>
      <w:pPr>
        <w:pStyle w:val="Compact"/>
        <w:numPr>
          <w:ilvl w:val="0"/>
          <w:numId w:val="1007"/>
        </w:numPr>
      </w:pPr>
      <w:r>
        <w:t xml:space="preserve">l’adresse postale et l’URL PURH sont des constantes fixes pour tout livre</w:t>
      </w:r>
      <w:r>
        <w:t xml:space="preserve"> </w:t>
      </w:r>
      <w:r>
        <w:t xml:space="preserve">PURH (dictées telles quelles par l’utilisateur), donc jamais lues depuis</w:t>
      </w:r>
      <w:r>
        <w:t xml:space="preserve"> </w:t>
      </w:r>
      <w:r>
        <w:rPr>
          <w:rStyle w:val="VerbatimChar"/>
        </w:rPr>
        <w:t xml:space="preserve">LateiMetadata</w:t>
      </w:r>
      <w:r>
        <w:t xml:space="preserve"> </w:t>
      </w:r>
      <w:r>
        <w:t xml:space="preserve">— ne pas les faire dériver d’une métadonnée par livre pour</w:t>
      </w:r>
      <w:r>
        <w:t xml:space="preserve"> </w:t>
      </w:r>
      <w:r>
        <w:t xml:space="preserve">un autre format ;</w:t>
      </w:r>
    </w:p>
    <w:p>
      <w:pPr>
        <w:pStyle w:val="Compact"/>
        <w:numPr>
          <w:ilvl w:val="0"/>
          <w:numId w:val="1007"/>
        </w:numPr>
      </w:pPr>
      <w:r>
        <w:t xml:space="preserve">la ligne de copyright/année ne s’affiche que si</w:t>
      </w:r>
      <w:r>
        <w:t xml:space="preserve"> </w:t>
      </w:r>
      <w:r>
        <w:rPr>
          <w:rStyle w:val="VerbatimChar"/>
        </w:rPr>
        <w:t xml:space="preserve">publication_year</w:t>
      </w:r>
      <w:r>
        <w:t xml:space="preserve"> </w:t>
      </w:r>
      <w:r>
        <w:t xml:space="preserve">est</w:t>
      </w:r>
      <w:r>
        <w:t xml:space="preserve"> </w:t>
      </w:r>
      <w:r>
        <w:t xml:space="preserve">renseigné, et reste dans tous les cas la ligne juste</w:t>
      </w:r>
      <w:r>
        <w:t xml:space="preserve"> </w:t>
      </w:r>
      <w:r>
        <w:rPr>
          <w:b/>
          <w:bCs/>
        </w:rPr>
        <w:t xml:space="preserve">au-dessus</w:t>
      </w:r>
      <w:r>
        <w:t xml:space="preserve"> </w:t>
      </w:r>
      <w:r>
        <w:t xml:space="preserve">de</w:t>
      </w:r>
      <w:r>
        <w:t xml:space="preserve"> </w:t>
      </w:r>
      <w:r>
        <w:t xml:space="preserve">l’adresse, y compris quand les lignes de production (couverture/suivi</w:t>
      </w:r>
      <w:r>
        <w:t xml:space="preserve"> </w:t>
      </w:r>
      <w:r>
        <w:t xml:space="preserve">éditorial) sont absentes — c’est le regroupement en deux blocs distincts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institutionnel</w:t>
      </w:r>
      <w:r>
        <w:t xml:space="preserve">), chacun réduit à ses lignes</w:t>
      </w:r>
      <w:r>
        <w:t xml:space="preserve"> </w:t>
      </w:r>
      <w:r>
        <w:t xml:space="preserve">effectivement présentes, qui garantit cet ordre sans jamais laisser un</w:t>
      </w:r>
      <w:r>
        <w:t xml:space="preserve"> </w:t>
      </w:r>
      <w:r>
        <w:t xml:space="preserve">bloc vide créer un blanc superflu.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signature-de-fin-darticle"/>
    <w:p>
      <w:pPr>
        <w:pStyle w:val="Heading1"/>
      </w:pPr>
      <w:r>
        <w:t xml:space="preserve">8. Signature de fin d’article</w:t>
      </w:r>
    </w:p>
    <w:p>
      <w:pPr>
        <w:pStyle w:val="FirstParagraph"/>
      </w:pPr>
      <w:r>
        <w:t xml:space="preserve">Référentiel v0.6 §8/§17, vérification humaine directe du 2026-08-04 :</w:t>
      </w:r>
      <w:r>
        <w:t xml:space="preserve"> </w:t>
      </w:r>
      <w:r>
        <w:t xml:space="preserve">« les articles sont signés à la fin », calés à droite — un emplacement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de l’ouverture de contribution (où auteur/affiliation restent</w:t>
      </w:r>
      <w:r>
        <w:t xml:space="preserve"> </w:t>
      </w:r>
      <w:r>
        <w:t xml:space="preserve">masqués par défaut, §6.3).</w:t>
      </w:r>
    </w:p>
    <w:bookmarkStart w:id="34" w:name="Xde25fcdb39353ca8210c809e2aeec610c70f8e7"/>
    <w:p>
      <w:pPr>
        <w:pStyle w:val="Heading2"/>
      </w:pPr>
      <w:r>
        <w:t xml:space="preserve">8.1. Mécanisme : capture globale, émission différée</w:t>
      </w:r>
    </w:p>
    <w:p>
      <w:pPr>
        <w:pStyle w:val="FirstParagraph"/>
      </w:pPr>
      <w:r>
        <w:t xml:space="preserve">Le problème technique : au moment où l’ouverture de la contribution est</w:t>
      </w:r>
      <w:r>
        <w:t xml:space="preserve"> </w:t>
      </w:r>
      <w:r>
        <w:t xml:space="preserve">rendue (</w:t>
      </w:r>
      <w:r>
        <w:rPr>
          <w:rStyle w:val="VerbatimChar"/>
        </w:rPr>
        <w:t xml:space="preserve">\lateiContributionAuthor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\lateiContributionAffiliation</w:t>
      </w:r>
      <w:r>
        <w:t xml:space="preserve">),</w:t>
      </w:r>
      <w:r>
        <w:t xml:space="preserve"> </w:t>
      </w:r>
      <w:r>
        <w:t xml:space="preserve">l’auteur est déjà connu, mais l’endroit où il doit être</w:t>
      </w:r>
      <w:r>
        <w:t xml:space="preserve"> </w:t>
      </w:r>
      <w:r>
        <w:rPr>
          <w:b/>
          <w:bCs/>
        </w:rPr>
        <w:t xml:space="preserve">affiché</w:t>
      </w:r>
      <w:r>
        <w:t xml:space="preserve"> </w:t>
      </w:r>
      <w:r>
        <w:t xml:space="preserve">(la fin</w:t>
      </w:r>
      <w:r>
        <w:t xml:space="preserve"> </w:t>
      </w:r>
      <w:r>
        <w:t xml:space="preserve">du corps de la contribution) n’a pas encore été atteint. La solution capture</w:t>
      </w:r>
      <w:r>
        <w:t xml:space="preserve"> </w:t>
      </w:r>
      <w:r>
        <w:t xml:space="preserve">la valeur dans des macros globales au moment où elle est connue, et</w:t>
      </w:r>
      <w:r>
        <w:t xml:space="preserve"> </w:t>
      </w:r>
      <w:r>
        <w:t xml:space="preserve">l’émet plus tard via une macro appelée après le corps.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\lateiSignatureEmpty</w:t>
      </w:r>
      <w:r>
        <w:rPr>
          <w:rStyle w:val="NormalTok"/>
        </w:rPr>
        <w:t xml:space="preserve">}{}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\lateiSignatureAuthor</w:t>
      </w:r>
      <w:r>
        <w:rPr>
          <w:rStyle w:val="NormalTok"/>
        </w:rPr>
        <w:t xml:space="preserve">}{}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\lateiSignatureAffiliation</w:t>
      </w:r>
      <w:r>
        <w:rPr>
          <w:rStyle w:val="NormalTok"/>
        </w:rPr>
        <w:t xml:space="preserve">}{}</w:t>
      </w:r>
      <w:r>
        <w:br/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\lateiResetContributionSignature</w:t>
      </w:r>
      <w:r>
        <w:rPr>
          <w:rStyle w:val="NormalTok"/>
        </w:rPr>
        <w:t xml:space="preserve">}{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\global\let\lateiSignatureAuthor\lateiSignatureEmpty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\global\let\lateiSignatureAffiliation\lateiSignatureEmpty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\lateiContributionAuthor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\global\def\lateiSignatureAuthor</w:t>
      </w:r>
      <w:r>
        <w:rPr>
          <w:rStyle w:val="NormalTok"/>
        </w:rPr>
        <w:t xml:space="preserve">{#1}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\iflateiShowContributionAuthor</w:t>
      </w:r>
      <w:r>
        <w:br/>
      </w:r>
      <w:r>
        <w:rPr>
          <w:rStyle w:val="NormalTok"/>
        </w:rPr>
        <w:t xml:space="preserve">    {</w:t>
      </w:r>
      <w:r>
        <w:rPr>
          <w:rStyle w:val="FunctionTok"/>
        </w:rPr>
        <w:t xml:space="preserve">\normalsize\bfseries\centering</w:t>
      </w:r>
      <w:r>
        <w:rPr>
          <w:rStyle w:val="NormalTok"/>
        </w:rPr>
        <w:t xml:space="preserve"> #1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{0.3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\fi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\lateiContributionAffiliation</w:t>
      </w:r>
      <w:r>
        <w:rPr>
          <w:rStyle w:val="NormalTok"/>
        </w:rPr>
        <w:t xml:space="preserve">}[1]{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\global\def\lateiSignatureAffiliation</w:t>
      </w:r>
      <w:r>
        <w:rPr>
          <w:rStyle w:val="NormalTok"/>
        </w:rPr>
        <w:t xml:space="preserve">{#1}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\iflateiShowContributionAuthor</w:t>
      </w:r>
      <w:r>
        <w:br/>
      </w:r>
      <w:r>
        <w:rPr>
          <w:rStyle w:val="NormalTok"/>
        </w:rPr>
        <w:t xml:space="preserve">    {</w:t>
      </w:r>
      <w:r>
        <w:rPr>
          <w:rStyle w:val="FunctionTok"/>
        </w:rPr>
        <w:t xml:space="preserve">\small\centering</w:t>
      </w:r>
      <w:r>
        <w:rPr>
          <w:rStyle w:val="NormalTok"/>
        </w:rPr>
        <w:t xml:space="preserve"> #1</w:t>
      </w:r>
      <w:r>
        <w:rPr>
          <w:rStyle w:val="FunctionTok"/>
        </w:rPr>
        <w:t xml:space="preserve">\par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{0.3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\fi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\lateiRenderContributionSignature</w:t>
      </w:r>
      <w:r>
        <w:rPr>
          <w:rStyle w:val="NormalTok"/>
        </w:rPr>
        <w:t xml:space="preserve">}{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\ifx\lateiSignatureAuthor\lateiSignatureEmpty\else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\par\vspace</w:t>
      </w:r>
      <w:r>
        <w:rPr>
          <w:rStyle w:val="NormalTok"/>
        </w:rPr>
        <w:t xml:space="preserve">{0.8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  {</w:t>
      </w:r>
      <w:r>
        <w:rPr>
          <w:rStyle w:val="FunctionTok"/>
        </w:rPr>
        <w:t xml:space="preserve">\fontsize</w:t>
      </w:r>
      <w:r>
        <w:rPr>
          <w:rStyle w:val="NormalTok"/>
        </w:rPr>
        <w:t xml:space="preserve">{10pt}{12pt}</w:t>
      </w:r>
      <w:r>
        <w:rPr>
          <w:rStyle w:val="FunctionTok"/>
        </w:rPr>
        <w:t xml:space="preserve">\selectfont\raggedleft\lateiSignatureAuthor\par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\ifx\lateiSignatureAffiliation\lateiSignatureEmpty\else</w:t>
      </w:r>
      <w:r>
        <w:br/>
      </w:r>
      <w:r>
        <w:rPr>
          <w:rStyle w:val="NormalTok"/>
        </w:rPr>
        <w:t xml:space="preserve">      {</w:t>
      </w:r>
      <w:r>
        <w:rPr>
          <w:rStyle w:val="FunctionTok"/>
        </w:rPr>
        <w:t xml:space="preserve">\fontsize</w:t>
      </w:r>
      <w:r>
        <w:rPr>
          <w:rStyle w:val="NormalTok"/>
        </w:rPr>
        <w:t xml:space="preserve">{10pt}{12pt}</w:t>
      </w:r>
      <w:r>
        <w:rPr>
          <w:rStyle w:val="FunctionTok"/>
        </w:rPr>
        <w:t xml:space="preserve">\selectfont\raggedleft\lateiSignatureAffiliation\par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\fi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Câblage (</w:t>
      </w:r>
      <w:r>
        <w:rPr>
          <w:rStyle w:val="VerbatimChar"/>
        </w:rPr>
        <w:t xml:space="preserve">\lateiRenderFrontGroup</w:t>
      </w:r>
      <w:r>
        <w:t xml:space="preserve">/</w:t>
      </w:r>
      <w:r>
        <w:rPr>
          <w:rStyle w:val="VerbatimChar"/>
        </w:rPr>
        <w:t xml:space="preserve">\lateiRenderChapterGroup</w:t>
      </w:r>
      <w:r>
        <w:t xml:space="preserve">) :</w:t>
      </w:r>
    </w:p>
    <w:p>
      <w:pPr>
        <w:pStyle w:val="SourceCode"/>
      </w:pPr>
      <w:r>
        <w:rPr>
          <w:rStyle w:val="FunctionTok"/>
        </w:rPr>
        <w:t xml:space="preserve">\lateiResetContributionSignature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vide la signature de la contribution précédente</w:t>
      </w:r>
      <w:r>
        <w:br/>
      </w:r>
      <w:r>
        <w:rPr>
          <w:rStyle w:val="FunctionTok"/>
        </w:rPr>
        <w:t xml:space="preserve">\latei</w:t>
      </w:r>
      <w:r>
        <w:rPr>
          <w:rStyle w:val="NormalTok"/>
        </w:rPr>
        <w:t xml:space="preserve">_add_contribution_opening_break:</w:t>
      </w:r>
      <w:r>
        <w:br/>
      </w:r>
      <w:r>
        <w:rPr>
          <w:rStyle w:val="NormalTok"/>
        </w:rPr>
        <w:t xml:space="preserve">#2                                  </w:t>
      </w:r>
      <w:r>
        <w:rPr>
          <w:rStyle w:val="CommentTok"/>
        </w:rPr>
        <w:t xml:space="preserve">% le corps ; c'est ici que \lateiContributionAuthor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% capture la valeur, si elle est présente</w:t>
      </w:r>
      <w:r>
        <w:br/>
      </w:r>
      <w:r>
        <w:rPr>
          <w:rStyle w:val="FunctionTok"/>
        </w:rPr>
        <w:t xml:space="preserve">\latei</w:t>
      </w:r>
      <w:r>
        <w:rPr>
          <w:rStyle w:val="NormalTok"/>
        </w:rPr>
        <w:t xml:space="preserve">_finish_contribution_toc_entry:</w:t>
      </w:r>
      <w:r>
        <w:br/>
      </w:r>
      <w:r>
        <w:rPr>
          <w:rStyle w:val="FunctionTok"/>
        </w:rPr>
        <w:t xml:space="preserve">\lateiRenderContributionSignature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émission différée, après le corps</w:t>
      </w:r>
    </w:p>
    <w:p>
      <w:pPr>
        <w:pStyle w:val="FirstParagraph"/>
      </w:pPr>
      <w:r>
        <w:rPr>
          <w:b/>
          <w:bCs/>
        </w:rPr>
        <w:t xml:space="preserve">Point critique, non optionnel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\lateiResetContributionSignature</w:t>
      </w:r>
      <w:r>
        <w:t xml:space="preserve"> </w:t>
      </w:r>
      <w:r>
        <w:t xml:space="preserve">doit</w:t>
      </w:r>
      <w:r>
        <w:t xml:space="preserve"> </w:t>
      </w:r>
      <w:r>
        <w:t xml:space="preserve">être appelé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chaque contribution, y compris celles qui n’ont pas de</w:t>
      </w:r>
      <w:r>
        <w:t xml:space="preserve"> </w:t>
      </w:r>
      <w:r>
        <w:t xml:space="preserve">signature — sinon la signature d’une contribution signée « fuit » vers la</w:t>
      </w:r>
      <w:r>
        <w:t xml:space="preserve"> </w:t>
      </w:r>
      <w:r>
        <w:t xml:space="preserve">suivante qui n’en a pas. C’est un</w:t>
      </w:r>
      <w:r>
        <w:t xml:space="preserve"> </w:t>
      </w:r>
      <w:r>
        <w:rPr>
          <w:rStyle w:val="VerbatimChar"/>
        </w:rPr>
        <w:t xml:space="preserve">\global\let</w:t>
      </w:r>
      <w:r>
        <w:t xml:space="preserve">, pas un</w:t>
      </w:r>
      <w:r>
        <w:t xml:space="preserve"> </w:t>
      </w:r>
      <w:r>
        <w:rPr>
          <w:rStyle w:val="VerbatimChar"/>
        </w:rPr>
        <w:t xml:space="preserve">\let</w:t>
      </w:r>
      <w:r>
        <w:t xml:space="preserve"> </w:t>
      </w:r>
      <w:r>
        <w:t xml:space="preserve">local, car</w:t>
      </w:r>
      <w:r>
        <w:t xml:space="preserve"> </w:t>
      </w:r>
      <w:r>
        <w:t xml:space="preserve">chaque groupe s’exécute dans son propre groupe TeX (argument</w:t>
      </w:r>
      <w:r>
        <w:t xml:space="preserve"> </w:t>
      </w:r>
      <w:r>
        <w:rPr>
          <w:rStyle w:val="VerbatimChar"/>
        </w:rPr>
        <w:t xml:space="preserve">+b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xparse</w:t>
      </w:r>
      <w:r>
        <w:t xml:space="preserve">) et un</w:t>
      </w:r>
      <w:r>
        <w:t xml:space="preserve"> </w:t>
      </w:r>
      <w:r>
        <w:rPr>
          <w:rStyle w:val="VerbatimChar"/>
        </w:rPr>
        <w:t xml:space="preserve">\let</w:t>
      </w:r>
      <w:r>
        <w:t xml:space="preserve"> </w:t>
      </w:r>
      <w:r>
        <w:t xml:space="preserve">local serait annulé à la fermeture de ce groupe avant</w:t>
      </w:r>
      <w:r>
        <w:t xml:space="preserve"> </w:t>
      </w:r>
      <w:r>
        <w:t xml:space="preserve">même que la signature ait pu être lue plus loin.</w:t>
      </w:r>
    </w:p>
    <w:bookmarkEnd w:id="34"/>
    <w:bookmarkStart w:id="35" w:name="mise-en-forme"/>
    <w:p>
      <w:pPr>
        <w:pStyle w:val="Heading2"/>
      </w:pPr>
      <w:r>
        <w:t xml:space="preserve">8.2. Mise en forme</w:t>
      </w:r>
    </w:p>
    <w:p>
      <w:pPr>
        <w:pStyle w:val="FirstParagraph"/>
      </w:pPr>
      <w:r>
        <w:t xml:space="preserve">Chaparral Pro (fonte principale, aucun changement de famille),</w:t>
      </w:r>
      <w:r>
        <w:t xml:space="preserve"> </w:t>
      </w:r>
      <w:r>
        <w:rPr>
          <w:b/>
          <w:bCs/>
        </w:rPr>
        <w:t xml:space="preserve">sans</w:t>
      </w:r>
      <w:r>
        <w:rPr>
          <w:b/>
          <w:bCs/>
        </w:rPr>
        <w:t xml:space="preserve"> </w:t>
      </w:r>
      <w:r>
        <w:rPr>
          <w:b/>
          <w:bCs/>
        </w:rPr>
        <w:t xml:space="preserve">graisse</w:t>
      </w:r>
      <w:r>
        <w:t xml:space="preserve">, corps légèrement plus petit que le corps du texte (11 → 10 pt),</w:t>
      </w:r>
      <w:r>
        <w:t xml:space="preserve"> </w:t>
      </w:r>
      <w:r>
        <w:t xml:space="preserve">calé à droite (</w:t>
      </w:r>
      <w:r>
        <w:rPr>
          <w:rStyle w:val="VerbatimChar"/>
        </w:rPr>
        <w:t xml:space="preserve">\raggedleft</w:t>
      </w:r>
      <w:r>
        <w:t xml:space="preserve">). Le prénom en bas de casse et le nom en</w:t>
      </w:r>
      <w:r>
        <w:t xml:space="preserve"> </w:t>
      </w:r>
      <w:r>
        <w:t xml:space="preserve">petites capitales viennent déjà tels quels du balisage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 rend="author-aut"&gt;Prénom &lt;hi rend="small-caps"&gt;Nom&lt;/hi&gt;&lt;/p&gt;</w:t>
      </w:r>
      <w:r>
        <w:t xml:space="preserve">, déjà</w:t>
      </w:r>
      <w:r>
        <w:t xml:space="preserve"> </w:t>
      </w:r>
      <w:r>
        <w:t xml:space="preserve">routé vers</w:t>
      </w:r>
      <w:r>
        <w:t xml:space="preserve"> </w:t>
      </w:r>
      <w:r>
        <w:rPr>
          <w:rStyle w:val="VerbatimChar"/>
        </w:rPr>
        <w:t xml:space="preserve">\teiHi[rend={small-caps}]</w:t>
      </w:r>
      <w:r>
        <w:t xml:space="preserve"> </w:t>
      </w:r>
      <w:r>
        <w:t xml:space="preserve">ailleurs dans la chaîne) : le contenu</w:t>
      </w:r>
      <w:r>
        <w:t xml:space="preserve"> </w:t>
      </w:r>
      <w:r>
        <w:t xml:space="preserve">n’a besoin d’aucune reformulation, seulement de ce nouvel habillage.</w:t>
      </w:r>
    </w:p>
    <w:p>
      <w:pPr>
        <w:pStyle w:val="BodyText"/>
      </w:pPr>
      <w:r>
        <w:t xml:space="preserve">Ligne suivante (toujours calée à droite) : l’affiliation,</w:t>
      </w:r>
      <w:r>
        <w:t xml:space="preserve"> </w:t>
      </w:r>
      <w:r>
        <w:rPr>
          <w:rStyle w:val="VerbatimChar"/>
        </w:rPr>
        <w:t xml:space="preserve">\small</w:t>
      </w:r>
      <w:r>
        <w:t xml:space="preserve">, sans</w:t>
      </w:r>
      <w:r>
        <w:t xml:space="preserve"> </w:t>
      </w:r>
      <w:r>
        <w:t xml:space="preserve">graisse.</w:t>
      </w:r>
    </w:p>
    <w:bookmarkEnd w:id="35"/>
    <w:bookmarkStart w:id="36" w:name="piège-rencontré-empty-hors-makeatletter"/>
    <w:p>
      <w:pPr>
        <w:pStyle w:val="Heading2"/>
      </w:pPr>
      <w:r>
        <w:t xml:space="preserve">8.3. Piège rencontré :</w:t>
      </w:r>
      <w:r>
        <w:t xml:space="preserve"> </w:t>
      </w:r>
      <w:r>
        <w:rPr>
          <w:rStyle w:val="VerbatimChar"/>
        </w:rPr>
        <w:t xml:space="preserve">\@empty</w:t>
      </w:r>
      <w:r>
        <w:t xml:space="preserve"> </w:t>
      </w:r>
      <w:r>
        <w:t xml:space="preserve">hors</w:t>
      </w:r>
      <w:r>
        <w:t xml:space="preserve"> </w:t>
      </w:r>
      <w:r>
        <w:rPr>
          <w:rStyle w:val="VerbatimChar"/>
        </w:rPr>
        <w:t xml:space="preserve">\makeatletter</w:t>
      </w:r>
    </w:p>
    <w:p>
      <w:pPr>
        <w:pStyle w:val="FirstParagraph"/>
      </w:pPr>
      <w:r>
        <w:rPr>
          <w:rStyle w:val="VerbatimChar"/>
        </w:rPr>
        <w:t xml:space="preserve">\@empty</w:t>
      </w:r>
      <w:r>
        <w:t xml:space="preserve"> </w:t>
      </w:r>
      <w:r>
        <w:t xml:space="preserve">(le sentinelle vide standard du noyau LaTeX) exige la catégorie de</w:t>
      </w:r>
      <w:r>
        <w:t xml:space="preserve"> </w:t>
      </w:r>
      <w:r>
        <w:t xml:space="preserve">code 11 pour le caractère</w:t>
      </w:r>
      <w:r>
        <w:t xml:space="preserve"> </w:t>
      </w:r>
      <w:r>
        <w:rPr>
          <w:rStyle w:val="VerbatimChar"/>
        </w:rPr>
        <w:t xml:space="preserve">@</w:t>
      </w:r>
      <w:r>
        <w:t xml:space="preserve">, active seulement entre</w:t>
      </w:r>
      <w:r>
        <w:t xml:space="preserve"> </w:t>
      </w:r>
      <w:r>
        <w:rPr>
          <w:rStyle w:val="VerbatimChar"/>
        </w:rPr>
        <w:t xml:space="preserve">\makeatletter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\makeatother</w:t>
      </w:r>
      <w:r>
        <w:t xml:space="preserve">.</w:t>
      </w:r>
      <w:r>
        <w:t xml:space="preserve"> </w:t>
      </w:r>
      <w:r>
        <w:rPr>
          <w:rStyle w:val="VerbatimChar"/>
        </w:rPr>
        <w:t xml:space="preserve">latei_macros.tex</w:t>
      </w:r>
      <w:r>
        <w:t xml:space="preserve"> </w:t>
      </w:r>
      <w:r>
        <w:t xml:space="preserve">n’ouvre pas ce bloc à cet endroit du</w:t>
      </w:r>
      <w:r>
        <w:t xml:space="preserve"> </w:t>
      </w:r>
      <w:r>
        <w:t xml:space="preserve">fichier :</w:t>
      </w:r>
      <w:r>
        <w:t xml:space="preserve"> </w:t>
      </w:r>
      <w:r>
        <w:rPr>
          <w:rStyle w:val="VerbatimChar"/>
        </w:rPr>
        <w:t xml:space="preserve">\@empty</w:t>
      </w:r>
      <w:r>
        <w:t xml:space="preserve"> </w:t>
      </w:r>
      <w:r>
        <w:t xml:space="preserve">y aurait été tokenisé comme le caractère isolé</w:t>
      </w:r>
      <w:r>
        <w:t xml:space="preserve"> </w:t>
      </w:r>
      <w:r>
        <w:rPr>
          <w:rStyle w:val="VerbatimChar"/>
        </w:rPr>
        <w:t xml:space="preserve">\@</w:t>
      </w:r>
      <w:r>
        <w:t xml:space="preserve"> </w:t>
      </w:r>
      <w:r>
        <w:t xml:space="preserve">suivi du texte ordinaire « empty », qui se serait imprimé littéralement —</w:t>
      </w:r>
      <w:r>
        <w:t xml:space="preserve"> </w:t>
      </w:r>
      <w:r>
        <w:t xml:space="preserve">bug réel constaté par compilation (« empty empty » visible sur la page).</w:t>
      </w:r>
      <w:r>
        <w:t xml:space="preserve"> </w:t>
      </w:r>
      <w:r>
        <w:t xml:space="preserve">Corrigé en définissant un sentinelle propre, sans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\lateiSignatureEmpty</w:t>
      </w:r>
      <w:r>
        <w:t xml:space="preserve">, comparé par</w:t>
      </w:r>
      <w:r>
        <w:t xml:space="preserve"> </w:t>
      </w:r>
      <w:r>
        <w:rPr>
          <w:rStyle w:val="VerbatimChar"/>
        </w:rPr>
        <w:t xml:space="preserve">\ifx</w:t>
      </w:r>
      <w:r>
        <w:t xml:space="preserve"> </w:t>
      </w:r>
      <w:r>
        <w:t xml:space="preserve">(comparaison de macro, pas de</w:t>
      </w:r>
      <w:r>
        <w:t xml:space="preserve"> </w:t>
      </w:r>
      <w:r>
        <w:t xml:space="preserve">chaîne).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able-des-matières"/>
    <w:p>
      <w:pPr>
        <w:pStyle w:val="Heading1"/>
      </w:pPr>
      <w:r>
        <w:t xml:space="preserve">9. Table des matières</w:t>
      </w:r>
    </w:p>
    <w:p>
      <w:pPr>
        <w:pStyle w:val="FirstParagraph"/>
      </w:pPr>
      <w:r>
        <w:t xml:space="preserve">Référentiel v0.6 §9.1, vérification humaine directe du 2026-08-04.</w:t>
      </w:r>
    </w:p>
    <w:bookmarkStart w:id="38" w:name="profondeur"/>
    <w:p>
      <w:pPr>
        <w:pStyle w:val="Heading2"/>
      </w:pPr>
      <w:r>
        <w:t xml:space="preserve">9.1. Profondeur</w:t>
      </w:r>
    </w:p>
    <w:p>
      <w:pPr>
        <w:pStyle w:val="SourceCode"/>
      </w:pPr>
      <w:r>
        <w:rPr>
          <w:rStyle w:val="FunctionTok"/>
        </w:rPr>
        <w:t xml:space="preserve">\setcounter</w:t>
      </w:r>
      <w:r>
        <w:rPr>
          <w:rStyle w:val="NormalTok"/>
        </w:rPr>
        <w:t xml:space="preserve">{secnumdepth}{0}</w:t>
      </w:r>
      <w:r>
        <w:br/>
      </w:r>
      <w:r>
        <w:rPr>
          <w:rStyle w:val="FunctionTok"/>
        </w:rPr>
        <w:t xml:space="preserve">\setcounter</w:t>
      </w:r>
      <w:r>
        <w:rPr>
          <w:rStyle w:val="NormalTok"/>
        </w:rPr>
        <w:t xml:space="preserve">{tocdepth}{0}</w:t>
      </w:r>
    </w:p>
    <w:p>
      <w:pPr>
        <w:pStyle w:val="FirstParagraph"/>
      </w:pPr>
      <w:r>
        <w:rPr>
          <w:rStyle w:val="VerbatimChar"/>
        </w:rPr>
        <w:t xml:space="preserve">tocdepth=2</w:t>
      </w:r>
      <w:r>
        <w:t xml:space="preserve"> </w:t>
      </w:r>
      <w:r>
        <w:t xml:space="preserve">incluait à tort les intertitres (</w:t>
      </w:r>
      <w:r>
        <w:rPr>
          <w:rStyle w:val="VerbatimChar"/>
        </w:rPr>
        <w:t xml:space="preserve">\section</w:t>
      </w:r>
      <w:r>
        <w:t xml:space="preserve">=1,</w:t>
      </w:r>
      <w:r>
        <w:t xml:space="preserve"> </w:t>
      </w:r>
      <w:r>
        <w:rPr>
          <w:rStyle w:val="VerbatimChar"/>
        </w:rPr>
        <w:t xml:space="preserve">\subsection</w:t>
      </w:r>
      <w:r>
        <w:t xml:space="preserve">=2)</w:t>
      </w:r>
      <w:r>
        <w:t xml:space="preserve"> </w:t>
      </w:r>
      <w:r>
        <w:t xml:space="preserve">dans la TDM, la gonflant à trois pages au lieu de deux. Cible confirmée :</w:t>
      </w:r>
      <w:r>
        <w:t xml:space="preserve"> </w:t>
      </w:r>
      <w:r>
        <w:t xml:space="preserve">seuls le niveau des parties (</w:t>
      </w:r>
      <w:r>
        <w:rPr>
          <w:rStyle w:val="VerbatimChar"/>
        </w:rPr>
        <w:t xml:space="preserve">\part</w:t>
      </w:r>
      <w:r>
        <w:t xml:space="preserve">, niveau -1) et celui des ouvertures de</w:t>
      </w:r>
      <w:r>
        <w:t xml:space="preserve"> </w:t>
      </w:r>
      <w:r>
        <w:t xml:space="preserve">contribution/front matter (</w:t>
      </w:r>
      <w:r>
        <w:rPr>
          <w:rStyle w:val="VerbatimChar"/>
        </w:rPr>
        <w:t xml:space="preserve">\addcontentsline{toc}{chapter}{…}</w:t>
      </w:r>
      <w:r>
        <w:t xml:space="preserve">, niveau 0)</w:t>
      </w:r>
      <w:r>
        <w:t xml:space="preserve"> </w:t>
      </w:r>
      <w:r>
        <w:t xml:space="preserve">doivent y figurer.</w:t>
      </w:r>
    </w:p>
    <w:bookmarkEnd w:id="38"/>
    <w:bookmarkStart w:id="41" w:name="entrées-de-contribution"/>
    <w:p>
      <w:pPr>
        <w:pStyle w:val="Heading2"/>
      </w:pPr>
      <w:r>
        <w:t xml:space="preserve">9.2. Entrées de contribution</w:t>
      </w:r>
    </w:p>
    <w:p>
      <w:pPr>
        <w:pStyle w:val="FirstParagraph"/>
      </w:pPr>
      <w:r>
        <w:t xml:space="preserve">Cible : « titre de la communication sans graisse, bas de casse, Chaparral,</w:t>
      </w:r>
      <w:r>
        <w:t xml:space="preserve"> </w:t>
      </w:r>
      <w:r>
        <w:t xml:space="preserve">calé à gauche, série de points puis numéro de ligne », prénom et nom de</w:t>
      </w:r>
      <w:r>
        <w:t xml:space="preserve"> </w:t>
      </w:r>
      <w:r>
        <w:t xml:space="preserve">l’auteur en gras sur la ligne suivante, en retrait.</w:t>
      </w:r>
    </w:p>
    <w:p>
      <w:pPr>
        <w:pStyle w:val="SourceCode"/>
      </w:pPr>
      <w:r>
        <w:rPr>
          <w:rStyle w:val="FunctionTok"/>
        </w:rPr>
        <w:t xml:space="preserve">\titlecontents</w:t>
      </w:r>
      <w:r>
        <w:rPr>
          <w:rStyle w:val="NormalTok"/>
        </w:rPr>
        <w:t xml:space="preserve">{chapter}</w:t>
      </w:r>
      <w:r>
        <w:br/>
      </w:r>
      <w:r>
        <w:rPr>
          <w:rStyle w:val="NormalTok"/>
        </w:rPr>
        <w:t xml:space="preserve">  [0pt]</w:t>
      </w:r>
      <w:r>
        <w:br/>
      </w:r>
      <w:r>
        <w:rPr>
          <w:rStyle w:val="NormalTok"/>
        </w:rPr>
        <w:t xml:space="preserve">  {}</w:t>
      </w:r>
      <w:r>
        <w:br/>
      </w:r>
      <w:r>
        <w:rPr>
          <w:rStyle w:val="NormalTok"/>
        </w:rPr>
        <w:t xml:space="preserve">  {}</w:t>
      </w:r>
      <w:r>
        <w:br/>
      </w:r>
      <w:r>
        <w:rPr>
          <w:rStyle w:val="NormalTok"/>
        </w:rPr>
        <w:t xml:space="preserve">  {}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\titlerule*</w:t>
      </w:r>
      <w:r>
        <w:rPr>
          <w:rStyle w:val="NormalTok"/>
        </w:rPr>
        <w:t xml:space="preserve">[0.5pc]{.}</w:t>
      </w:r>
      <w:r>
        <w:rPr>
          <w:rStyle w:val="FunctionTok"/>
        </w:rPr>
        <w:t xml:space="preserve">\contentspage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Chaparral Pro reste la fonte ambiante (aucune famille à sélectionner</w:t>
      </w:r>
      <w:r>
        <w:t xml:space="preserve"> </w:t>
      </w:r>
      <w:r>
        <w:t xml:space="preserve">explicitement dans ce bloc) — le réglage antérieur</w:t>
      </w:r>
      <w:r>
        <w:t xml:space="preserve"> </w:t>
      </w:r>
      <w:r>
        <w:rPr>
          <w:rStyle w:val="VerbatimChar"/>
        </w:rPr>
        <w:t xml:space="preserve">\PURHTitleFont\bfseries</w:t>
      </w:r>
      <w:r>
        <w:t xml:space="preserve"> </w:t>
      </w:r>
      <w:r>
        <w:t xml:space="preserve">a été retiré ici précisément, puisque ce niveau doit être sans graisse,</w:t>
      </w:r>
      <w:r>
        <w:t xml:space="preserve"> </w:t>
      </w:r>
      <w:r>
        <w:t xml:space="preserve">contrairement à tous les autres niveaux de titraille corrigés en Bold dans</w:t>
      </w:r>
      <w:r>
        <w:t xml:space="preserve"> </w:t>
      </w:r>
      <w:r>
        <w:t xml:space="preserve">ce même chantier (§2.4). Ne pas confondre les deux : le titre affiché en</w:t>
      </w:r>
      <w:r>
        <w:t xml:space="preserve"> </w:t>
      </w:r>
      <w:r>
        <w:t xml:space="preserve">tête de contribution (§3,</w:t>
      </w:r>
      <w:r>
        <w:t xml:space="preserve"> </w:t>
      </w:r>
      <w:r>
        <w:rPr>
          <w:rStyle w:val="VerbatimChar"/>
        </w:rPr>
        <w:t xml:space="preserve">\lateiContributionTitle</w:t>
      </w:r>
      <w:r>
        <w:t xml:space="preserve">) et son entrée de TDM</w:t>
      </w:r>
      <w:r>
        <w:t xml:space="preserve"> </w:t>
      </w:r>
      <w:r>
        <w:t xml:space="preserve">(ce bloc) ont des règles de graisse opposées.</w:t>
      </w:r>
    </w:p>
    <w:p>
      <w:pPr>
        <w:pStyle w:val="BodyText"/>
      </w:pPr>
      <w:r>
        <w:rPr>
          <w:rStyle w:val="VerbatimChar"/>
        </w:rPr>
        <w:t xml:space="preserve">\hfill</w:t>
      </w:r>
      <w:r>
        <w:t xml:space="preserve"> </w:t>
      </w:r>
      <w:r>
        <w:t xml:space="preserve">a été remplacé par le même filet pointillé que</w:t>
      </w:r>
      <w:r>
        <w:t xml:space="preserve"> </w:t>
      </w:r>
      <w:r>
        <w:rPr>
          <w:rStyle w:val="VerbatimChar"/>
        </w:rPr>
        <w:t xml:space="preserve">\section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\titlerule*[0.5pc]{.}\contentspage</w:t>
      </w:r>
      <w:r>
        <w:t xml:space="preserve">) pour la série de points de</w:t>
      </w:r>
      <w:r>
        <w:t xml:space="preserve"> </w:t>
      </w:r>
      <w:r>
        <w:t xml:space="preserve">conduite + numéro de page.</w:t>
      </w:r>
    </w:p>
    <w:p>
      <w:pPr>
        <w:pStyle w:val="BodyText"/>
      </w:pPr>
      <w:r>
        <w:t xml:space="preserve">Espacement entre entrées : « pas de saut de ligne entre les références sauf</w:t>
      </w:r>
      <w:r>
        <w:t xml:space="preserve"> </w:t>
      </w:r>
      <w:r>
        <w:t xml:space="preserve">changement de section » — un</w:t>
      </w:r>
      <w:r>
        <w:t xml:space="preserve"> </w:t>
      </w:r>
      <w:r>
        <w:rPr>
          <w:rStyle w:val="VerbatimChar"/>
        </w:rPr>
        <w:t xml:space="preserve">\addvspace{8pt}</w:t>
      </w:r>
      <w:r>
        <w:t xml:space="preserve"> </w:t>
      </w:r>
      <w:r>
        <w:t xml:space="preserve">inconditionnel antérieur a</w:t>
      </w:r>
      <w:r>
        <w:t xml:space="preserve"> </w:t>
      </w:r>
      <w:r>
        <w:t xml:space="preserve">été retiré ; l’espacement avant une nouvelle partie vient désormais</w:t>
      </w:r>
      <w:r>
        <w:t xml:space="preserve"> </w:t>
      </w:r>
      <w:r>
        <w:t xml:space="preserve">uniquement de</w:t>
      </w:r>
      <w:r>
        <w:t xml:space="preserve"> </w:t>
      </w:r>
      <w:r>
        <w:rPr>
          <w:rStyle w:val="VerbatimChar"/>
        </w:rPr>
        <w:t xml:space="preserve">\titlecontents{part}</w:t>
      </w:r>
      <w:r>
        <w:t xml:space="preserve"> </w:t>
      </w:r>
      <w:r>
        <w:t xml:space="preserve">(§9.3), pas de ce bloc.</w:t>
      </w:r>
    </w:p>
    <w:bookmarkStart w:id="39" w:name="retour-à-la-ligne-auteur-en-gras"/>
    <w:p>
      <w:pPr>
        <w:pStyle w:val="Heading3"/>
      </w:pPr>
      <w:r>
        <w:t xml:space="preserve">Retour à la ligne + auteur en gras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\lateiTocAuthorBreak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\\\hspace*</w:t>
      </w:r>
      <w:r>
        <w:rPr>
          <w:rStyle w:val="NormalTok"/>
        </w:rPr>
        <w:t xml:space="preserve">{1em}</w:t>
      </w:r>
      <w:r>
        <w:rPr>
          <w:rStyle w:val="FunctionTok"/>
        </w:rPr>
        <w:t xml:space="preserve">\bfseries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\titlecontents</w:t>
      </w:r>
      <w:r>
        <w:t xml:space="preserve"> </w:t>
      </w:r>
      <w:r>
        <w:t xml:space="preserve">(contrairement à</w:t>
      </w:r>
      <w:r>
        <w:t xml:space="preserve"> </w:t>
      </w:r>
      <w:r>
        <w:rPr>
          <w:rStyle w:val="VerbatimChar"/>
        </w:rPr>
        <w:t xml:space="preserve">\@dottedtocline</w:t>
      </w:r>
      <w:r>
        <w:t xml:space="preserve"> </w:t>
      </w:r>
      <w:r>
        <w:t xml:space="preserve">du noyau LaTeX)</w:t>
      </w:r>
      <w:r>
        <w:t xml:space="preserve"> </w:t>
      </w:r>
      <w:r>
        <w:t xml:space="preserve">compose chaque entrée comme un paragraphe à retrait suspendu — un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y</w:t>
      </w:r>
      <w:r>
        <w:t xml:space="preserve"> </w:t>
      </w:r>
      <w:r>
        <w:t xml:space="preserve">force une nouvelle ligne à l’intérieur de la même entrée, contrairement à</w:t>
      </w:r>
      <w:r>
        <w:t xml:space="preserve"> </w:t>
      </w:r>
      <w:r>
        <w:rPr>
          <w:rStyle w:val="VerbatimChar"/>
        </w:rPr>
        <w:t xml:space="preserve">\par</w:t>
      </w:r>
      <w:r>
        <w:t xml:space="preserve">, qui romprait le paragraphe entier de la TDM plutôt que la seule</w:t>
      </w:r>
      <w:r>
        <w:t xml:space="preserve"> </w:t>
      </w:r>
      <w:r>
        <w:t xml:space="preserve">entrée en cours.</w:t>
      </w:r>
    </w:p>
    <w:bookmarkEnd w:id="39"/>
    <w:bookmarkStart w:id="40" w:name="émission-différée-de-lentrée-de-tdm"/>
    <w:p>
      <w:pPr>
        <w:pStyle w:val="Heading3"/>
      </w:pPr>
      <w:r>
        <w:t xml:space="preserve">Émission différée de l’entrée de TDM</w:t>
      </w:r>
    </w:p>
    <w:p>
      <w:pPr>
        <w:pStyle w:val="FirstParagraph"/>
      </w:pPr>
      <w:r>
        <w:t xml:space="preserve">Le titre de la contribution est connu dès le début (option</w:t>
      </w:r>
      <w:r>
        <w:t xml:space="preserve"> </w:t>
      </w:r>
      <w:r>
        <w:rPr>
          <w:rStyle w:val="VerbatimChar"/>
        </w:rPr>
        <w:t xml:space="preserve">data-page-title</w:t>
      </w:r>
      <w:r>
        <w:t xml:space="preserve">), mais l’auteur — nécessaire pour composer l’entrée</w:t>
      </w:r>
      <w:r>
        <w:t xml:space="preserve"> </w:t>
      </w:r>
      <w:r>
        <w:t xml:space="preserve">complète avec son nom en gras dessous — n’est capturé qu’au moment où</w:t>
      </w:r>
      <w:r>
        <w:t xml:space="preserve"> </w:t>
      </w:r>
      <w:r>
        <w:rPr>
          <w:rStyle w:val="VerbatimChar"/>
        </w:rPr>
        <w:t xml:space="preserve">\lateiContributionAuthor</w:t>
      </w:r>
      <w:r>
        <w:t xml:space="preserve"> </w:t>
      </w:r>
      <w:r>
        <w:t xml:space="preserve">s’exécute,</w:t>
      </w:r>
      <w:r>
        <w:t xml:space="preserve"> </w:t>
      </w:r>
      <w:r>
        <w:rPr>
          <w:b/>
          <w:bCs/>
        </w:rPr>
        <w:t xml:space="preserve">à l’intérieur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#2</w:t>
      </w:r>
      <w:r>
        <w:t xml:space="preserve">, donc</w:t>
      </w:r>
      <w:r>
        <w:t xml:space="preserve"> </w:t>
      </w:r>
      <w:r>
        <w:rPr>
          <w:b/>
          <w:bCs/>
        </w:rPr>
        <w:t xml:space="preserve">après</w:t>
      </w:r>
      <w:r>
        <w:t xml:space="preserve"> </w:t>
      </w:r>
      <w:r>
        <w:t xml:space="preserve">que la rupture d’ouverture (qui déclenchait auparavant</w:t>
      </w:r>
      <w:r>
        <w:t xml:space="preserve"> </w:t>
      </w:r>
      <w:r>
        <w:rPr>
          <w:rStyle w:val="VerbatimChar"/>
        </w:rPr>
        <w:t xml:space="preserve">\addcontentsline</w:t>
      </w:r>
      <w:r>
        <w:t xml:space="preserve"> </w:t>
      </w:r>
      <w:r>
        <w:t xml:space="preserve">immédiatement) s’est produite. Solution : stocker le</w:t>
      </w:r>
      <w:r>
        <w:t xml:space="preserve"> </w:t>
      </w:r>
      <w:r>
        <w:t xml:space="preserve">titre en attente, écrire l’entrée réelle seulement après</w:t>
      </w:r>
      <w:r>
        <w:t xml:space="preserve"> </w:t>
      </w:r>
      <w:r>
        <w:rPr>
          <w:rStyle w:val="VerbatimChar"/>
        </w:rPr>
        <w:t xml:space="preserve">#2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\tl</w:t>
      </w:r>
      <w:r>
        <w:rPr>
          <w:rStyle w:val="NormalTok"/>
        </w:rPr>
        <w:t xml:space="preserve">_new:N </w:t>
      </w:r>
      <w:r>
        <w:rPr>
          <w:rStyle w:val="FunctionTok"/>
        </w:rPr>
        <w:t xml:space="preserve">\g</w:t>
      </w:r>
      <w:r>
        <w:rPr>
          <w:rStyle w:val="NormalTok"/>
        </w:rPr>
        <w:t xml:space="preserve">_latei_pending_toc_title_tl</w:t>
      </w:r>
      <w:r>
        <w:br/>
      </w:r>
      <w:r>
        <w:br/>
      </w:r>
      <w:r>
        <w:rPr>
          <w:rStyle w:val="FunctionTok"/>
        </w:rPr>
        <w:t xml:space="preserve">\cs</w:t>
      </w:r>
      <w:r>
        <w:rPr>
          <w:rStyle w:val="NormalTok"/>
        </w:rPr>
        <w:t xml:space="preserve">_new_protected:Npn </w:t>
      </w:r>
      <w:r>
        <w:rPr>
          <w:rStyle w:val="FunctionTok"/>
        </w:rPr>
        <w:t xml:space="preserve">\latei</w:t>
      </w:r>
      <w:r>
        <w:rPr>
          <w:rStyle w:val="NormalTok"/>
        </w:rPr>
        <w:t xml:space="preserve">_add_contribution_opening_break: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\tl</w:t>
      </w:r>
      <w:r>
        <w:rPr>
          <w:rStyle w:val="NormalTok"/>
        </w:rPr>
        <w:t xml:space="preserve">_if_empty:NF </w:t>
      </w:r>
      <w:r>
        <w:rPr>
          <w:rStyle w:val="FunctionTok"/>
        </w:rPr>
        <w:t xml:space="preserve">\l</w:t>
      </w:r>
      <w:r>
        <w:rPr>
          <w:rStyle w:val="NormalTok"/>
        </w:rPr>
        <w:t xml:space="preserve">_latei_option_page_title_tl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\cleardoublepage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\thispagestyle</w:t>
      </w:r>
      <w:r>
        <w:rPr>
          <w:rStyle w:val="NormalTok"/>
        </w:rPr>
        <w:t xml:space="preserve">{empty}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\phantomsection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\tl</w:t>
      </w:r>
      <w:r>
        <w:rPr>
          <w:rStyle w:val="NormalTok"/>
        </w:rPr>
        <w:t xml:space="preserve">_gset_eq:NN </w:t>
      </w:r>
      <w:r>
        <w:rPr>
          <w:rStyle w:val="FunctionTok"/>
        </w:rPr>
        <w:t xml:space="preserve">\g</w:t>
      </w:r>
      <w:r>
        <w:rPr>
          <w:rStyle w:val="NormalTok"/>
        </w:rPr>
        <w:t xml:space="preserve">_latei_pending_toc_title_tl </w:t>
      </w:r>
      <w:r>
        <w:rPr>
          <w:rStyle w:val="FunctionTok"/>
        </w:rPr>
        <w:t xml:space="preserve">\l</w:t>
      </w:r>
      <w:r>
        <w:rPr>
          <w:rStyle w:val="NormalTok"/>
        </w:rPr>
        <w:t xml:space="preserve">_latei_option_page_title_tl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\exp</w:t>
      </w:r>
      <w:r>
        <w:rPr>
          <w:rStyle w:val="NormalTok"/>
        </w:rPr>
        <w:t xml:space="preserve">_args:NV </w:t>
      </w:r>
      <w:r>
        <w:rPr>
          <w:rStyle w:val="FunctionTok"/>
        </w:rPr>
        <w:t xml:space="preserve">\latei</w:t>
      </w:r>
      <w:r>
        <w:rPr>
          <w:rStyle w:val="NormalTok"/>
        </w:rPr>
        <w:t xml:space="preserve">_markboth_recto:n </w:t>
      </w:r>
      <w:r>
        <w:rPr>
          <w:rStyle w:val="FunctionTok"/>
        </w:rPr>
        <w:t xml:space="preserve">\l</w:t>
      </w:r>
      <w:r>
        <w:rPr>
          <w:rStyle w:val="NormalTok"/>
        </w:rPr>
        <w:t xml:space="preserve">_latei_option_page_title_tl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\setcounter</w:t>
      </w:r>
      <w:r>
        <w:rPr>
          <w:rStyle w:val="NormalTok"/>
        </w:rPr>
        <w:t xml:space="preserve">{footnote}{0}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\cs</w:t>
      </w:r>
      <w:r>
        <w:rPr>
          <w:rStyle w:val="NormalTok"/>
        </w:rPr>
        <w:t xml:space="preserve">_new_protected:Npn </w:t>
      </w:r>
      <w:r>
        <w:rPr>
          <w:rStyle w:val="FunctionTok"/>
        </w:rPr>
        <w:t xml:space="preserve">\latei</w:t>
      </w:r>
      <w:r>
        <w:rPr>
          <w:rStyle w:val="NormalTok"/>
        </w:rPr>
        <w:t xml:space="preserve">_finish_contribution_toc_entry: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\tl</w:t>
      </w:r>
      <w:r>
        <w:rPr>
          <w:rStyle w:val="NormalTok"/>
        </w:rPr>
        <w:t xml:space="preserve">_if_empty:NF </w:t>
      </w:r>
      <w:r>
        <w:rPr>
          <w:rStyle w:val="FunctionTok"/>
        </w:rPr>
        <w:t xml:space="preserve">\g</w:t>
      </w:r>
      <w:r>
        <w:rPr>
          <w:rStyle w:val="NormalTok"/>
        </w:rPr>
        <w:t xml:space="preserve">_latei_pending_toc_title_tl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\ifx\lateiSignatureAuthor\lateiSignatureEmpty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\addcontentsline</w:t>
      </w:r>
      <w:r>
        <w:rPr>
          <w:rStyle w:val="NormalTok"/>
        </w:rPr>
        <w:t xml:space="preserve">{toc}{chapter}{</w:t>
      </w:r>
      <w:r>
        <w:rPr>
          <w:rStyle w:val="FunctionTok"/>
        </w:rPr>
        <w:t xml:space="preserve">\tl</w:t>
      </w:r>
      <w:r>
        <w:rPr>
          <w:rStyle w:val="NormalTok"/>
        </w:rPr>
        <w:t xml:space="preserve">_use:N </w:t>
      </w:r>
      <w:r>
        <w:rPr>
          <w:rStyle w:val="FunctionTok"/>
        </w:rPr>
        <w:t xml:space="preserve">\g</w:t>
      </w:r>
      <w:r>
        <w:rPr>
          <w:rStyle w:val="NormalTok"/>
        </w:rPr>
        <w:t xml:space="preserve">_latei_pending_toc_title_tl}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\else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\addcontentsline</w:t>
      </w:r>
      <w:r>
        <w:rPr>
          <w:rStyle w:val="NormalTok"/>
        </w:rPr>
        <w:t xml:space="preserve">{toc}{chapter}{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\tl</w:t>
      </w:r>
      <w:r>
        <w:rPr>
          <w:rStyle w:val="NormalTok"/>
        </w:rPr>
        <w:t xml:space="preserve">_use:N </w:t>
      </w:r>
      <w:r>
        <w:rPr>
          <w:rStyle w:val="FunctionTok"/>
        </w:rPr>
        <w:t xml:space="preserve">\g</w:t>
      </w:r>
      <w:r>
        <w:rPr>
          <w:rStyle w:val="NormalTok"/>
        </w:rPr>
        <w:t xml:space="preserve">_latei_pending_toc_title_tl </w:t>
      </w:r>
      <w:r>
        <w:rPr>
          <w:rStyle w:val="FunctionTok"/>
        </w:rPr>
        <w:t xml:space="preserve">\lateiTocAuthorBreak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\lateiSignatureAuthor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\fi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\tl</w:t>
      </w:r>
      <w:r>
        <w:rPr>
          <w:rStyle w:val="NormalTok"/>
        </w:rPr>
        <w:t xml:space="preserve">_gclear:N </w:t>
      </w:r>
      <w:r>
        <w:rPr>
          <w:rStyle w:val="FunctionTok"/>
        </w:rPr>
        <w:t xml:space="preserve">\g</w:t>
      </w:r>
      <w:r>
        <w:rPr>
          <w:rStyle w:val="NormalTok"/>
        </w:rPr>
        <w:t xml:space="preserve">_latei_pending_toc_title_tl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Appelé après</w:t>
      </w:r>
      <w:r>
        <w:t xml:space="preserve"> </w:t>
      </w:r>
      <w:r>
        <w:rPr>
          <w:rStyle w:val="VerbatimChar"/>
        </w:rPr>
        <w:t xml:space="preserve">#2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\lateiRenderFrontGroup</w:t>
      </w:r>
      <w:r>
        <w:t xml:space="preserve">/</w:t>
      </w:r>
      <w:r>
        <w:rPr>
          <w:rStyle w:val="VerbatimChar"/>
        </w:rPr>
        <w:t xml:space="preserve">\lateiRenderChapterGroup</w:t>
      </w:r>
      <w:r>
        <w:t xml:space="preserve">,</w:t>
      </w:r>
      <w:r>
        <w:t xml:space="preserve"> </w:t>
      </w:r>
      <w:r>
        <w:t xml:space="preserve">au même moment que</w:t>
      </w:r>
      <w:r>
        <w:t xml:space="preserve"> </w:t>
      </w:r>
      <w:r>
        <w:rPr>
          <w:rStyle w:val="VerbatimChar"/>
        </w:rPr>
        <w:t xml:space="preserve">\lateiRenderContributionSignature</w:t>
      </w:r>
      <w:r>
        <w:t xml:space="preserve"> </w:t>
      </w:r>
      <w:r>
        <w:t xml:space="preserve">(§8.1) — les deux</w:t>
      </w:r>
      <w:r>
        <w:t xml:space="preserve"> </w:t>
      </w:r>
      <w:r>
        <w:t xml:space="preserve">fonctionnalités (signature de fin d’article, auteur en TDM) partagent</w:t>
      </w:r>
      <w:r>
        <w:t xml:space="preserve"> </w:t>
      </w:r>
      <w:r>
        <w:t xml:space="preserve">exactement le même mécanisme de capture/émission différée, pour la même</w:t>
      </w:r>
      <w:r>
        <w:t xml:space="preserve"> </w:t>
      </w:r>
      <w:r>
        <w:t xml:space="preserve">raison structurelle.</w:t>
      </w:r>
    </w:p>
    <w:bookmarkEnd w:id="40"/>
    <w:bookmarkEnd w:id="41"/>
    <w:bookmarkStart w:id="42" w:name="entrées-de-partie"/>
    <w:p>
      <w:pPr>
        <w:pStyle w:val="Heading2"/>
      </w:pPr>
      <w:r>
        <w:t xml:space="preserve">9.3. Entrées de partie</w:t>
      </w:r>
    </w:p>
    <w:p>
      <w:pPr>
        <w:pStyle w:val="FirstParagraph"/>
      </w:pPr>
      <w:r>
        <w:t xml:space="preserve">Le référentiel dit « titres de section », mais désigne en réalité ici le</w:t>
      </w:r>
      <w:r>
        <w:t xml:space="preserve"> </w:t>
      </w:r>
      <w:r>
        <w:t xml:space="preserve">niveau</w:t>
      </w:r>
      <w:r>
        <w:t xml:space="preserve"> </w:t>
      </w:r>
      <w:r>
        <w:rPr>
          <w:rStyle w:val="VerbatimChar"/>
        </w:rPr>
        <w:t xml:space="preserve">\part</w:t>
      </w:r>
      <w:r>
        <w:t xml:space="preserve"> </w:t>
      </w:r>
      <w:r>
        <w:t xml:space="preserve">de ce document (les véritables intertitres/sections sont</w:t>
      </w:r>
      <w:r>
        <w:t xml:space="preserve"> </w:t>
      </w:r>
      <w:r>
        <w:t xml:space="preserve">exclus de la TDM depuis</w:t>
      </w:r>
      <w:r>
        <w:t xml:space="preserve"> </w:t>
      </w:r>
      <w:r>
        <w:rPr>
          <w:rStyle w:val="VerbatimChar"/>
        </w:rPr>
        <w:t xml:space="preserve">tocdepth=0</w:t>
      </w:r>
      <w:r>
        <w:t xml:space="preserve">, §9.1). Josefin Sans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centré,</w:t>
      </w:r>
      <w:r>
        <w:t xml:space="preserve"> </w:t>
      </w:r>
      <w:r>
        <w:t xml:space="preserve">un peu plus grand que le corps (12 pt contre 11 pt), ligne vide avant et</w:t>
      </w:r>
      <w:r>
        <w:t xml:space="preserve"> </w:t>
      </w:r>
      <w:r>
        <w:t xml:space="preserve">après, sans numéro de page (une partie est un intitulé structurant la</w:t>
      </w:r>
      <w:r>
        <w:t xml:space="preserve"> </w:t>
      </w:r>
      <w:r>
        <w:t xml:space="preserve">liste, pas une entrée cherchable en soi) :</w:t>
      </w:r>
    </w:p>
    <w:p>
      <w:pPr>
        <w:pStyle w:val="SourceCode"/>
      </w:pPr>
      <w:r>
        <w:rPr>
          <w:rStyle w:val="FunctionTok"/>
        </w:rPr>
        <w:t xml:space="preserve">\titlecontents</w:t>
      </w:r>
      <w:r>
        <w:rPr>
          <w:rStyle w:val="NormalTok"/>
        </w:rPr>
        <w:t xml:space="preserve">{part}</w:t>
      </w:r>
      <w:r>
        <w:br/>
      </w:r>
      <w:r>
        <w:rPr>
          <w:rStyle w:val="NormalTok"/>
        </w:rPr>
        <w:t xml:space="preserve">  [0pt]</w:t>
      </w:r>
      <w:r>
        <w:br/>
      </w:r>
      <w:r>
        <w:rPr>
          <w:rStyle w:val="NormalTok"/>
        </w:rPr>
        <w:t xml:space="preserve">  {</w:t>
      </w:r>
      <w:r>
        <w:rPr>
          <w:rStyle w:val="FunctionTok"/>
        </w:rPr>
        <w:t xml:space="preserve">\addvspace</w:t>
      </w:r>
      <w:r>
        <w:rPr>
          <w:rStyle w:val="NormalTok"/>
        </w:rPr>
        <w:t xml:space="preserve">{1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\PURHTitleFont\bfseries\fontsize</w:t>
      </w:r>
      <w:r>
        <w:rPr>
          <w:rStyle w:val="NormalTok"/>
        </w:rPr>
        <w:t xml:space="preserve">{12pt}{14pt}</w:t>
      </w:r>
      <w:r>
        <w:rPr>
          <w:rStyle w:val="FunctionTok"/>
        </w:rPr>
        <w:t xml:space="preserve">\selectfont\centering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{}</w:t>
      </w:r>
      <w:r>
        <w:br/>
      </w:r>
      <w:r>
        <w:rPr>
          <w:rStyle w:val="NormalTok"/>
        </w:rPr>
        <w:t xml:space="preserve">  {}</w:t>
      </w:r>
      <w:r>
        <w:br/>
      </w:r>
      <w:r>
        <w:rPr>
          <w:rStyle w:val="NormalTok"/>
        </w:rPr>
        <w:t xml:space="preserve">  {}</w:t>
      </w:r>
      <w:r>
        <w:br/>
      </w:r>
      <w:r>
        <w:rPr>
          <w:rStyle w:val="NormalTok"/>
        </w:rPr>
        <w:t xml:space="preserve">  [</w:t>
      </w:r>
      <w:r>
        <w:rPr>
          <w:rStyle w:val="FunctionTok"/>
        </w:rPr>
        <w:t xml:space="preserve">\addvspace</w:t>
      </w:r>
      <w:r>
        <w:rPr>
          <w:rStyle w:val="NormalTok"/>
        </w:rPr>
        <w:t xml:space="preserve">{1</w:t>
      </w:r>
      <w:r>
        <w:rPr>
          <w:rStyle w:val="FunctionTok"/>
        </w:rPr>
        <w:t xml:space="preserve">\baselineskip</w:t>
      </w:r>
      <w:r>
        <w:rPr>
          <w:rStyle w:val="NormalTok"/>
        </w:rPr>
        <w:t xml:space="preserve">}]</w:t>
      </w:r>
    </w:p>
    <w:p>
      <w:pPr>
        <w:pStyle w:val="FirstParagraph"/>
      </w:pPr>
      <w:r>
        <w:rPr>
          <w:rStyle w:val="VerbatimChar"/>
        </w:rPr>
        <w:t xml:space="preserve">\part*</w:t>
      </w:r>
      <w:r>
        <w:t xml:space="preserve"> </w:t>
      </w:r>
      <w:r>
        <w:t xml:space="preserve">(jamais</w:t>
      </w:r>
      <w:r>
        <w:t xml:space="preserve"> </w:t>
      </w:r>
      <w:r>
        <w:rPr>
          <w:rStyle w:val="VerbatimChar"/>
        </w:rPr>
        <w:t xml:space="preserve">\part{}</w:t>
      </w:r>
      <w:r>
        <w:t xml:space="preserve"> </w:t>
      </w:r>
      <w:r>
        <w:t xml:space="preserve">numéroté) ajoute déjà lui-même son entrée de TDM</w:t>
      </w:r>
      <w:r>
        <w:t xml:space="preserve"> </w:t>
      </w:r>
      <w:r>
        <w:t xml:space="preserve">via le shape</w:t>
      </w:r>
      <w:r>
        <w:t xml:space="preserve"> </w:t>
      </w:r>
      <w:r>
        <w:rPr>
          <w:rStyle w:val="VerbatimChar"/>
        </w:rPr>
        <w:t xml:space="preserve">[display]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\titleformat{\part}</w:t>
      </w:r>
      <w:r>
        <w:t xml:space="preserve"> </w:t>
      </w:r>
      <w:r>
        <w:t xml:space="preserve">(vérifié empiriquement) :</w:t>
      </w:r>
      <w:r>
        <w:t xml:space="preserve"> </w:t>
      </w:r>
      <w:r>
        <w:t xml:space="preserve">ajouter en plus un</w:t>
      </w:r>
      <w:r>
        <w:t xml:space="preserve"> </w:t>
      </w:r>
      <w:r>
        <w:rPr>
          <w:rStyle w:val="VerbatimChar"/>
        </w:rPr>
        <w:t xml:space="preserve">\addcontentsline{toc}{part}{…}</w:t>
      </w:r>
      <w:r>
        <w:t xml:space="preserve"> </w:t>
      </w:r>
      <w:r>
        <w:t xml:space="preserve">manuel produirait un</w:t>
      </w:r>
      <w:r>
        <w:t xml:space="preserve"> </w:t>
      </w:r>
      <w:r>
        <w:t xml:space="preserve">doublon, pas un renfort.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tableaux-fond-des-lignes-den-tête"/>
    <w:p>
      <w:pPr>
        <w:pStyle w:val="Heading1"/>
      </w:pPr>
      <w:r>
        <w:t xml:space="preserve">10. Tableaux — fond des lignes d’en-tête</w:t>
      </w:r>
    </w:p>
    <w:p>
      <w:pPr>
        <w:pStyle w:val="FirstParagraph"/>
      </w:pPr>
      <w:r>
        <w:t xml:space="preserve">Référentiel §11.3 : « fond foncé noir 30 % » sur les lignes d’en-tête/de</w:t>
      </w:r>
      <w:r>
        <w:t xml:space="preserve"> </w:t>
      </w:r>
      <w:r>
        <w:t xml:space="preserve">label.</w:t>
      </w:r>
    </w:p>
    <w:bookmarkStart w:id="44" w:name="deux-contraintes-en-tension"/>
    <w:p>
      <w:pPr>
        <w:pStyle w:val="Heading2"/>
      </w:pPr>
      <w:r>
        <w:t xml:space="preserve">10.1. Deux contraintes en tension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\rowcolor{…}</w:t>
      </w:r>
      <w:r>
        <w:t xml:space="preserve"> </w:t>
      </w:r>
      <w:r>
        <w:t xml:space="preserve">(package</w:t>
      </w:r>
      <w:r>
        <w:t xml:space="preserve"> </w:t>
      </w:r>
      <w:r>
        <w:rPr>
          <w:rStyle w:val="VerbatimChar"/>
        </w:rPr>
        <w:t xml:space="preserve">colortbl</w:t>
      </w:r>
      <w:r>
        <w:t xml:space="preserve">, chargé via</w:t>
      </w:r>
      <w:r>
        <w:t xml:space="preserve"> </w:t>
      </w:r>
      <w:r>
        <w:rPr>
          <w:rStyle w:val="VerbatimChar"/>
        </w:rPr>
        <w:t xml:space="preserve">\usepackage[table]{xcolor}</w:t>
      </w:r>
      <w:r>
        <w:t xml:space="preserve">)</w:t>
      </w:r>
      <w:r>
        <w:t xml:space="preserve"> </w:t>
      </w:r>
      <w:r>
        <w:t xml:space="preserve">doit être le</w:t>
      </w:r>
      <w:r>
        <w:t xml:space="preserve"> </w:t>
      </w:r>
      <w:r>
        <w:rPr>
          <w:b/>
          <w:bCs/>
        </w:rPr>
        <w:t xml:space="preserve">premier token</w:t>
      </w:r>
      <w:r>
        <w:t xml:space="preserve"> </w:t>
      </w:r>
      <w:r>
        <w:t xml:space="preserve">de la ligne d’un tableau — comme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, il ne peut pas être émis depuis l’intérieur d’un</w:t>
      </w:r>
      <w:r>
        <w:t xml:space="preserve"> </w:t>
      </w:r>
      <w:r>
        <w:rPr>
          <w:rStyle w:val="VerbatimChar"/>
        </w:rPr>
        <w:t xml:space="preserve">\if…</w:t>
      </w:r>
      <w:r>
        <w:t xml:space="preserve"> </w:t>
      </w:r>
      <w:r>
        <w:t xml:space="preserve">conditionnel dans la macro</w:t>
      </w:r>
      <w:r>
        <w:t xml:space="preserve"> </w:t>
      </w:r>
      <w:r>
        <w:rPr>
          <w:rStyle w:val="VerbatimChar"/>
        </w:rPr>
        <w:t xml:space="preserve">\teiRow</w:t>
      </w:r>
      <w:r>
        <w:t xml:space="preserve"> </w:t>
      </w:r>
      <w:r>
        <w:t xml:space="preserve">sans provoquer une erreur</w:t>
      </w:r>
      <w:r>
        <w:t xml:space="preserve"> </w:t>
      </w:r>
      <w:r>
        <w:t xml:space="preserve">« Misplaced</w:t>
      </w:r>
      <w:r>
        <w:t xml:space="preserve"> </w:t>
      </w:r>
      <w:r>
        <w:t xml:space="preserve">».</w:t>
      </w:r>
    </w:p>
    <w:p>
      <w:pPr>
        <w:pStyle w:val="Compact"/>
        <w:numPr>
          <w:ilvl w:val="0"/>
          <w:numId w:val="1008"/>
        </w:numPr>
      </w:pPr>
      <w:r>
        <w:t xml:space="preserve">Le corps LaTEI réversible ne doit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contenir de LaTeX brut</w:t>
      </w:r>
      <w:r>
        <w:t xml:space="preserve"> </w:t>
      </w:r>
      <w:r>
        <w:t xml:space="preserve">(doctrine de réversibilité,</w:t>
      </w:r>
      <w:r>
        <w:t xml:space="preserve"> </w:t>
      </w:r>
      <w:r>
        <w:rPr>
          <w:rStyle w:val="VerbatimChar"/>
        </w:rPr>
        <w:t xml:space="preserve">latex_writer.py</w:t>
      </w:r>
      <w:r>
        <w:t xml:space="preserve">/</w:t>
      </w:r>
      <w:r>
        <w:rPr>
          <w:rStyle w:val="VerbatimChar"/>
        </w:rPr>
        <w:t xml:space="preserve">latex_reader.py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\rowcolor{black!30}</w:t>
      </w:r>
      <w:r>
        <w:t xml:space="preserve"> </w:t>
      </w:r>
      <w:r>
        <w:t xml:space="preserve">ne peut donc pas apparaître tel quel dans le corps</w:t>
      </w:r>
      <w:r>
        <w:t xml:space="preserve"> </w:t>
      </w:r>
      <w:r>
        <w:rPr>
          <w:rStyle w:val="VerbatimChar"/>
        </w:rPr>
        <w:t xml:space="preserve">\teiRow{…}</w:t>
      </w:r>
      <w:r>
        <w:t xml:space="preserve"> </w:t>
      </w:r>
      <w:r>
        <w:t xml:space="preserve">généré.</w:t>
      </w:r>
    </w:p>
    <w:bookmarkEnd w:id="44"/>
    <w:bookmarkStart w:id="45" w:name="solution-retenue"/>
    <w:p>
      <w:pPr>
        <w:pStyle w:val="Heading2"/>
      </w:pPr>
      <w:r>
        <w:t xml:space="preserve">10.2. Solution retenue</w:t>
      </w:r>
    </w:p>
    <w:p>
      <w:pPr>
        <w:pStyle w:val="FirstParagraph"/>
      </w:pPr>
      <w:r>
        <w:rPr>
          <w:rStyle w:val="VerbatimChar"/>
        </w:rPr>
        <w:t xml:space="preserve">\rowcolor{black!30}</w:t>
      </w:r>
      <w:r>
        <w:t xml:space="preserve"> </w:t>
      </w:r>
      <w:r>
        <w:t xml:space="preserve">est écrit</w:t>
      </w:r>
      <w:r>
        <w:t xml:space="preserve"> </w:t>
      </w:r>
      <w:r>
        <w:rPr>
          <w:b/>
          <w:bCs/>
        </w:rPr>
        <w:t xml:space="preserve">littéralement et sans enrobage</w:t>
      </w:r>
      <w:r>
        <w:t xml:space="preserve">, par</w:t>
      </w:r>
      <w:r>
        <w:t xml:space="preserve"> </w:t>
      </w:r>
      <w:r>
        <w:rPr>
          <w:rStyle w:val="VerbatimChar"/>
        </w:rPr>
        <w:t xml:space="preserve">_write_row()</w:t>
      </w:r>
      <w:r>
        <w:t xml:space="preserve"> </w:t>
      </w:r>
      <w:r>
        <w:t xml:space="preserve">côté Python (</w:t>
      </w:r>
      <w:r>
        <w:rPr>
          <w:rStyle w:val="VerbatimChar"/>
        </w:rPr>
        <w:t xml:space="preserve">latex_writer.py</w:t>
      </w:r>
      <w:r>
        <w:t xml:space="preserve">),</w:t>
      </w:r>
      <w:r>
        <w:t xml:space="preserve"> </w:t>
      </w:r>
      <w:r>
        <w:rPr>
          <w:b/>
          <w:bCs/>
        </w:rPr>
        <w:t xml:space="preserve">immédiatement avant</w:t>
      </w:r>
      <w:r>
        <w:t xml:space="preserve"> </w:t>
      </w:r>
      <w:r>
        <w:t xml:space="preserve">l’appel</w:t>
      </w:r>
      <w:r>
        <w:t xml:space="preserve"> </w:t>
      </w:r>
      <w:r>
        <w:rPr>
          <w:rStyle w:val="VerbatimChar"/>
        </w:rPr>
        <w:t xml:space="preserve">\teiRow{…}</w:t>
      </w:r>
      <w:r>
        <w:t xml:space="preserve"> </w:t>
      </w:r>
      <w:r>
        <w:t xml:space="preserve">— jamais à l’intérieur de la macro elle-même 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node.get_attr(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\rowcolor{black!30} littéral, émis avant \teiRow — jamais imbriqué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dans la macro (contrainte "premier token de la ligne").</w:t>
      </w:r>
      <w:r>
        <w:br/>
      </w:r>
      <w:r>
        <w:rPr>
          <w:rStyle w:val="NormalTok"/>
        </w:rPr>
        <w:t xml:space="preserve">    lines.append(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\r</w:t>
      </w:r>
      <w:r>
        <w:rPr>
          <w:rStyle w:val="VerbatimStringTok"/>
        </w:rPr>
        <w:t xml:space="preserve">owcolor{black!30}"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lines.append(</w:t>
      </w:r>
      <w:r>
        <w:rPr>
          <w:rStyle w:val="VerbatimStringTok"/>
        </w:rPr>
        <w:t xml:space="preserve">rf"</w:t>
      </w:r>
      <w:r>
        <w:rPr>
          <w:rStyle w:val="CharTok"/>
        </w:rPr>
        <w:t xml:space="preserve">\t</w:t>
      </w:r>
      <w:r>
        <w:rPr>
          <w:rStyle w:val="VerbatimStringTok"/>
        </w:rPr>
        <w:t xml:space="preserve">eiRow</w:t>
      </w:r>
      <w:r>
        <w:rPr>
          <w:rStyle w:val="CharTok"/>
        </w:rPr>
        <w:t xml:space="preserve">{{</w:t>
      </w:r>
      <w:r>
        <w:rPr>
          <w:rStyle w:val="DecValTok"/>
        </w:rPr>
        <w:t xml:space="preserve">...</w:t>
      </w:r>
      <w:r>
        <w:rPr>
          <w:rStyle w:val="CharTok"/>
        </w:rPr>
        <w:t xml:space="preserve">}}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 lecteur réversible (</w:t>
      </w:r>
      <w:r>
        <w:rPr>
          <w:rStyle w:val="VerbatimChar"/>
        </w:rPr>
        <w:t xml:space="preserve">latex_reader.py</w:t>
      </w:r>
      <w:r>
        <w:t xml:space="preserve">) doit reconnaître ce</w:t>
      </w:r>
      <w:r>
        <w:t xml:space="preserve"> </w:t>
      </w:r>
      <w:r>
        <w:rPr>
          <w:rStyle w:val="VerbatimChar"/>
        </w:rPr>
        <w:t xml:space="preserve">\rowcolor{black!30}</w:t>
      </w:r>
      <w:r>
        <w:t xml:space="preserve"> </w:t>
      </w:r>
      <w:r>
        <w:t xml:space="preserve">généré et le</w:t>
      </w:r>
      <w:r>
        <w:t xml:space="preserve"> </w:t>
      </w:r>
      <w:r>
        <w:rPr>
          <w:b/>
          <w:bCs/>
        </w:rPr>
        <w:t xml:space="preserve">neutraliser sans erreur</w:t>
      </w:r>
      <w:r>
        <w:t xml:space="preserve"> </w:t>
      </w:r>
      <w:r>
        <w:t xml:space="preserve">— ni</w:t>
      </w:r>
      <w:r>
        <w:t xml:space="preserve"> </w:t>
      </w:r>
      <w:r>
        <w:t xml:space="preserve">l’accepter silencieusement comme du contenu réversible normal, ni le</w:t>
      </w:r>
      <w:r>
        <w:t xml:space="preserve"> </w:t>
      </w:r>
      <w:r>
        <w:t xml:space="preserve">rejeter avec une erreur « Unknown macro or escape » (ce qui s’est produit</w:t>
      </w:r>
      <w:r>
        <w:t xml:space="preserve"> </w:t>
      </w:r>
      <w:r>
        <w:t xml:space="preserve">avant ce correctif : le lecteur strict n’avait aucune tolérance pour du</w:t>
      </w:r>
      <w:r>
        <w:t xml:space="preserve"> </w:t>
      </w:r>
      <w:r>
        <w:t xml:space="preserve">LaTeX généré arbitraire). Solution : une catégorie dédiée de macros</w:t>
      </w:r>
      <w:r>
        <w:t xml:space="preserve"> </w:t>
      </w:r>
      <w:r>
        <w:t xml:space="preserve">reconnues-et-écartées, distincte du reste du vocabulaire réversible :</w:t>
      </w:r>
    </w:p>
    <w:p>
      <w:pPr>
        <w:pStyle w:val="SourceCode"/>
      </w:pPr>
      <w:r>
        <w:rPr>
          <w:rStyle w:val="NormalTok"/>
        </w:rPr>
        <w:t xml:space="preserve">LAYOUT_UNVALIDATED_STANDALONE_MACROS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"rowcolor"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consommée par une méthode dédiée</w:t>
      </w:r>
      <w:r>
        <w:t xml:space="preserve"> </w:t>
      </w:r>
      <w:r>
        <w:rPr>
          <w:rStyle w:val="VerbatimChar"/>
        </w:rPr>
        <w:t xml:space="preserve">_consume_layout_unvalidated_standalone()</w:t>
      </w:r>
      <w:r>
        <w:t xml:space="preserve">,</w:t>
      </w:r>
      <w:r>
        <w:t xml:space="preserve"> </w:t>
      </w:r>
      <w:r>
        <w:t xml:space="preserve">enregistrée dans</w:t>
      </w:r>
      <w:r>
        <w:t xml:space="preserve"> </w:t>
      </w:r>
      <w:r>
        <w:rPr>
          <w:rStyle w:val="VerbatimChar"/>
        </w:rPr>
        <w:t xml:space="preserve">_controlled_macro_at_pos()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parse_nodes()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Principe généralisable pour d’autres artefacts de présentation générés</w:t>
      </w:r>
      <w:r>
        <w:rPr>
          <w:b/>
          <w:bCs/>
        </w:rPr>
        <w:t xml:space="preserve"> </w:t>
      </w:r>
      <w:r>
        <w:rPr>
          <w:b/>
          <w:bCs/>
        </w:rPr>
        <w:t xml:space="preserve">par le writer Python</w:t>
      </w:r>
      <w:r>
        <w:t xml:space="preserve"> </w:t>
      </w:r>
      <w:r>
        <w:t xml:space="preserve">(pas seulement</w:t>
      </w:r>
      <w:r>
        <w:t xml:space="preserve"> </w:t>
      </w:r>
      <w:r>
        <w:rPr>
          <w:rStyle w:val="VerbatimChar"/>
        </w:rPr>
        <w:t xml:space="preserve">\rowcolor</w:t>
      </w:r>
      <w:r>
        <w:t xml:space="preserve">) : si un futur format</w:t>
      </w:r>
      <w:r>
        <w:t xml:space="preserve"> </w:t>
      </w:r>
      <w:r>
        <w:t xml:space="preserve">nécessite un autre effet visuel qui, par contrainte LaTeX, doit être émis en</w:t>
      </w:r>
      <w:r>
        <w:t xml:space="preserve"> </w:t>
      </w:r>
      <w:r>
        <w:t xml:space="preserve">dehors d’une macro contrôlée, suivre le même patron — écrire le littéral</w:t>
      </w:r>
      <w:r>
        <w:t xml:space="preserve"> </w:t>
      </w:r>
      <w:r>
        <w:t xml:space="preserve">côté writer, ajouter son nom à une liste d’allow-list dédiée côté reader,</w:t>
      </w:r>
      <w:r>
        <w:t xml:space="preserve"> </w:t>
      </w:r>
      <w:r>
        <w:t xml:space="preserve">jamais l’un sans l’autre (sinon soit une erreur de compilation, soit une</w:t>
      </w:r>
      <w:r>
        <w:t xml:space="preserve"> </w:t>
      </w:r>
      <w:r>
        <w:t xml:space="preserve">erreur de relecture réversible).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2da77b90a6d99e8e17d07e8847a9ac7f168385f"/>
    <w:p>
      <w:pPr>
        <w:pStyle w:val="Heading1"/>
      </w:pPr>
      <w:r>
        <w:t xml:space="preserve">11. Bugs rencontrés et méthode de résolution (récapitulatif transversal)</w:t>
      </w:r>
    </w:p>
    <w:p>
      <w:pPr>
        <w:pStyle w:val="FirstParagraph"/>
      </w:pPr>
      <w:r>
        <w:t xml:space="preserve">Cette section rassemble, pour référence rapide, les pièges LaTeX rencontrés</w:t>
      </w:r>
      <w:r>
        <w:t xml:space="preserve"> </w:t>
      </w:r>
      <w:r>
        <w:t xml:space="preserve">ce chantier qui ne sont pas spécifiques à un seul élément visuel et qui</w:t>
      </w:r>
      <w:r>
        <w:t xml:space="preserve"> </w:t>
      </w:r>
      <w:r>
        <w:t xml:space="preserve">peuvent resurgir sur un autre format.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Correctif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\@empty</w:t>
            </w:r>
            <w:r>
              <w:t xml:space="preserve"> </w:t>
            </w:r>
            <w:r>
              <w:t xml:space="preserve">hors</w:t>
            </w:r>
            <w:r>
              <w:t xml:space="preserve"> </w:t>
            </w:r>
            <w:r>
              <w:rPr>
                <w:rStyle w:val="VerbatimChar"/>
              </w:rPr>
              <w:t xml:space="preserve">\makeatletter</w:t>
            </w:r>
          </w:p>
        </w:tc>
        <w:tc>
          <w:tcPr/>
          <w:p>
            <w:pPr>
              <w:pStyle w:val="Compact"/>
            </w:pPr>
            <w:r>
              <w:t xml:space="preserve">« empty empty » imprimé littéralement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n’a la catégorie de code 11 qu’entre</w:t>
            </w:r>
            <w:r>
              <w:t xml:space="preserve"> </w:t>
            </w:r>
            <w:r>
              <w:rPr>
                <w:rStyle w:val="VerbatimChar"/>
              </w:rPr>
              <w:t xml:space="preserve">\makeatletter</w:t>
            </w:r>
            <w:r>
              <w:t xml:space="preserve">/</w:t>
            </w:r>
            <w:r>
              <w:rPr>
                <w:rStyle w:val="VerbatimChar"/>
              </w:rPr>
              <w:t xml:space="preserve">\makeatother</w:t>
            </w:r>
          </w:p>
        </w:tc>
        <w:tc>
          <w:tcPr/>
          <w:p>
            <w:pPr>
              <w:pStyle w:val="Compact"/>
            </w:pPr>
            <w:r>
              <w:t xml:space="preserve">Sentinelle propre sans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\lateiSignatureEmpty</w:t>
            </w:r>
            <w:r>
              <w:t xml:space="preserve">), comparaison par</w:t>
            </w:r>
            <w:r>
              <w:t xml:space="preserve"> </w:t>
            </w:r>
            <w:r>
              <w:rPr>
                <w:rStyle w:val="VerbatimChar"/>
              </w:rPr>
              <w:t xml:space="preserve">\ifx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\vfill</w:t>
            </w:r>
            <w:r>
              <w:t xml:space="preserve"> </w:t>
            </w:r>
            <w:r>
              <w:t xml:space="preserve">non étoilé en tête de page</w:t>
            </w:r>
          </w:p>
        </w:tc>
        <w:tc>
          <w:tcPr/>
          <w:p>
            <w:pPr>
              <w:pStyle w:val="Compact"/>
            </w:pPr>
            <w:r>
              <w:t xml:space="preserve">Contenu resté centré en haut malgré le</w:t>
            </w:r>
            <w:r>
              <w:t xml:space="preserve"> </w:t>
            </w:r>
            <w:r>
              <w:rPr>
                <w:rStyle w:val="VerbatimChar"/>
              </w:rPr>
              <w:t xml:space="preserve">\vfill</w:t>
            </w:r>
          </w:p>
        </w:tc>
        <w:tc>
          <w:tcPr/>
          <w:p>
            <w:pPr>
              <w:pStyle w:val="Compact"/>
            </w:pPr>
            <w:r>
              <w:t xml:space="preserve">Absorbé silencieusement par l’algorithme de coupure de page de TeX, surtout sous</w:t>
            </w:r>
            <w:r>
              <w:t xml:space="preserve"> </w:t>
            </w:r>
            <w:r>
              <w:rPr>
                <w:rStyle w:val="VerbatimChar"/>
              </w:rPr>
              <w:t xml:space="preserve">\raggedbottom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\vspace*{\fill}</w:t>
            </w:r>
            <w:r>
              <w:t xml:space="preserve"> </w:t>
            </w:r>
            <w:r>
              <w:t xml:space="preserve">(étoilé)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\noindent</w:t>
            </w:r>
            <w:r>
              <w:t xml:space="preserve"> </w:t>
            </w:r>
            <w:r>
              <w:t xml:space="preserve">avant</w:t>
            </w:r>
            <w:r>
              <w:t xml:space="preserve"> </w:t>
            </w:r>
            <w:r>
              <w:rPr>
                <w:rStyle w:val="VerbatimChar"/>
              </w:rPr>
              <w:t xml:space="preserve">\@thefnmark</w:t>
            </w:r>
          </w:p>
        </w:tc>
        <w:tc>
          <w:tcPr/>
          <w:p>
            <w:pPr>
              <w:pStyle w:val="Compact"/>
            </w:pPr>
            <w:r>
              <w:t xml:space="preserve">Retrait négatif de 1ʳᵉ ligne des notes totalement annulé</w:t>
            </w:r>
          </w:p>
        </w:tc>
        <w:tc>
          <w:tcPr/>
          <w:p>
            <w:pPr>
              <w:pStyle w:val="Compact"/>
            </w:pPr>
            <w:r>
              <w:t xml:space="preserve">Le mécanisme dépend de l’indentation naturelle de LaTeX (</w:t>
            </w:r>
            <w:r>
              <w:rPr>
                <w:rStyle w:val="VerbatimChar"/>
              </w:rPr>
              <w:t xml:space="preserve">\parindent</w:t>
            </w:r>
            <w:r>
              <w:t xml:space="preserve"> </w:t>
            </w:r>
            <w:r>
              <w:t xml:space="preserve">négatif) ;</w:t>
            </w:r>
            <w:r>
              <w:t xml:space="preserve"> </w:t>
            </w:r>
            <w:r>
              <w:rPr>
                <w:rStyle w:val="VerbatimChar"/>
              </w:rPr>
              <w:t xml:space="preserve">\noindent</w:t>
            </w:r>
            <w:r>
              <w:t xml:space="preserve"> </w:t>
            </w:r>
            <w:r>
              <w:t xml:space="preserve">la supprime</w:t>
            </w:r>
          </w:p>
        </w:tc>
        <w:tc>
          <w:tcPr/>
          <w:p>
            <w:pPr>
              <w:pStyle w:val="Compact"/>
            </w:pPr>
            <w:r>
              <w:t xml:space="preserve">Retirer le</w:t>
            </w:r>
            <w:r>
              <w:t xml:space="preserve"> </w:t>
            </w:r>
            <w:r>
              <w:rPr>
                <w:rStyle w:val="VerbatimChar"/>
              </w:rPr>
              <w:t xml:space="preserve">\noindent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Redéfinition de</w:t>
            </w:r>
            <w:r>
              <w:t xml:space="preserve"> </w:t>
            </w:r>
            <w:r>
              <w:rPr>
                <w:rStyle w:val="VerbatimChar"/>
              </w:rPr>
              <w:t xml:space="preserve">\@makefntext</w:t>
            </w:r>
            <w:r>
              <w:t xml:space="preserve"> </w:t>
            </w:r>
            <w:r>
              <w:t xml:space="preserve">silencieusement écrasée</w:t>
            </w:r>
          </w:p>
        </w:tc>
        <w:tc>
          <w:tcPr/>
          <w:p>
            <w:pPr>
              <w:pStyle w:val="Compact"/>
            </w:pPr>
            <w:r>
              <w:t xml:space="preserve">Le correctif de mise en forme des notes n’avait aucun effet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hyperref</w:t>
            </w:r>
            <w:r>
              <w:t xml:space="preserve">/</w:t>
            </w:r>
            <w:r>
              <w:rPr>
                <w:rStyle w:val="VerbatimChar"/>
              </w:rPr>
              <w:t xml:space="preserve">bookmark</w:t>
            </w:r>
            <w:r>
              <w:t xml:space="preserve"> </w:t>
            </w:r>
            <w:r>
              <w:t xml:space="preserve">redéfinissent</w:t>
            </w:r>
            <w:r>
              <w:t xml:space="preserve"> </w:t>
            </w:r>
            <w:r>
              <w:rPr>
                <w:rStyle w:val="VerbatimChar"/>
              </w:rPr>
              <w:t xml:space="preserve">\@makefntext</w:t>
            </w:r>
            <w:r>
              <w:t xml:space="preserve"> </w:t>
            </w:r>
            <w:r>
              <w:t xml:space="preserve">eux-mêmes via leur propre</w:t>
            </w:r>
            <w:r>
              <w:t xml:space="preserve"> </w:t>
            </w:r>
            <w:r>
              <w:rPr>
                <w:rStyle w:val="VerbatimChar"/>
              </w:rPr>
              <w:t xml:space="preserve">\AtBeginDocument</w:t>
            </w:r>
            <w:r>
              <w:t xml:space="preserve">, qui l’emporte sur un</w:t>
            </w:r>
            <w:r>
              <w:t xml:space="preserve"> </w:t>
            </w:r>
            <w:r>
              <w:rPr>
                <w:rStyle w:val="VerbatimChar"/>
              </w:rPr>
              <w:t xml:space="preserve">\renewcommand</w:t>
            </w:r>
            <w:r>
              <w:t xml:space="preserve"> </w:t>
            </w:r>
            <w:r>
              <w:t xml:space="preserve">de préambule quel que soit l’ordre textuel</w:t>
            </w:r>
          </w:p>
        </w:tc>
        <w:tc>
          <w:tcPr/>
          <w:p>
            <w:pPr>
              <w:pStyle w:val="Compact"/>
            </w:pPr>
            <w:r>
              <w:t xml:space="preserve">Différer aussi la redéfinition via</w:t>
            </w:r>
            <w:r>
              <w:t xml:space="preserve"> </w:t>
            </w:r>
            <w:r>
              <w:rPr>
                <w:rStyle w:val="VerbatimChar"/>
              </w:rPr>
              <w:t xml:space="preserve">\AtBeginDocument</w:t>
            </w:r>
            <w:r>
              <w:t xml:space="preserve">, placée textuellement après leurs</w:t>
            </w:r>
            <w:r>
              <w:t xml:space="preserve"> </w:t>
            </w:r>
            <w:r>
              <w:rPr>
                <w:rStyle w:val="VerbatimChar"/>
              </w:rPr>
              <w:t xml:space="preserve">\usepackage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\footnotelayout</w:t>
            </w:r>
            <w:r>
              <w:t xml:space="preserve"> </w:t>
            </w:r>
            <w:r>
              <w:t xml:space="preserve">(footmisc) sans effet</w:t>
            </w:r>
          </w:p>
        </w:tc>
        <w:tc>
          <w:tcPr/>
          <w:p>
            <w:pPr>
              <w:pStyle w:val="Compact"/>
            </w:pPr>
            <w:r>
              <w:t xml:space="preserve">La taille des notes ne changeait jamais</w:t>
            </w:r>
          </w:p>
        </w:tc>
        <w:tc>
          <w:tcPr/>
          <w:p>
            <w:pPr>
              <w:pStyle w:val="Compact"/>
            </w:pPr>
            <w:r>
              <w:t xml:space="preserve">La redéfinition complète de</w:t>
            </w:r>
            <w:r>
              <w:t xml:space="preserve"> </w:t>
            </w:r>
            <w:r>
              <w:rPr>
                <w:rStyle w:val="VerbatimChar"/>
              </w:rPr>
              <w:t xml:space="preserve">\@makefntext</w:t>
            </w:r>
            <w:r>
              <w:t xml:space="preserve"> </w:t>
            </w:r>
            <w:r>
              <w:t xml:space="preserve">ci-dessus n’appelle plus</w:t>
            </w:r>
            <w:r>
              <w:t xml:space="preserve"> </w:t>
            </w:r>
            <w:r>
              <w:rPr>
                <w:rStyle w:val="VerbatimChar"/>
              </w:rPr>
              <w:t xml:space="preserve">\footnotelayout</w:t>
            </w:r>
          </w:p>
        </w:tc>
        <w:tc>
          <w:tcPr/>
          <w:p>
            <w:pPr>
              <w:pStyle w:val="Compact"/>
            </w:pPr>
            <w:r>
              <w:t xml:space="preserve">Intégrer</w:t>
            </w:r>
            <w:r>
              <w:t xml:space="preserve"> </w:t>
            </w:r>
            <w:r>
              <w:rPr>
                <w:rStyle w:val="VerbatimChar"/>
              </w:rPr>
              <w:t xml:space="preserve">\fontsize{…}\selectfont</w:t>
            </w:r>
            <w:r>
              <w:t xml:space="preserve"> </w:t>
            </w:r>
            <w:r>
              <w:t xml:space="preserve">directement dans le</w:t>
            </w:r>
            <w:r>
              <w:t xml:space="preserve"> </w:t>
            </w:r>
            <w:r>
              <w:rPr>
                <w:rStyle w:val="VerbatimChar"/>
              </w:rPr>
              <w:t xml:space="preserve">\@makefntext</w:t>
            </w:r>
            <w:r>
              <w:t xml:space="preserve"> </w:t>
            </w:r>
            <w:r>
              <w:t xml:space="preserve">personnalisé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\footnoterule</w:t>
            </w:r>
            <w:r>
              <w:t xml:space="preserve"> </w:t>
            </w:r>
            <w:r>
              <w:t xml:space="preserve">par défaut de</w:t>
            </w:r>
            <w:r>
              <w:t xml:space="preserve"> </w:t>
            </w:r>
            <w:r>
              <w:rPr>
                <w:rStyle w:val="VerbatimChar"/>
              </w:rPr>
              <w:t xml:space="preserve">book.cls</w:t>
            </w:r>
          </w:p>
        </w:tc>
        <w:tc>
          <w:tcPr/>
          <w:p>
            <w:pPr>
              <w:pStyle w:val="Compact"/>
            </w:pPr>
            <w:r>
              <w:t xml:space="preserve">Deux « défauts » du référentiel (épaisseur/largeur du filet) en fait jamais custom</w:t>
            </w:r>
          </w:p>
        </w:tc>
        <w:tc>
          <w:tcPr/>
          <w:p>
            <w:pPr>
              <w:pStyle w:val="Compact"/>
            </w:pPr>
            <w:r>
              <w:t xml:space="preserve">Jamais touché avant ce chantier — ses valeurs par défaut (0,4 pt / 0,4×</w:t>
            </w:r>
            <w:r>
              <w:rPr>
                <w:rStyle w:val="VerbatimChar"/>
              </w:rPr>
              <w:t xml:space="preserve">\columnwidth</w:t>
            </w:r>
            <w:r>
              <w:t xml:space="preserve"> </w:t>
            </w:r>
            <w:r>
              <w:t xml:space="preserve">≈ 42 mm) correspondaient exactement aux deux constats du référentiel</w:t>
            </w:r>
          </w:p>
        </w:tc>
        <w:tc>
          <w:tcPr/>
          <w:p>
            <w:pPr>
              <w:pStyle w:val="Compact"/>
            </w:pPr>
            <w:r>
              <w:t xml:space="preserve">Redéfinir explicitement (0,25 pt / 72 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\rowcolor</w:t>
            </w:r>
            <w:r>
              <w:t xml:space="preserve"> </w:t>
            </w:r>
            <w:r>
              <w:t xml:space="preserve">dans un conditionnel imbriqué</w:t>
            </w:r>
          </w:p>
        </w:tc>
        <w:tc>
          <w:tcPr/>
          <w:p>
            <w:pPr>
              <w:pStyle w:val="Compact"/>
            </w:pPr>
            <w:r>
              <w:t xml:space="preserve">« Misplaced</w:t>
            </w:r>
            <w:r>
              <w:t xml:space="preserve"> 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Même contrainte de premier-token que</w:t>
            </w:r>
            <w:r>
              <w:t xml:space="preserve"> </w:t>
            </w:r>
            <w:r>
              <w:rPr>
                <w:rStyle w:val="VerbatimChar"/>
              </w:rPr>
              <w:t xml:space="preserve">\multicolumn</w:t>
            </w:r>
          </w:p>
        </w:tc>
        <w:tc>
          <w:tcPr/>
          <w:p>
            <w:pPr>
              <w:pStyle w:val="Compact"/>
            </w:pPr>
            <w:r>
              <w:t xml:space="preserve">Émission littérale côté Python, hors macro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Lecteur réversible rejetant</w:t>
            </w:r>
            <w:r>
              <w:t xml:space="preserve"> </w:t>
            </w:r>
            <w:r>
              <w:rPr>
                <w:rStyle w:val="VerbatimChar"/>
              </w:rPr>
              <w:t xml:space="preserve">\rowcolor</w:t>
            </w:r>
            <w:r>
              <w:t xml:space="preserve"> </w:t>
            </w:r>
            <w:r>
              <w:t xml:space="preserve">généré</w:t>
            </w:r>
          </w:p>
        </w:tc>
        <w:tc>
          <w:tcPr/>
          <w:p>
            <w:pPr>
              <w:pStyle w:val="Compact"/>
            </w:pPr>
            <w:r>
              <w:t xml:space="preserve">« Unknown macro or escape »</w:t>
            </w:r>
          </w:p>
        </w:tc>
        <w:tc>
          <w:tcPr/>
          <w:p>
            <w:pPr>
              <w:pStyle w:val="Compact"/>
            </w:pPr>
            <w:r>
              <w:t xml:space="preserve">Aucune tolérance pour du LaTeX généré arbitraire</w:t>
            </w:r>
          </w:p>
        </w:tc>
        <w:tc>
          <w:tcPr/>
          <w:p>
            <w:pPr>
              <w:pStyle w:val="Compact"/>
            </w:pPr>
            <w:r>
              <w:t xml:space="preserve">Catégorie</w:t>
            </w:r>
            <w:r>
              <w:t xml:space="preserve"> </w:t>
            </w:r>
            <w:r>
              <w:rPr>
                <w:rStyle w:val="VerbatimChar"/>
              </w:rPr>
              <w:t xml:space="preserve">LAYOUT_UNVALIDATED_STANDALONE_MACROS</w:t>
            </w:r>
            <w:r>
              <w:t xml:space="preserve"> </w:t>
            </w:r>
            <w:r>
              <w:t xml:space="preserve">dédiée (§10)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font=…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 </w:t>
            </w:r>
            <w:r>
              <w:t xml:space="preserve">avec un nom non déclaré</w:t>
            </w:r>
          </w:p>
        </w:tc>
        <w:tc>
          <w:tcPr/>
          <w:p>
            <w:pPr>
              <w:pStyle w:val="Compact"/>
            </w:pPr>
            <w:r>
              <w:t xml:space="preserve">Erreur de compilation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font=&lt;nom&gt;</w:t>
            </w:r>
            <w:r>
              <w:t xml:space="preserve"> </w:t>
            </w:r>
            <w:r>
              <w:t xml:space="preserve">exige</w:t>
            </w:r>
            <w:r>
              <w:t xml:space="preserve"> </w:t>
            </w:r>
            <w:r>
              <w:rPr>
                <w:rStyle w:val="VerbatimChar"/>
              </w:rPr>
              <w:t xml:space="preserve">\DeclareCaptionFont</w:t>
            </w:r>
            <w:r>
              <w:t xml:space="preserve">, pas un simple</w:t>
            </w:r>
            <w:r>
              <w:t xml:space="preserve"> </w:t>
            </w:r>
            <w:r>
              <w:rPr>
                <w:rStyle w:val="VerbatimChar"/>
              </w:rPr>
              <w:t xml:space="preserve">\newcommand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\DeclareCaptionFont{PURHTableCaptionFont}{…}</w:t>
            </w:r>
          </w:p>
        </w:tc>
      </w:tr>
    </w:tbl>
    <w:p>
      <w:pPr>
        <w:pStyle w:val="BodyText"/>
      </w:pPr>
      <w:r>
        <w:rPr>
          <w:b/>
          <w:bCs/>
        </w:rPr>
        <w:t xml:space="preserve">Leçon transversale la plus générale</w:t>
      </w:r>
      <w:r>
        <w:t xml:space="preserve"> </w:t>
      </w:r>
      <w:r>
        <w:t xml:space="preserve">: plusieurs de ces bugs</w:t>
      </w:r>
      <w:r>
        <w:t xml:space="preserve"> </w:t>
      </w:r>
      <w:r>
        <w:t xml:space="preserve">(</w:t>
      </w:r>
      <w:r>
        <w:rPr>
          <w:rStyle w:val="VerbatimChar"/>
        </w:rPr>
        <w:t xml:space="preserve">\@makefntext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\footnotelayout</w:t>
      </w:r>
      <w:r>
        <w:t xml:space="preserve">) viennent du même phénomène — un paquet</w:t>
      </w:r>
      <w:r>
        <w:t xml:space="preserve"> </w:t>
      </w:r>
      <w:r>
        <w:t xml:space="preserve">tiers (</w:t>
      </w:r>
      <w:r>
        <w:rPr>
          <w:rStyle w:val="VerbatimChar"/>
        </w:rPr>
        <w:t xml:space="preserve">hyperref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footmisc</w:t>
      </w:r>
      <w:r>
        <w:t xml:space="preserve">) redéfinit lui-même, via son</w:t>
      </w:r>
      <w:r>
        <w:t xml:space="preserve"> </w:t>
      </w:r>
      <w:r>
        <w:t xml:space="preserve">propre hook</w:t>
      </w:r>
      <w:r>
        <w:t xml:space="preserve"> </w:t>
      </w:r>
      <w:r>
        <w:rPr>
          <w:rStyle w:val="VerbatimChar"/>
        </w:rPr>
        <w:t xml:space="preserve">\AtBeginDocument</w:t>
      </w:r>
      <w:r>
        <w:t xml:space="preserve">, une commande que le préambule PURH tente</w:t>
      </w:r>
      <w:r>
        <w:t xml:space="preserve"> </w:t>
      </w:r>
      <w:r>
        <w:t xml:space="preserve">aussi de redéfinir. L’ordre d’exécution des hooks</w:t>
      </w:r>
      <w:r>
        <w:t xml:space="preserve"> </w:t>
      </w:r>
      <w:r>
        <w:rPr>
          <w:rStyle w:val="VerbatimChar"/>
        </w:rPr>
        <w:t xml:space="preserve">\AtBeginDocument</w:t>
      </w:r>
      <w:r>
        <w:t xml:space="preserve"> </w:t>
      </w:r>
      <w:r>
        <w:t xml:space="preserve">suit</w:t>
      </w:r>
      <w:r>
        <w:t xml:space="preserve"> </w:t>
      </w:r>
      <w:r>
        <w:t xml:space="preserve">l’ordre de</w:t>
      </w:r>
      <w:r>
        <w:t xml:space="preserve"> </w:t>
      </w:r>
      <w:r>
        <w:rPr>
          <w:b/>
          <w:bCs/>
        </w:rPr>
        <w:t xml:space="preserve">chargement des paquets</w:t>
      </w:r>
      <w:r>
        <w:t xml:space="preserve">, pas l’ordre textuel des</w:t>
      </w:r>
      <w:r>
        <w:t xml:space="preserve"> </w:t>
      </w:r>
      <w:r>
        <w:rPr>
          <w:rStyle w:val="VerbatimChar"/>
        </w:rPr>
        <w:t xml:space="preserve">\renewcommand</w:t>
      </w:r>
      <w:r>
        <w:t xml:space="preserve">. Si un futur format rencontre un comportement similaire</w:t>
      </w:r>
      <w:r>
        <w:t xml:space="preserve"> </w:t>
      </w:r>
      <w:r>
        <w:t xml:space="preserve">(un réglage qui ne « prend » pas malgré un</w:t>
      </w:r>
      <w:r>
        <w:t xml:space="preserve"> </w:t>
      </w:r>
      <w:r>
        <w:rPr>
          <w:rStyle w:val="VerbatimChar"/>
        </w:rPr>
        <w:t xml:space="preserve">\renewcommand</w:t>
      </w:r>
      <w:r>
        <w:t xml:space="preserve"> </w:t>
      </w:r>
      <w:r>
        <w:t xml:space="preserve">syntaxiquement</w:t>
      </w:r>
      <w:r>
        <w:t xml:space="preserve"> </w:t>
      </w:r>
      <w:r>
        <w:t xml:space="preserve">correct), soupçonner en premier un paquet chargé plus tard qui écrase la</w:t>
      </w:r>
      <w:r>
        <w:t xml:space="preserve"> </w:t>
      </w:r>
      <w:r>
        <w:t xml:space="preserve">même commande via son propre hook différé.</w:t>
      </w:r>
    </w:p>
    <w:p>
      <w:r>
        <w:pict>
          <v:rect style="width:0;height:1.5pt" o:hralign="center" o:hrstd="t" o:hr="t"/>
        </w:pict>
      </w:r>
    </w:p>
    <w:bookmarkEnd w:id="47"/>
    <w:bookmarkStart w:id="48" w:name="X61e5f0da389a79dd87e2ef358c908b0143c5a65"/>
    <w:p>
      <w:pPr>
        <w:pStyle w:val="Heading1"/>
      </w:pPr>
      <w:r>
        <w:t xml:space="preserve">12. Rappel — ce qui est propre au profil de page vs commun à tous les formats</w:t>
      </w:r>
    </w:p>
    <w:p>
      <w:pPr>
        <w:pStyle w:val="FirstParagraph"/>
      </w:pPr>
      <w:r>
        <w:t xml:space="preserve">Distinction essentielle pour appliquer ce travail à 195×255 ou 180×240 :</w:t>
      </w:r>
    </w:p>
    <w:p>
      <w:pPr>
        <w:pStyle w:val="BodyText"/>
      </w:pPr>
      <w:r>
        <w:rPr>
          <w:b/>
          <w:bCs/>
        </w:rPr>
        <w:t xml:space="preserve">Propre au profil (</w:t>
      </w:r>
      <w:r>
        <w:rPr>
          <w:rStyle w:val="VerbatimChar"/>
          <w:b/>
          <w:bCs/>
        </w:rPr>
        <w:t xml:space="preserve">purh_layout_profiles.py</w:t>
      </w:r>
      <w:r>
        <w:rPr>
          <w:b/>
          <w:bCs/>
        </w:rPr>
        <w:t xml:space="preserve">, à redéfinir par format)</w:t>
      </w:r>
      <w:r>
        <w:t xml:space="preserve"> </w:t>
      </w:r>
      <w:r>
        <w:t xml:space="preserve">:</w:t>
      </w:r>
      <w:r>
        <w:t xml:space="preserve"> </w:t>
      </w:r>
      <w:r>
        <w:t xml:space="preserve">- dimensions papier, marges (haut/bas/intérieure/extérieure)</w:t>
      </w:r>
      <w:r>
        <w:t xml:space="preserve"> </w:t>
      </w:r>
      <w:r>
        <w:t xml:space="preserve">- corps et interligne du texte courant et des notes (actuellement identiques</w:t>
      </w:r>
      <w:r>
        <w:t xml:space="preserve"> </w:t>
      </w:r>
      <w:r>
        <w:t xml:space="preserve">sur les deux profils existants : 11/13,5 pt corps, 8,5/10,2 pt notes — pas</w:t>
      </w:r>
      <w:r>
        <w:t xml:space="preserve"> </w:t>
      </w:r>
      <w:r>
        <w:t xml:space="preserve">garanti qu’un futur format partage ces valeurs, à vérifier contre son</w:t>
      </w:r>
      <w:r>
        <w:t xml:space="preserve"> </w:t>
      </w:r>
      <w:r>
        <w:t xml:space="preserve">propre maître InDesign)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show_contribution_author</w:t>
      </w:r>
    </w:p>
    <w:p>
      <w:pPr>
        <w:pStyle w:val="BodyText"/>
      </w:pPr>
      <w:r>
        <w:rPr>
          <w:b/>
          <w:bCs/>
        </w:rPr>
        <w:t xml:space="preserve">Commun à tous les profils (préambule et macros, indépendant du format)</w:t>
      </w:r>
      <w:r>
        <w:t xml:space="preserve"> </w:t>
      </w:r>
      <w:r>
        <w:t xml:space="preserve">:</w:t>
      </w:r>
      <w:r>
        <w:t xml:space="preserve"> </w:t>
      </w:r>
      <w:r>
        <w:t xml:space="preserve">- toutes les graisses/casse de titraille (§2.4, §3)</w:t>
      </w:r>
      <w:r>
        <w:t xml:space="preserve"> </w:t>
      </w:r>
      <w:r>
        <w:t xml:space="preserve">- la couleur du texte courant et du titre courant (§2.2, §2.5)</w:t>
      </w:r>
      <w:r>
        <w:t xml:space="preserve"> </w:t>
      </w:r>
      <w:r>
        <w:t xml:space="preserve">- le mécanisme de signature de fin d’article et d’entrée de TDM avec auteur</w:t>
      </w:r>
      <w:r>
        <w:t xml:space="preserve"> </w:t>
      </w:r>
      <w:r>
        <w:t xml:space="preserve">(§8, §9)</w:t>
      </w:r>
      <w:r>
        <w:t xml:space="preserve"> </w:t>
      </w:r>
      <w:r>
        <w:t xml:space="preserve">- le colophon calé en bas de page, la structure de la page de titre (§7)</w:t>
      </w:r>
      <w:r>
        <w:t xml:space="preserve"> </w:t>
      </w:r>
      <w:r>
        <w:t xml:space="preserve">- les corrections de bugs LaTeX du §11</w:t>
      </w:r>
    </w:p>
    <w:p>
      <w:pPr>
        <w:pStyle w:val="BodyText"/>
      </w:pPr>
      <w:r>
        <w:rPr>
          <w:b/>
          <w:bCs/>
        </w:rPr>
        <w:t xml:space="preserve">Ce qui doit être recalibré empiriquement pour chaque nouveau format,</w:t>
      </w:r>
      <w:r>
        <w:rPr>
          <w:b/>
          <w:bCs/>
        </w:rPr>
        <w:t xml:space="preserve"> </w:t>
      </w:r>
      <w:r>
        <w:rPr>
          <w:b/>
          <w:bCs/>
        </w:rPr>
        <w:t xml:space="preserve">même si le mécanisme reste identique</w:t>
      </w:r>
      <w:r>
        <w:t xml:space="preserve"> </w:t>
      </w:r>
      <w:r>
        <w:t xml:space="preserve">:</w:t>
      </w:r>
      <w:r>
        <w:t xml:space="preserve"> </w:t>
      </w:r>
      <w:r>
        <w:t xml:space="preserve">- la largeur de boîte des titres à coupure de ligne forcée (§4.1, §5) —</w:t>
      </w:r>
      <w:r>
        <w:t xml:space="preserve"> </w:t>
      </w:r>
      <w:r>
        <w:t xml:space="preserve">ces valeurs (88 mm, 104 mm) sont dérivées de l’empagement du profil</w:t>
      </w:r>
      <w:r>
        <w:t xml:space="preserve"> </w:t>
      </w:r>
      <w:r>
        <w:t xml:space="preserve">155×230 et d’un corpus de titres précis, pas transposables telles quelles ;</w:t>
      </w:r>
      <w:r>
        <w:t xml:space="preserve"> </w:t>
      </w:r>
      <w:r>
        <w:t xml:space="preserve">- le décalage vertical du bandeau de titre courant</w:t>
      </w:r>
      <w:r>
        <w:t xml:space="preserve"> </w:t>
      </w:r>
      <w:r>
        <w:t xml:space="preserve">(</w:t>
      </w:r>
      <w:r>
        <w:rPr>
          <w:rStyle w:val="VerbatimChar"/>
        </w:rPr>
        <w:t xml:space="preserve">\addtolength{\topmargin}{-3.1mm}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\addtolength{\headsep}{3.1mm}</w:t>
      </w:r>
      <w:r>
        <w:t xml:space="preserve">,</w:t>
      </w:r>
      <w:r>
        <w:t xml:space="preserve"> </w:t>
      </w:r>
      <w:r>
        <w:t xml:space="preserve">référentiel §6.2) — spécifique à un écart de rendu observé sur CE profil,</w:t>
      </w:r>
      <w:r>
        <w:t xml:space="preserve"> </w:t>
      </w:r>
      <w:r>
        <w:t xml:space="preserve">à revérifier sur le PDF généré du nouveau format avant de réutiliser</w:t>
      </w:r>
      <w:r>
        <w:t xml:space="preserve"> </w:t>
      </w:r>
      <w:r>
        <w:t xml:space="preserve">3,1 mm ;</w:t>
      </w:r>
      <w:r>
        <w:t xml:space="preserve"> </w:t>
      </w:r>
      <w:r>
        <w:t xml:space="preserve">- la position verticale du bloc de titre (</w:t>
      </w:r>
      <w:r>
        <w:rPr>
          <w:rStyle w:val="VerbatimChar"/>
        </w:rPr>
        <w:t xml:space="preserve">0.25\textheight</w:t>
      </w:r>
      <w:r>
        <w:t xml:space="preserve"> </w:t>
      </w:r>
      <w:r>
        <w:t xml:space="preserve">pour faux-titre</w:t>
      </w:r>
      <w:r>
        <w:t xml:space="preserve"> </w:t>
      </w:r>
      <w:r>
        <w:t xml:space="preserve">et page de titre) et l’espace entre le bloc de titre d’ouverture de</w:t>
      </w:r>
      <w:r>
        <w:t xml:space="preserve"> </w:t>
      </w:r>
      <w:r>
        <w:t xml:space="preserve">contribution et le début du corps (</w:t>
      </w:r>
      <w:r>
        <w:rPr>
          <w:rStyle w:val="VerbatimChar"/>
        </w:rPr>
        <w:t xml:space="preserve">\PURHContributionBodyGap</w:t>
      </w:r>
      <w:r>
        <w:t xml:space="preserve">, 105 pt,</w:t>
      </w:r>
      <w:r>
        <w:t xml:space="preserve"> </w:t>
      </w:r>
      <w:r>
        <w:t xml:space="preserve">estimé à 5,5 lignes de titre — voir</w:t>
      </w:r>
      <w:r>
        <w:t xml:space="preserve"> </w:t>
      </w:r>
      <w:r>
        <w:rPr>
          <w:rStyle w:val="VerbatimChar"/>
        </w:rPr>
        <w:t xml:space="preserve">latei_macros.tex</w:t>
      </w:r>
      <w:r>
        <w:t xml:space="preserve">) : ces deux valeurs</w:t>
      </w:r>
      <w:r>
        <w:t xml:space="preserve"> </w:t>
      </w:r>
      <w:r>
        <w:t xml:space="preserve">sont explicitement documentées dans le code comme des estimations</w:t>
      </w:r>
      <w:r>
        <w:t xml:space="preserve"> </w:t>
      </w:r>
      <w:r>
        <w:t xml:space="preserve">visuelles, pas des mesures millimétriques du référentiel — donc à</w:t>
      </w:r>
      <w:r>
        <w:t xml:space="preserve"> </w:t>
      </w:r>
      <w:r>
        <w:t xml:space="preserve">recalibrer par vérification humaine directe sur le nouveau format, pas à</w:t>
      </w:r>
      <w:r>
        <w:t xml:space="preserve"> </w:t>
      </w:r>
      <w:r>
        <w:t xml:space="preserve">copier.</w:t>
      </w:r>
    </w:p>
    <w:p>
      <w:r>
        <w:pict>
          <v:rect style="width:0;height:1.5pt" o:hralign="center" o:hrstd="t" o:hr="t"/>
        </w:pict>
      </w:r>
    </w:p>
    <w:bookmarkEnd w:id="48"/>
    <w:bookmarkStart w:id="50" w:name="X6276d5dfc6b3a94f048bc8795178a36ac78fb93"/>
    <w:p>
      <w:pPr>
        <w:pStyle w:val="Heading1"/>
      </w:pPr>
      <w:r>
        <w:t xml:space="preserve">13. Limitation connue et volontairement non implémentée</w:t>
      </w:r>
    </w:p>
    <w:bookmarkStart w:id="49" w:name="X9533c666663f55620eec8bfe73dfe6d8e042fbd"/>
    <w:p>
      <w:pPr>
        <w:pStyle w:val="Heading2"/>
      </w:pPr>
      <w:r>
        <w:t xml:space="preserve">13.1. Liste des auteurs séparée par une ligne blanche (fin d’ouvrage)</w:t>
      </w:r>
    </w:p>
    <w:p>
      <w:pPr>
        <w:pStyle w:val="FirstParagraph"/>
      </w:pPr>
      <w:r>
        <w:t xml:space="preserve">Demande initiale : dans un chapitre de fin d’ouvrage listant les auteurs</w:t>
      </w:r>
      <w:r>
        <w:t xml:space="preserve"> </w:t>
      </w:r>
      <w:r>
        <w:t xml:space="preserve">(ex. « Présentation des auteurs »), chaque auteur devrait être séparé du</w:t>
      </w:r>
      <w:r>
        <w:t xml:space="preserve"> </w:t>
      </w:r>
      <w:r>
        <w:t xml:space="preserve">précédent par une ligne blanche.</w:t>
      </w:r>
    </w:p>
    <w:p>
      <w:pPr>
        <w:pStyle w:val="BodyText"/>
      </w:pPr>
      <w:r>
        <w:rPr>
          <w:b/>
          <w:bCs/>
        </w:rPr>
        <w:t xml:space="preserve">Non implémenté</w:t>
      </w:r>
      <w:r>
        <w:t xml:space="preserve">, après vérification sur la source réelle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Ch21_presentation_auteurs.xml</w:t>
      </w:r>
      <w:r>
        <w:t xml:space="preserve">) : ce chapitre n’a, dans la structure TEI,</w:t>
      </w:r>
      <w:r>
        <w:t xml:space="preserve"> </w:t>
      </w:r>
      <w:r>
        <w:rPr>
          <w:b/>
          <w:bCs/>
        </w:rPr>
        <w:t xml:space="preserve">aucun marqueur générique</w:t>
      </w:r>
      <w:r>
        <w:t xml:space="preserve"> </w:t>
      </w:r>
      <w:r>
        <w:t xml:space="preserve">qui le distingue d’un chapitre de contenu</w:t>
      </w:r>
      <w:r>
        <w:t xml:space="preserve"> </w:t>
      </w:r>
      <w:r>
        <w:t xml:space="preserve">ordinaire (pas de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rend</w:t>
      </w:r>
      <w:r>
        <w:t xml:space="preserve"> </w:t>
      </w:r>
      <w:r>
        <w:t xml:space="preserve">dédié identifiable indépendamment du</w:t>
      </w:r>
      <w:r>
        <w:t xml:space="preserve"> </w:t>
      </w:r>
      <w:r>
        <w:t xml:space="preserve">titre du chapitre). Une implémentation générale (applicable à tout livre,</w:t>
      </w:r>
      <w:r>
        <w:t xml:space="preserve"> </w:t>
      </w:r>
      <w:r>
        <w:t xml:space="preserve">pas seulement à celui-ci) exigerait soit :</w:t>
      </w:r>
    </w:p>
    <w:p>
      <w:pPr>
        <w:pStyle w:val="Compact"/>
        <w:numPr>
          <w:ilvl w:val="0"/>
          <w:numId w:val="1009"/>
        </w:numPr>
      </w:pPr>
      <w:r>
        <w:t xml:space="preserve">de détecter ce cas par le</w:t>
      </w:r>
      <w:r>
        <w:t xml:space="preserve"> </w:t>
      </w:r>
      <w:r>
        <w:rPr>
          <w:b/>
          <w:bCs/>
        </w:rPr>
        <w:t xml:space="preserve">texte du titre du chapitre</w:t>
      </w:r>
      <w:r>
        <w:t xml:space="preserve"> </w:t>
      </w:r>
      <w:r>
        <w:t xml:space="preserve">(ex. « Auteurs »,</w:t>
      </w:r>
      <w:r>
        <w:t xml:space="preserve"> </w:t>
      </w:r>
      <w:r>
        <w:t xml:space="preserve">« Présentation des auteurs »…) — rejeté, car cela reviendrait à coder en</w:t>
      </w:r>
      <w:r>
        <w:t xml:space="preserve"> </w:t>
      </w:r>
      <w:r>
        <w:t xml:space="preserve">dur une valeur propre à un livre particulier dans une macro générale, ce</w:t>
      </w:r>
      <w:r>
        <w:t xml:space="preserve"> </w:t>
      </w:r>
      <w:r>
        <w:t xml:space="preserve">qui contredit la doctrine de ce chantier (ne jamais hardcoder de contenu</w:t>
      </w:r>
      <w:r>
        <w:t xml:space="preserve"> </w:t>
      </w:r>
      <w:r>
        <w:t xml:space="preserve">spécifique à un livre dans le code générique) ;</w:t>
      </w:r>
    </w:p>
    <w:p>
      <w:pPr>
        <w:pStyle w:val="Compact"/>
        <w:numPr>
          <w:ilvl w:val="0"/>
          <w:numId w:val="1009"/>
        </w:numPr>
      </w:pPr>
      <w:r>
        <w:t xml:space="preserve">ou d’introduire une nouvelle convention d’encodage source (un attribut ou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rend</w:t>
      </w:r>
      <w:r>
        <w:t xml:space="preserve"> </w:t>
      </w:r>
      <w:r>
        <w:t xml:space="preserve">dédié dans le TEI/Métopes en amont) pour marquer explicitement</w:t>
      </w:r>
      <w:r>
        <w:t xml:space="preserve"> </w:t>
      </w:r>
      <w:r>
        <w:t xml:space="preserve">ce type de liste —</w:t>
      </w:r>
      <w:r>
        <w:t xml:space="preserve"> </w:t>
      </w:r>
      <w:r>
        <w:rPr>
          <w:b/>
          <w:bCs/>
        </w:rPr>
        <w:t xml:space="preserve">décision qui appartient à l’équipe éditoriale/</w:t>
      </w:r>
      <w:r>
        <w:rPr>
          <w:b/>
          <w:bCs/>
        </w:rPr>
        <w:t xml:space="preserve"> </w:t>
      </w:r>
      <w:r>
        <w:rPr>
          <w:b/>
          <w:bCs/>
        </w:rPr>
        <w:t xml:space="preserve">encodage</w:t>
      </w:r>
      <w:r>
        <w:t xml:space="preserve">, pas à ce chantier de mise en page.</w:t>
      </w:r>
    </w:p>
    <w:p>
      <w:pPr>
        <w:pStyle w:val="FirstParagraph"/>
      </w:pPr>
      <w:r>
        <w:rPr>
          <w:b/>
          <w:bCs/>
        </w:rPr>
        <w:t xml:space="preserve">Pour reprendre ce point</w:t>
      </w:r>
      <w:r>
        <w:t xml:space="preserve"> </w:t>
      </w:r>
      <w:r>
        <w:t xml:space="preserve">: si une convention d’encodage est validée en</w:t>
      </w:r>
      <w:r>
        <w:t xml:space="preserve"> </w:t>
      </w:r>
      <w:r>
        <w:t xml:space="preserve">amont (par exemple</w:t>
      </w:r>
      <w:r>
        <w:t xml:space="preserve"> </w:t>
      </w:r>
      <w:r>
        <w:rPr>
          <w:rStyle w:val="VerbatimChar"/>
        </w:rPr>
        <w:t xml:space="preserve">&lt;div type="authorList"&gt;</w:t>
      </w:r>
      <w:r>
        <w:t xml:space="preserve"> </w:t>
      </w:r>
      <w:r>
        <w:t xml:space="preserve">ou un</w:t>
      </w:r>
      <w:r>
        <w:t xml:space="preserve"> </w:t>
      </w:r>
      <w:r>
        <w:rPr>
          <w:rStyle w:val="VerbatimChar"/>
        </w:rPr>
        <w:t xml:space="preserve">rend</w:t>
      </w:r>
      <w:r>
        <w:t xml:space="preserve"> </w:t>
      </w:r>
      <w:r>
        <w:t xml:space="preserve">dédié sur chaque</w:t>
      </w:r>
      <w:r>
        <w:t xml:space="preserve"> </w:t>
      </w:r>
      <w:r>
        <w:t xml:space="preserve">entrée), le mécanisme de rendu lui-même serait trivial à ajouter (un</w:t>
      </w:r>
      <w:r>
        <w:t xml:space="preserve"> </w:t>
      </w:r>
      <w:r>
        <w:rPr>
          <w:rStyle w:val="VerbatimChar"/>
        </w:rPr>
        <w:t xml:space="preserve">\vspace</w:t>
      </w:r>
      <w:r>
        <w:t xml:space="preserve"> </w:t>
      </w:r>
      <w:r>
        <w:t xml:space="preserve">entre entrées consécutives du même type, sur le modèle des</w:t>
      </w:r>
      <w:r>
        <w:t xml:space="preserve"> </w:t>
      </w:r>
      <w:r>
        <w:t xml:space="preserve">macros déjà en place dans</w:t>
      </w:r>
      <w:r>
        <w:t xml:space="preserve"> </w:t>
      </w:r>
      <w:r>
        <w:rPr>
          <w:rStyle w:val="VerbatimChar"/>
        </w:rPr>
        <w:t xml:space="preserve">latei_macros.tex</w:t>
      </w:r>
      <w:r>
        <w:t xml:space="preserve">) — la difficulté n’est</w:t>
      </w:r>
      <w:r>
        <w:t xml:space="preserve"> </w:t>
      </w:r>
      <w:r>
        <w:t xml:space="preserve">jamais technique, elle est dans l’absence de marqueur source.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1b086cc5366f479fd4120b9b448e862d8778db7"/>
    <w:p>
      <w:pPr>
        <w:pStyle w:val="Heading1"/>
      </w:pPr>
      <w:r>
        <w:t xml:space="preserve">14. Journal des commits (branche</w:t>
      </w:r>
      <w:r>
        <w:t xml:space="preserve"> </w:t>
      </w:r>
      <w:r>
        <w:rPr>
          <w:rStyle w:val="VerbatimChar"/>
        </w:rPr>
        <w:t xml:space="preserve">dissimuler-parite-v0.6</w:t>
      </w:r>
      <w:r>
        <w:t xml:space="preserve">, depuis la v0.6)</w:t>
      </w:r>
    </w:p>
    <w:p>
      <w:pPr>
        <w:pStyle w:val="FirstParagraph"/>
      </w:pPr>
      <w:r>
        <w:t xml:space="preserve">Quatorze commits, du plus ancien au plus récent (</w:t>
      </w:r>
      <w:r>
        <w:rPr>
          <w:rStyle w:val="VerbatimChar"/>
        </w:rPr>
        <w:t xml:space="preserve">main..HEAD</w:t>
      </w:r>
      <w:r>
        <w:t xml:space="preserve"> </w:t>
      </w:r>
      <w:r>
        <w:t xml:space="preserve">sur cette</w:t>
      </w:r>
      <w:r>
        <w:t xml:space="preserve"> </w:t>
      </w:r>
      <w:r>
        <w:t xml:space="preserve">branche à la date de ce document)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8db3364</w:t>
      </w:r>
      <w:r>
        <w:t xml:space="preserve"> </w:t>
      </w:r>
      <w:r>
        <w:t xml:space="preserve">— Corrige les deux défauts signalés : sous-sections en gras,</w:t>
      </w:r>
      <w:r>
        <w:t xml:space="preserve"> </w:t>
      </w:r>
      <w:r>
        <w:t xml:space="preserve">notes avec point</w:t>
      </w:r>
    </w:p>
    <w:p>
      <w:pPr>
        <w:pStyle w:val="Compact"/>
        <w:numPr>
          <w:ilvl w:val="0"/>
          <w:numId w:val="1010"/>
        </w:numPr>
      </w:pPr>
      <w:r>
        <w:t xml:space="preserve">TDM : exclut les intertitres, style vide sur toutes ses pages</w:t>
      </w:r>
    </w:p>
    <w:p>
      <w:pPr>
        <w:pStyle w:val="Compact"/>
        <w:numPr>
          <w:ilvl w:val="0"/>
          <w:numId w:val="1010"/>
        </w:numPr>
      </w:pPr>
      <w:r>
        <w:t xml:space="preserve">Remonte le bandeau de titre courant de 3,1 mm (référentiel v0.6 §6.2)</w:t>
      </w:r>
    </w:p>
    <w:p>
      <w:pPr>
        <w:pStyle w:val="Compact"/>
        <w:numPr>
          <w:ilvl w:val="0"/>
          <w:numId w:val="1010"/>
        </w:numPr>
      </w:pPr>
      <w:r>
        <w:t xml:space="preserve">P2 microtypographie : notes, bibliographie, tableaux, couleur du texte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352b91b</w:t>
      </w:r>
      <w:r>
        <w:t xml:space="preserve"> </w:t>
      </w:r>
      <w:r>
        <w:t xml:space="preserve">— Titre courant à 50 % K, faux-titre remonté/gras, colophon</w:t>
      </w:r>
      <w:r>
        <w:t xml:space="preserve"> </w:t>
      </w:r>
      <w:r>
        <w:t xml:space="preserve">complet, GUI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c979fbe</w:t>
      </w:r>
      <w:r>
        <w:t xml:space="preserve"> </w:t>
      </w:r>
      <w:r>
        <w:t xml:space="preserve">— Colophon en bas de page, page de titre redessinée, signature</w:t>
      </w:r>
      <w:r>
        <w:t xml:space="preserve"> </w:t>
      </w:r>
      <w:r>
        <w:t xml:space="preserve">de fin d’article, TDM avec auteur sous chaque entrée</w:t>
      </w:r>
    </w:p>
    <w:p>
      <w:pPr>
        <w:pStyle w:val="FirstParagraph"/>
      </w:pPr>
      <w:r>
        <w:t xml:space="preserve">(liste condensée aux commits repères disposant d’un message significatif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; le détail technique de chaque changement est repris par</w:t>
      </w:r>
      <w:r>
        <w:t xml:space="preserve"> </w:t>
      </w:r>
      <w:r>
        <w:t xml:space="preserve">sujet dans les sections 1 à 13 ci-dessus, qui constituent la référence</w:t>
      </w:r>
      <w:r>
        <w:t xml:space="preserve"> </w:t>
      </w:r>
      <w:r>
        <w:t xml:space="preserve">faisant foi — ce journal n’est qu’un index de traçabilité vers l’historique</w:t>
      </w:r>
      <w:r>
        <w:t xml:space="preserve"> </w:t>
      </w:r>
      <w:r>
        <w:t xml:space="preserve">Git).</w:t>
      </w:r>
    </w:p>
    <w:p>
      <w:pPr>
        <w:pStyle w:val="BodyText"/>
      </w:pPr>
      <w:r>
        <w:t xml:space="preserve">Pour retrouver l’état exact d’un fichier à un commit donné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main..dissimuler-parite-v0.6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purh_site/latei_preamble.py</w:t>
      </w:r>
    </w:p>
    <w:p>
      <w:r>
        <w:pict>
          <v:rect style="width:0;height:1.5pt" o:hralign="center" o:hrstd="t" o:hr="t"/>
        </w:pict>
      </w:r>
    </w:p>
    <w:bookmarkEnd w:id="51"/>
    <w:bookmarkStart w:id="52" w:name="suite-recommandée"/>
    <w:p>
      <w:pPr>
        <w:pStyle w:val="Heading1"/>
      </w:pPr>
      <w:r>
        <w:t xml:space="preserve">15. Suite recommandée</w:t>
      </w:r>
    </w:p>
    <w:p>
      <w:pPr>
        <w:pStyle w:val="Compact"/>
        <w:numPr>
          <w:ilvl w:val="0"/>
          <w:numId w:val="1011"/>
        </w:numPr>
      </w:pPr>
      <w:r>
        <w:t xml:space="preserve">Pour un nouveau format (195×255 ou 180×240) : créer un nouveau</w:t>
      </w:r>
      <w:r>
        <w:t xml:space="preserve"> </w:t>
      </w:r>
      <w:r>
        <w:rPr>
          <w:rStyle w:val="VerbatimChar"/>
        </w:rPr>
        <w:t xml:space="preserve">PurhLayoutProfile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purh_layout_profiles.py</w:t>
      </w:r>
      <w:r>
        <w:t xml:space="preserve"> </w:t>
      </w:r>
      <w:r>
        <w:t xml:space="preserve">avec les dimensions</w:t>
      </w:r>
      <w:r>
        <w:t xml:space="preserve"> </w:t>
      </w:r>
      <w:r>
        <w:t xml:space="preserve">propres à ce format (voir §12 pour ce qui doit être mesuré vs réutilisé),</w:t>
      </w:r>
      <w:r>
        <w:t xml:space="preserve"> </w:t>
      </w:r>
      <w:r>
        <w:t xml:space="preserve">puis suivre la méthode de calibrage empirique du §4.1/§5 pour les</w:t>
      </w:r>
      <w:r>
        <w:t xml:space="preserve"> </w:t>
      </w:r>
      <w:r>
        <w:t xml:space="preserve">largeurs de boîte à coupure de ligne forcée, contre un corpus réel de</w:t>
      </w:r>
      <w:r>
        <w:t xml:space="preserve"> </w:t>
      </w:r>
      <w:r>
        <w:t xml:space="preserve">titres de ce format s’il devient disponible.</w:t>
      </w:r>
    </w:p>
    <w:p>
      <w:pPr>
        <w:pStyle w:val="Compact"/>
        <w:numPr>
          <w:ilvl w:val="0"/>
          <w:numId w:val="1011"/>
        </w:numPr>
      </w:pPr>
      <w:r>
        <w:t xml:space="preserve">Reprendre le point du §13.1 (liste d’auteurs) si/quand une convention</w:t>
      </w:r>
      <w:r>
        <w:t xml:space="preserve"> </w:t>
      </w:r>
      <w:r>
        <w:t xml:space="preserve">d’encodage source dédiée est validée par l’équipe éditoriale.</w:t>
      </w:r>
    </w:p>
    <w:p>
      <w:pPr>
        <w:pStyle w:val="Compact"/>
        <w:numPr>
          <w:ilvl w:val="0"/>
          <w:numId w:val="1011"/>
        </w:numPr>
      </w:pPr>
      <w:r>
        <w:t xml:space="preserve">Faire tourner la suite de tests complète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pytest -m "not full_book"</w:t>
      </w:r>
      <w:r>
        <w:t xml:space="preserve"> </w:t>
      </w:r>
      <w:r>
        <w:t xml:space="preserve">puis, ponctuellement, la suite complète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full_book</w:t>
      </w:r>
      <w:r>
        <w:t xml:space="preserve">) avant tout nouveau travail sur cette base — elle</w:t>
      </w:r>
      <w:r>
        <w:t xml:space="preserve"> </w:t>
      </w:r>
      <w:r>
        <w:t xml:space="preserve">couvre déjà l’ensemble des points ci-dessus (782 tests passants au</w:t>
      </w:r>
      <w:r>
        <w:t xml:space="preserve"> </w:t>
      </w:r>
      <w:r>
        <w:t xml:space="preserve">dernier relevé de ce chantier) et sert de garde-fou contre toute</w:t>
      </w:r>
      <w:r>
        <w:t xml:space="preserve"> </w:t>
      </w:r>
      <w:r>
        <w:t xml:space="preserve">régression involontaire sur les valeurs documentées ici.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2026-08-04T21:06:18Z</dcterms:created>
  <dcterms:modified xsi:type="dcterms:W3CDTF">2026-08-04T21:06:18Z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