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pPr>
        <w:pStyle w:val="TEIverse"/>
      </w:pPr>
      <w:r>
        <w:t>Premier vers </w:t>
      </w:r>
      <w:r>
        <w:rPr>
          <w:i/>
        </w:rPr>
        <w:t>italique</w:t>
        <w:br/>
        <w:t>Deuxième vers</w:t>
        <w:br/>
        <w:t>Troisième vers</w:t>
      </w:r>
      <w:r>
        <w:footnoteReference w:id="3"/>
      </w:r>
    </w:p>
    <w:p>
      <w:pPr>
        <w:pStyle w:val="TEIverse"/>
      </w:pPr>
      <w:r>
        <w:t>Premier vers seconde strophe</w:t>
        <w:br/>
        <w:t>Deuxième vers seconde strophe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synthétique.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/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